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1BD2" w:rsidRDefault="00CE1BD2" w:rsidP="00CE1BD2">
      <w:pPr>
        <w:pStyle w:val="Odsekzoznamu"/>
        <w:ind w:left="426" w:hanging="426"/>
        <w:jc w:val="center"/>
        <w:rPr>
          <w:rFonts w:asciiTheme="majorHAnsi" w:hAnsiTheme="majorHAnsi" w:cs="Arial"/>
          <w:b/>
          <w:sz w:val="24"/>
          <w:szCs w:val="24"/>
        </w:rPr>
      </w:pPr>
    </w:p>
    <w:p w:rsidR="00CE1BD2" w:rsidRDefault="00CE1BD2" w:rsidP="00CE1BD2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CE1BD2" w:rsidRDefault="00CE1BD2" w:rsidP="00CE1BD2">
      <w:pPr>
        <w:pStyle w:val="Odsekzoznamu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E406F8">
        <w:rPr>
          <w:rFonts w:asciiTheme="majorHAnsi" w:hAnsiTheme="majorHAnsi" w:cs="Arial"/>
          <w:b/>
          <w:sz w:val="24"/>
          <w:szCs w:val="24"/>
        </w:rPr>
        <w:t>Článok I - Všeobecné informácie</w:t>
      </w:r>
    </w:p>
    <w:p w:rsidR="00CE1BD2" w:rsidRDefault="00CE1BD2" w:rsidP="00CE1BD2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8346CE">
        <w:rPr>
          <w:rFonts w:ascii="Cambria" w:hAnsi="Cambria" w:cs="Arial"/>
          <w:b/>
        </w:rPr>
        <w:t>I.1</w:t>
      </w:r>
      <w:r w:rsidRPr="008346CE">
        <w:rPr>
          <w:rFonts w:ascii="Cambria" w:hAnsi="Cambria" w:cs="Arial"/>
          <w:b/>
        </w:rPr>
        <w:tab/>
        <w:t xml:space="preserve">Obchodné meno účtovnej jednotky: </w:t>
      </w:r>
      <w:r>
        <w:rPr>
          <w:rFonts w:ascii="Cambria" w:hAnsi="Cambria" w:cs="Arial"/>
          <w:b/>
        </w:rPr>
        <w:t xml:space="preserve">FORMEDIA S.C.A., </w:t>
      </w:r>
      <w:proofErr w:type="spellStart"/>
      <w:r>
        <w:rPr>
          <w:rFonts w:ascii="Cambria" w:hAnsi="Cambria" w:cs="Arial"/>
          <w:b/>
        </w:rPr>
        <w:t>s.r.o</w:t>
      </w:r>
      <w:proofErr w:type="spellEnd"/>
      <w:r>
        <w:rPr>
          <w:rFonts w:ascii="Cambria" w:hAnsi="Cambria" w:cs="Arial"/>
          <w:b/>
        </w:rPr>
        <w:t>.</w:t>
      </w:r>
    </w:p>
    <w:p w:rsidR="00D3404F" w:rsidRDefault="00D3404F" w:rsidP="00CE1BD2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CE1BD2" w:rsidRDefault="00CE1BD2" w:rsidP="00CE1BD2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 w:rsidRPr="008346CE">
        <w:rPr>
          <w:rFonts w:ascii="Cambria" w:hAnsi="Cambria" w:cs="Arial"/>
          <w:b/>
        </w:rPr>
        <w:tab/>
        <w:t>Sídlo účtovnej jednotky</w:t>
      </w:r>
      <w:r w:rsidRPr="008346CE">
        <w:rPr>
          <w:rFonts w:ascii="Cambria" w:hAnsi="Cambria" w:cs="Arial"/>
        </w:rPr>
        <w:t xml:space="preserve">: </w:t>
      </w:r>
      <w:r>
        <w:rPr>
          <w:rFonts w:ascii="Cambria" w:hAnsi="Cambria" w:cs="Arial"/>
        </w:rPr>
        <w:t xml:space="preserve">Fraňa </w:t>
      </w:r>
      <w:proofErr w:type="spellStart"/>
      <w:r>
        <w:rPr>
          <w:rFonts w:ascii="Cambria" w:hAnsi="Cambria" w:cs="Arial"/>
        </w:rPr>
        <w:t>Mojtu</w:t>
      </w:r>
      <w:proofErr w:type="spellEnd"/>
      <w:r>
        <w:rPr>
          <w:rFonts w:ascii="Cambria" w:hAnsi="Cambria" w:cs="Arial"/>
        </w:rPr>
        <w:t xml:space="preserve"> 23, 949 01 Nitra</w:t>
      </w:r>
    </w:p>
    <w:p w:rsidR="00CE1BD2" w:rsidRPr="00B77972" w:rsidRDefault="00CE1BD2" w:rsidP="00CE1BD2">
      <w:pPr>
        <w:spacing w:after="0" w:line="240" w:lineRule="auto"/>
        <w:ind w:left="426" w:hanging="426"/>
        <w:jc w:val="both"/>
        <w:rPr>
          <w:rFonts w:ascii="Cambria" w:hAnsi="Cambria" w:cs="Arial"/>
          <w:i/>
        </w:rPr>
      </w:pPr>
      <w:r>
        <w:rPr>
          <w:rFonts w:ascii="Cambria" w:hAnsi="Cambria" w:cs="Arial"/>
          <w:i/>
        </w:rPr>
        <w:t xml:space="preserve">         </w:t>
      </w:r>
    </w:p>
    <w:p w:rsidR="00CE1BD2" w:rsidRPr="008346CE" w:rsidRDefault="00CE1BD2" w:rsidP="00CE1BD2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 w:rsidRPr="008346CE">
        <w:rPr>
          <w:rFonts w:ascii="Cambria" w:hAnsi="Cambria" w:cs="Arial"/>
          <w:b/>
        </w:rPr>
        <w:tab/>
        <w:t xml:space="preserve">Opis hospodárskej činnosti účtovnej jednotky: </w:t>
      </w:r>
    </w:p>
    <w:p w:rsidR="00CE1BD2" w:rsidRPr="00AF2143" w:rsidRDefault="00CE1BD2" w:rsidP="00CE1BD2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AF2143">
        <w:rPr>
          <w:rFonts w:ascii="Cambria" w:hAnsi="Cambria" w:cs="Arial"/>
        </w:rPr>
        <w:t>Kúpa tovaru na účely jeho predaja konečnému spotrebiteľovi ( maloobchod ) alebo iným prevádzkovateľom živnosti ( veľkoobchod ).</w:t>
      </w:r>
    </w:p>
    <w:p w:rsidR="00CE1BD2" w:rsidRPr="00AF2143" w:rsidRDefault="00CE1BD2" w:rsidP="00CE1BD2">
      <w:pPr>
        <w:spacing w:after="0" w:line="240" w:lineRule="auto"/>
        <w:ind w:left="426" w:hanging="426"/>
        <w:jc w:val="both"/>
        <w:rPr>
          <w:rFonts w:ascii="Cambria" w:hAnsi="Cambria" w:cs="Arial"/>
        </w:rPr>
      </w:pPr>
      <w:r w:rsidRPr="00AF2143">
        <w:rPr>
          <w:rFonts w:ascii="Cambria" w:hAnsi="Cambria" w:cs="Arial"/>
        </w:rPr>
        <w:tab/>
        <w:t>Sprostredkovateľská činnosť v oblasti obchodu.</w:t>
      </w:r>
    </w:p>
    <w:p w:rsidR="00CE1BD2" w:rsidRPr="00AF2143" w:rsidRDefault="00CE1BD2" w:rsidP="00CE1BD2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AF2143">
        <w:rPr>
          <w:rFonts w:ascii="Cambria" w:hAnsi="Cambria" w:cs="Arial"/>
        </w:rPr>
        <w:t>Činnosti podnikateľských, organizačných a ekonomických poradcov.</w:t>
      </w:r>
    </w:p>
    <w:p w:rsidR="00CE1BD2" w:rsidRPr="00AF2143" w:rsidRDefault="00CE1BD2" w:rsidP="00CE1BD2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AF2143">
        <w:rPr>
          <w:rFonts w:ascii="Cambria" w:hAnsi="Cambria" w:cs="Arial"/>
        </w:rPr>
        <w:t xml:space="preserve">Uskutočňovanie stavieb a ich zmien </w:t>
      </w:r>
    </w:p>
    <w:p w:rsidR="00CE1BD2" w:rsidRPr="00AF2143" w:rsidRDefault="00CE1BD2" w:rsidP="00CE1BD2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AF2143">
        <w:rPr>
          <w:rFonts w:ascii="Cambria" w:hAnsi="Cambria" w:cs="Arial"/>
        </w:rPr>
        <w:t>Inžinierska činnosť.</w:t>
      </w:r>
    </w:p>
    <w:p w:rsidR="00CE1BD2" w:rsidRPr="00AF2143" w:rsidRDefault="00CE1BD2" w:rsidP="00CE1BD2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AF2143">
        <w:rPr>
          <w:rFonts w:ascii="Cambria" w:hAnsi="Cambria" w:cs="Arial"/>
        </w:rPr>
        <w:t>Prieskum trhu a verejnej mienky.</w:t>
      </w:r>
    </w:p>
    <w:p w:rsidR="00CE1BD2" w:rsidRPr="00AF2143" w:rsidRDefault="00CE1BD2" w:rsidP="00CE1BD2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AF2143">
        <w:rPr>
          <w:rFonts w:ascii="Cambria" w:hAnsi="Cambria" w:cs="Arial"/>
        </w:rPr>
        <w:t>Reklamné a marketingové služby.</w:t>
      </w:r>
    </w:p>
    <w:p w:rsidR="00CE1BD2" w:rsidRPr="00AF2143" w:rsidRDefault="00CE1BD2" w:rsidP="00CE1BD2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AF2143">
        <w:rPr>
          <w:rFonts w:ascii="Cambria" w:hAnsi="Cambria" w:cs="Arial"/>
        </w:rPr>
        <w:t>Vykonávanie mimoškolskej vzdelávacej činnosti.</w:t>
      </w:r>
    </w:p>
    <w:p w:rsidR="00CE1BD2" w:rsidRPr="00AF2143" w:rsidRDefault="00CE1BD2" w:rsidP="00CE1BD2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AF2143">
        <w:rPr>
          <w:rFonts w:ascii="Cambria" w:hAnsi="Cambria" w:cs="Arial"/>
        </w:rPr>
        <w:t>Vydavateľská činnosť.</w:t>
      </w:r>
    </w:p>
    <w:p w:rsidR="00CE1BD2" w:rsidRPr="00AF2143" w:rsidRDefault="00CE1BD2" w:rsidP="00CE1BD2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AF2143">
        <w:rPr>
          <w:rFonts w:ascii="Cambria" w:hAnsi="Cambria" w:cs="Arial"/>
        </w:rPr>
        <w:t>Prenájom hnuteľných vecí.</w:t>
      </w:r>
    </w:p>
    <w:p w:rsidR="00CE1BD2" w:rsidRPr="00AF2143" w:rsidRDefault="00CE1BD2" w:rsidP="00CE1BD2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AF2143">
        <w:rPr>
          <w:rFonts w:ascii="Cambria" w:hAnsi="Cambria" w:cs="Arial"/>
        </w:rPr>
        <w:t>Prenájom nehnuteľností spojený s poskytovaním iných než základných služieb spojených s prenájmom.</w:t>
      </w:r>
    </w:p>
    <w:p w:rsidR="00CE1BD2" w:rsidRPr="00AF2143" w:rsidRDefault="00CE1BD2" w:rsidP="00CE1BD2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AF2143">
        <w:rPr>
          <w:rFonts w:ascii="Cambria" w:hAnsi="Cambria" w:cs="Arial"/>
        </w:rPr>
        <w:t>Správa bytového, alebo nebytového fondu.</w:t>
      </w:r>
    </w:p>
    <w:p w:rsidR="00CE1BD2" w:rsidRPr="00AF2143" w:rsidRDefault="00CE1BD2" w:rsidP="00CE1BD2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AF2143">
        <w:rPr>
          <w:rFonts w:ascii="Cambria" w:hAnsi="Cambria" w:cs="Arial"/>
        </w:rPr>
        <w:t>Finančný leasing.</w:t>
      </w:r>
    </w:p>
    <w:p w:rsidR="00CE1BD2" w:rsidRPr="00AF2143" w:rsidRDefault="00CE1BD2" w:rsidP="00CE1BD2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AF2143">
        <w:rPr>
          <w:rFonts w:ascii="Cambria" w:hAnsi="Cambria" w:cs="Arial"/>
        </w:rPr>
        <w:t>Poskytovanie úverov a pôžičiek z peňažných zdrojov získaných výlučne bez verejnej výzvy a bez verejnej ponuky majetkových hodnôt.</w:t>
      </w:r>
    </w:p>
    <w:p w:rsidR="00CE1BD2" w:rsidRPr="00AF2143" w:rsidRDefault="00CE1BD2" w:rsidP="00CE1BD2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AF2143">
        <w:rPr>
          <w:rFonts w:ascii="Cambria" w:hAnsi="Cambria" w:cs="Arial"/>
        </w:rPr>
        <w:t>Sprostredkovateľská činnosť v oblasti služieb.</w:t>
      </w:r>
    </w:p>
    <w:p w:rsidR="00CE1BD2" w:rsidRPr="00AF2143" w:rsidRDefault="00CE1BD2" w:rsidP="00CE1BD2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AF2143">
        <w:rPr>
          <w:rFonts w:ascii="Cambria" w:hAnsi="Cambria" w:cs="Arial"/>
        </w:rPr>
        <w:t>Sprostredkovateľská činnosť v oblasti výroby.</w:t>
      </w:r>
    </w:p>
    <w:p w:rsidR="00CE1BD2" w:rsidRPr="00AF2143" w:rsidRDefault="00CE1BD2" w:rsidP="00CE1BD2">
      <w:pPr>
        <w:spacing w:after="0" w:line="240" w:lineRule="auto"/>
        <w:ind w:left="426"/>
        <w:jc w:val="both"/>
        <w:rPr>
          <w:rFonts w:ascii="Cambria" w:hAnsi="Cambria" w:cs="Arial"/>
        </w:rPr>
      </w:pPr>
      <w:proofErr w:type="spellStart"/>
      <w:r w:rsidRPr="00AF2143">
        <w:rPr>
          <w:rFonts w:ascii="Cambria" w:hAnsi="Cambria" w:cs="Arial"/>
        </w:rPr>
        <w:t>Kovoobrábanie</w:t>
      </w:r>
      <w:proofErr w:type="spellEnd"/>
      <w:r w:rsidRPr="00AF2143">
        <w:rPr>
          <w:rFonts w:ascii="Cambria" w:hAnsi="Cambria" w:cs="Arial"/>
        </w:rPr>
        <w:t>.</w:t>
      </w:r>
    </w:p>
    <w:p w:rsidR="00CE1BD2" w:rsidRPr="00AF2143" w:rsidRDefault="00CE1BD2" w:rsidP="00CE1BD2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AF2143">
        <w:rPr>
          <w:rFonts w:ascii="Cambria" w:hAnsi="Cambria" w:cs="Arial"/>
        </w:rPr>
        <w:t>Zámočníctvo.</w:t>
      </w:r>
    </w:p>
    <w:p w:rsidR="00CE1BD2" w:rsidRPr="00AF2143" w:rsidRDefault="00CE1BD2" w:rsidP="00CE1BD2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AF2143">
        <w:rPr>
          <w:rFonts w:ascii="Cambria" w:hAnsi="Cambria" w:cs="Arial"/>
        </w:rPr>
        <w:t>Výroba jednoduchých výrobkov z kovu.</w:t>
      </w:r>
    </w:p>
    <w:p w:rsidR="00CE1BD2" w:rsidRPr="00AF2143" w:rsidRDefault="00CE1BD2" w:rsidP="00CE1BD2">
      <w:pPr>
        <w:spacing w:after="0" w:line="240" w:lineRule="auto"/>
        <w:ind w:left="426"/>
        <w:jc w:val="both"/>
        <w:rPr>
          <w:rFonts w:ascii="Cambria" w:hAnsi="Cambria" w:cs="Arial"/>
        </w:rPr>
      </w:pPr>
      <w:r w:rsidRPr="00AF2143">
        <w:rPr>
          <w:rFonts w:ascii="Cambria" w:hAnsi="Cambria" w:cs="Arial"/>
        </w:rPr>
        <w:t>Opracovanie kovu jednoduchým spôsobom.</w:t>
      </w:r>
    </w:p>
    <w:p w:rsidR="00CE1BD2" w:rsidRDefault="00CE1BD2" w:rsidP="00CE1BD2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CE1BD2" w:rsidRDefault="00CE1BD2" w:rsidP="00CE1BD2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CE1BD2" w:rsidRPr="000F0BFA" w:rsidRDefault="00CE1BD2" w:rsidP="00CE1BD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</w:p>
    <w:p w:rsidR="00CE1BD2" w:rsidRPr="00B701A9" w:rsidRDefault="00CE1BD2" w:rsidP="00CE1BD2">
      <w:pPr>
        <w:spacing w:after="0" w:line="240" w:lineRule="auto"/>
        <w:jc w:val="both"/>
        <w:rPr>
          <w:rFonts w:ascii="Cambria" w:hAnsi="Cambria" w:cs="Arial"/>
          <w:b/>
          <w:sz w:val="20"/>
          <w:szCs w:val="20"/>
        </w:rPr>
      </w:pPr>
    </w:p>
    <w:p w:rsidR="00CE1BD2" w:rsidRPr="008346CE" w:rsidRDefault="00CE1BD2" w:rsidP="00CE1BD2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I.2</w:t>
      </w:r>
      <w:r w:rsidRPr="008346CE">
        <w:rPr>
          <w:rFonts w:ascii="Cambria" w:hAnsi="Cambria" w:cs="Arial"/>
          <w:b/>
        </w:rPr>
        <w:tab/>
      </w:r>
      <w:r w:rsidRPr="00AF2143">
        <w:rPr>
          <w:rFonts w:ascii="Cambria" w:hAnsi="Cambria" w:cs="Arial"/>
          <w:b/>
          <w:color w:val="FF0000"/>
        </w:rPr>
        <w:t>Dátum schválenia účtovnej závierky za bezprostredne predchádzajúce účtovné obdobie:</w:t>
      </w:r>
    </w:p>
    <w:p w:rsidR="00CE1BD2" w:rsidRDefault="00D3404F" w:rsidP="00CE1BD2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ab/>
      </w:r>
      <w:r>
        <w:rPr>
          <w:rFonts w:ascii="Cambria" w:hAnsi="Cambria" w:cs="Arial"/>
          <w:b/>
          <w:sz w:val="20"/>
          <w:szCs w:val="20"/>
        </w:rPr>
        <w:tab/>
      </w:r>
      <w:r>
        <w:rPr>
          <w:rFonts w:ascii="Cambria" w:hAnsi="Cambria" w:cs="Arial"/>
          <w:b/>
          <w:sz w:val="20"/>
          <w:szCs w:val="20"/>
        </w:rPr>
        <w:tab/>
        <w:t>24.12.2018</w:t>
      </w:r>
    </w:p>
    <w:p w:rsidR="00CE1BD2" w:rsidRDefault="00CE1BD2" w:rsidP="00CE1BD2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CE1BD2" w:rsidRDefault="00CE1BD2" w:rsidP="00CE1BD2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CE1BD2" w:rsidRDefault="00CE1BD2" w:rsidP="00CE1BD2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 w:rsidRPr="00A91B6D">
        <w:rPr>
          <w:rFonts w:ascii="Cambria" w:hAnsi="Cambria" w:cs="Arial"/>
          <w:b/>
          <w:sz w:val="20"/>
          <w:szCs w:val="20"/>
        </w:rPr>
        <w:t>Schvaľovací orgán (</w:t>
      </w:r>
      <w:r>
        <w:rPr>
          <w:rFonts w:ascii="Cambria" w:hAnsi="Cambria" w:cs="Arial"/>
          <w:b/>
          <w:sz w:val="20"/>
          <w:szCs w:val="20"/>
        </w:rPr>
        <w:t>v</w:t>
      </w:r>
      <w:r w:rsidRPr="00A91B6D">
        <w:rPr>
          <w:rFonts w:ascii="Cambria" w:hAnsi="Cambria" w:cs="Arial"/>
          <w:b/>
          <w:sz w:val="20"/>
          <w:szCs w:val="20"/>
        </w:rPr>
        <w:t>alné zhromaždenie, rozhodnutie jediného spoločníka, iné)</w:t>
      </w:r>
      <w:r>
        <w:rPr>
          <w:rFonts w:ascii="Cambria" w:hAnsi="Cambria" w:cs="Arial"/>
          <w:b/>
          <w:sz w:val="20"/>
          <w:szCs w:val="20"/>
        </w:rPr>
        <w:t xml:space="preserve">: </w:t>
      </w:r>
    </w:p>
    <w:p w:rsidR="00CE1BD2" w:rsidRDefault="00CE1BD2" w:rsidP="00CE1BD2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valné zhromaždenie</w:t>
      </w:r>
    </w:p>
    <w:p w:rsidR="00CE1BD2" w:rsidRDefault="00CE1BD2" w:rsidP="00CE1BD2">
      <w:pPr>
        <w:spacing w:after="0" w:line="240" w:lineRule="auto"/>
        <w:jc w:val="both"/>
        <w:rPr>
          <w:rFonts w:ascii="Cambria" w:hAnsi="Cambria" w:cs="Arial"/>
          <w:b/>
          <w:sz w:val="20"/>
          <w:szCs w:val="20"/>
        </w:rPr>
      </w:pPr>
    </w:p>
    <w:p w:rsidR="00CE1BD2" w:rsidRPr="00CB2966" w:rsidRDefault="00CE1BD2" w:rsidP="00CE1BD2">
      <w:pPr>
        <w:spacing w:after="0" w:line="240" w:lineRule="auto"/>
        <w:jc w:val="both"/>
        <w:rPr>
          <w:rFonts w:ascii="Cambria" w:hAnsi="Cambria" w:cs="Arial"/>
          <w:b/>
          <w:sz w:val="20"/>
          <w:szCs w:val="20"/>
        </w:rPr>
      </w:pPr>
    </w:p>
    <w:p w:rsidR="00CE1BD2" w:rsidRPr="00395156" w:rsidRDefault="00CE1BD2" w:rsidP="00CE1BD2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I.3</w:t>
      </w:r>
      <w:r w:rsidRPr="00395156">
        <w:rPr>
          <w:rFonts w:ascii="Cambria" w:hAnsi="Cambria" w:cs="Arial"/>
          <w:b/>
        </w:rPr>
        <w:tab/>
        <w:t xml:space="preserve">Právny dôvod na zostavenie účtovnej závierky: </w:t>
      </w:r>
      <w:sdt>
        <w:sdtPr>
          <w:rPr>
            <w:rFonts w:ascii="Cambria" w:hAnsi="Cambria" w:cs="Arial"/>
            <w:b/>
            <w:color w:val="00B050"/>
          </w:rPr>
          <w:alias w:val="typ uzávierky"/>
          <w:tag w:val="vyberte"/>
          <w:id w:val="-957561797"/>
          <w:placeholder>
            <w:docPart w:val="322E1EDDBB6D4FA382621D9E5F8144CB"/>
          </w:placeholder>
          <w:dropDownList>
            <w:listItem w:displayText="vyberte" w:value="vyberte"/>
            <w:listItem w:displayText="riadna" w:value="riadna"/>
            <w:listItem w:displayText="mimoriadna" w:value="mimoriadna"/>
          </w:dropDownList>
        </w:sdtPr>
        <w:sdtContent>
          <w:r>
            <w:rPr>
              <w:rFonts w:ascii="Cambria" w:hAnsi="Cambria" w:cs="Arial"/>
              <w:b/>
              <w:color w:val="00B050"/>
            </w:rPr>
            <w:t>riadna</w:t>
          </w:r>
        </w:sdtContent>
      </w:sdt>
    </w:p>
    <w:p w:rsidR="00CE1BD2" w:rsidRPr="00A405A5" w:rsidRDefault="00CE1BD2" w:rsidP="00CE1BD2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CE1BD2" w:rsidRDefault="00CE1BD2" w:rsidP="00CE1BD2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CE1BD2" w:rsidRPr="00D367A8" w:rsidRDefault="00CE1BD2" w:rsidP="00CE1BD2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  <w:r w:rsidRPr="00D367A8">
        <w:rPr>
          <w:rFonts w:ascii="Cambria" w:hAnsi="Cambria" w:cs="Arial"/>
          <w:sz w:val="20"/>
          <w:szCs w:val="20"/>
        </w:rPr>
        <w:lastRenderedPageBreak/>
        <w:t>Účtovná závierka Spoločnosti k</w:t>
      </w:r>
      <w:r>
        <w:rPr>
          <w:rFonts w:ascii="Cambria" w:hAnsi="Cambria" w:cs="Arial"/>
          <w:sz w:val="20"/>
          <w:szCs w:val="20"/>
        </w:rPr>
        <w:t> 31.12.201</w:t>
      </w:r>
      <w:r w:rsidR="00D3404F">
        <w:rPr>
          <w:rFonts w:ascii="Cambria" w:hAnsi="Cambria" w:cs="Arial"/>
          <w:sz w:val="20"/>
          <w:szCs w:val="20"/>
        </w:rPr>
        <w:t xml:space="preserve">8 </w:t>
      </w:r>
      <w:r w:rsidRPr="00D367A8">
        <w:rPr>
          <w:rFonts w:ascii="Cambria" w:hAnsi="Cambria" w:cs="Arial"/>
          <w:sz w:val="20"/>
          <w:szCs w:val="20"/>
        </w:rPr>
        <w:t>je zostavená ako riadna účtovná zá</w:t>
      </w:r>
      <w:r>
        <w:rPr>
          <w:rFonts w:ascii="Cambria" w:hAnsi="Cambria" w:cs="Arial"/>
          <w:sz w:val="20"/>
          <w:szCs w:val="20"/>
        </w:rPr>
        <w:t xml:space="preserve">vierka podľa § 17 ods. 6 zákona </w:t>
      </w:r>
      <w:r w:rsidRPr="00D367A8">
        <w:rPr>
          <w:rFonts w:ascii="Cambria" w:hAnsi="Cambria" w:cs="Arial"/>
          <w:sz w:val="20"/>
          <w:szCs w:val="20"/>
        </w:rPr>
        <w:t>č. 431/2002 Z. z. o účtovníctve v platnom znení (ďalej „zákon o účtovníctve“) za účtovné obdobie od</w:t>
      </w:r>
      <w:r>
        <w:rPr>
          <w:rFonts w:ascii="Cambria" w:hAnsi="Cambria" w:cs="Arial"/>
          <w:sz w:val="20"/>
          <w:szCs w:val="20"/>
        </w:rPr>
        <w:t xml:space="preserve"> 01 </w:t>
      </w:r>
      <w:r w:rsidRPr="00D367A8">
        <w:rPr>
          <w:rFonts w:ascii="Cambria" w:hAnsi="Cambria" w:cs="Arial"/>
          <w:sz w:val="20"/>
          <w:szCs w:val="20"/>
        </w:rPr>
        <w:t xml:space="preserve">do </w:t>
      </w:r>
      <w:r>
        <w:rPr>
          <w:rFonts w:ascii="Cambria" w:hAnsi="Cambria" w:cs="Arial"/>
          <w:sz w:val="20"/>
          <w:szCs w:val="20"/>
        </w:rPr>
        <w:t>12/2017.</w:t>
      </w:r>
    </w:p>
    <w:p w:rsidR="00CE1BD2" w:rsidRDefault="00CE1BD2" w:rsidP="00CE1BD2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  <w:r w:rsidRPr="00D367A8">
        <w:rPr>
          <w:rFonts w:ascii="Cambria" w:hAnsi="Cambria" w:cs="Arial"/>
          <w:sz w:val="20"/>
          <w:szCs w:val="20"/>
        </w:rPr>
        <w:t>Účtovná závierka je určená pre používateľov, ktorí majú primerané znalosti o</w:t>
      </w:r>
      <w:r>
        <w:rPr>
          <w:rFonts w:ascii="Cambria" w:hAnsi="Cambria" w:cs="Arial"/>
          <w:sz w:val="20"/>
          <w:szCs w:val="20"/>
        </w:rPr>
        <w:t> </w:t>
      </w:r>
      <w:r w:rsidRPr="00D367A8">
        <w:rPr>
          <w:rFonts w:ascii="Cambria" w:hAnsi="Cambria" w:cs="Arial"/>
          <w:sz w:val="20"/>
          <w:szCs w:val="20"/>
        </w:rPr>
        <w:t>obchodných</w:t>
      </w:r>
      <w:r>
        <w:rPr>
          <w:rFonts w:ascii="Cambria" w:hAnsi="Cambria" w:cs="Arial"/>
          <w:sz w:val="20"/>
          <w:szCs w:val="20"/>
        </w:rPr>
        <w:t xml:space="preserve"> </w:t>
      </w:r>
      <w:r w:rsidRPr="00D367A8">
        <w:rPr>
          <w:rFonts w:ascii="Cambria" w:hAnsi="Cambria" w:cs="Arial"/>
          <w:sz w:val="20"/>
          <w:szCs w:val="20"/>
        </w:rPr>
        <w:t>a ekonomických činnostiach a účtovníctve a ktorí analyzujú tieto informácie s primeranou pozornosťou. Účtovná závierka neposkytuje a ani nemôže poskytovať všetky informácie, ktoré by existujúci a potencionálni investori, poskytovatelia úverov a pôžičiek a iní veritelia, mohli potrebovať. Títo používatelia musia relevantné informácie získať z iných zdrojov.</w:t>
      </w:r>
    </w:p>
    <w:p w:rsidR="00CE1BD2" w:rsidRPr="00D367A8" w:rsidRDefault="00CE1BD2" w:rsidP="00CE1BD2">
      <w:pPr>
        <w:spacing w:after="0" w:line="240" w:lineRule="auto"/>
        <w:jc w:val="both"/>
        <w:rPr>
          <w:rFonts w:ascii="Cambria" w:hAnsi="Cambria" w:cs="Arial"/>
          <w:sz w:val="20"/>
          <w:szCs w:val="20"/>
        </w:rPr>
      </w:pPr>
    </w:p>
    <w:p w:rsidR="00CE1BD2" w:rsidRDefault="00CE1BD2" w:rsidP="00CE1BD2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I.4</w:t>
      </w:r>
      <w:r w:rsidRPr="00395156">
        <w:rPr>
          <w:rFonts w:ascii="Cambria" w:hAnsi="Cambria" w:cs="Arial"/>
          <w:b/>
        </w:rPr>
        <w:tab/>
        <w:t>Informácie o skupine účtovných jednotiek, ak je účtovná jednotka jej súčasťou:</w:t>
      </w:r>
    </w:p>
    <w:p w:rsidR="00CE1BD2" w:rsidRPr="00395156" w:rsidRDefault="00CE1BD2" w:rsidP="00CE1BD2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CE1BD2" w:rsidRPr="00A405A5" w:rsidRDefault="00CE1BD2" w:rsidP="00CE1BD2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</w:t>
      </w:r>
      <w:r w:rsidRPr="00A405A5">
        <w:rPr>
          <w:rFonts w:ascii="Cambria" w:hAnsi="Cambria" w:cs="Arial"/>
          <w:sz w:val="20"/>
          <w:szCs w:val="20"/>
        </w:rPr>
        <w:t>čtovná jednotka, ktorá zostavuje konsolidovanú účtovnú závierku za najväčšiu skupinu, ktorej súčasťou je účtovná jednotka ako dcérska účtovná jednotka:</w:t>
      </w:r>
    </w:p>
    <w:p w:rsidR="00CE1BD2" w:rsidRPr="00A405A5" w:rsidRDefault="00CE1BD2" w:rsidP="00CE1BD2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CE1BD2" w:rsidRPr="00A405A5" w:rsidRDefault="00CE1BD2" w:rsidP="00CE1B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Pr="00A405A5">
        <w:rPr>
          <w:rFonts w:ascii="Cambria" w:hAnsi="Cambria" w:cs="Arial"/>
          <w:b/>
          <w:sz w:val="20"/>
          <w:szCs w:val="20"/>
        </w:rPr>
      </w:r>
      <w:r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CE1BD2" w:rsidRDefault="00CE1BD2" w:rsidP="00CE1B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Pr="00A405A5">
        <w:rPr>
          <w:rFonts w:ascii="Cambria" w:hAnsi="Cambria" w:cs="Arial"/>
          <w:b/>
          <w:sz w:val="20"/>
          <w:szCs w:val="20"/>
        </w:rPr>
      </w:r>
      <w:r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1E0710" w:rsidRDefault="001E0710" w:rsidP="00CE1B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</w:p>
    <w:p w:rsidR="001E0710" w:rsidRDefault="001E0710" w:rsidP="00CE1B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Pre danú oblasť nemá účtovná jednotka obsahovú náplň.</w:t>
      </w:r>
    </w:p>
    <w:p w:rsidR="00CE1BD2" w:rsidRPr="00A405A5" w:rsidRDefault="00CE1BD2" w:rsidP="00CE1BD2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CE1BD2" w:rsidRPr="00A405A5" w:rsidRDefault="00CE1BD2" w:rsidP="00CE1BD2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</w:t>
      </w:r>
      <w:r w:rsidRPr="00A405A5">
        <w:rPr>
          <w:rFonts w:ascii="Cambria" w:hAnsi="Cambria" w:cs="Arial"/>
          <w:sz w:val="20"/>
          <w:szCs w:val="20"/>
        </w:rPr>
        <w:t>čtovná jednotka, ktorá zostavuje konsolidovanú účtovnú závierku za najmenšiu skupinu, ktorej súčasťou je účtovná jednotka ako dcérska účtovná jednotka, a ktorá je tiež začlenená do skupiny účtovných jednotiek uvedených v písmene a):</w:t>
      </w:r>
    </w:p>
    <w:p w:rsidR="00CE1BD2" w:rsidRPr="00A405A5" w:rsidRDefault="00CE1BD2" w:rsidP="00CE1BD2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CE1BD2" w:rsidRPr="00A405A5" w:rsidRDefault="00CE1BD2" w:rsidP="00CE1B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Pr="00A405A5">
        <w:rPr>
          <w:rFonts w:ascii="Cambria" w:hAnsi="Cambria" w:cs="Arial"/>
          <w:b/>
          <w:sz w:val="20"/>
          <w:szCs w:val="20"/>
        </w:rPr>
      </w:r>
      <w:r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CE1BD2" w:rsidRDefault="00CE1BD2" w:rsidP="00CE1B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Pr="00A405A5">
        <w:rPr>
          <w:rFonts w:ascii="Cambria" w:hAnsi="Cambria" w:cs="Arial"/>
          <w:b/>
          <w:sz w:val="20"/>
          <w:szCs w:val="20"/>
        </w:rPr>
      </w:r>
      <w:r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1E0710" w:rsidRDefault="001E0710" w:rsidP="00CE1B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</w:p>
    <w:p w:rsidR="001E0710" w:rsidRPr="00A405A5" w:rsidRDefault="001E0710" w:rsidP="00CE1B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Pre danú oblasť nemá účtovná jednotka obsahovú náplň.</w:t>
      </w:r>
    </w:p>
    <w:p w:rsidR="00CE1BD2" w:rsidRPr="00A405A5" w:rsidRDefault="00CE1BD2" w:rsidP="00CE1BD2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CE1BD2" w:rsidRPr="00A405A5" w:rsidRDefault="00CE1BD2" w:rsidP="00CE1BD2">
      <w:pPr>
        <w:pStyle w:val="Odsekzoznamu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sz w:val="20"/>
          <w:szCs w:val="20"/>
        </w:rPr>
        <w:t>konsolidujúca účtovná jednotka, v ktorej je možné získať kópie konsolidovaných účtovných závierok uvedených v písmenách a) a b):</w:t>
      </w:r>
    </w:p>
    <w:p w:rsidR="00CE1BD2" w:rsidRPr="00A405A5" w:rsidRDefault="00CE1BD2" w:rsidP="00CE1BD2">
      <w:pPr>
        <w:spacing w:after="0" w:line="240" w:lineRule="auto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CE1BD2" w:rsidRDefault="00CE1BD2" w:rsidP="00CE1B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Pr="00A405A5">
        <w:rPr>
          <w:rFonts w:ascii="Cambria" w:hAnsi="Cambria" w:cs="Arial"/>
          <w:b/>
          <w:sz w:val="20"/>
          <w:szCs w:val="20"/>
        </w:rPr>
      </w:r>
      <w:r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1E0710" w:rsidRDefault="001E0710" w:rsidP="00CE1B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</w:p>
    <w:p w:rsidR="001E0710" w:rsidRPr="00A405A5" w:rsidRDefault="001E0710" w:rsidP="001E0710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Pre danú oblasť nemá účtovná jednotka obsahovú náplň.</w:t>
      </w:r>
    </w:p>
    <w:p w:rsidR="001E0710" w:rsidRDefault="001E0710" w:rsidP="00CE1B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</w:p>
    <w:p w:rsidR="00CE1BD2" w:rsidRDefault="00CE1BD2" w:rsidP="00CE1BD2">
      <w:pPr>
        <w:spacing w:after="0"/>
        <w:jc w:val="both"/>
        <w:rPr>
          <w:rFonts w:ascii="Cambria" w:hAnsi="Cambria" w:cs="Arial"/>
          <w:b/>
          <w:sz w:val="20"/>
          <w:szCs w:val="20"/>
        </w:rPr>
      </w:pPr>
    </w:p>
    <w:p w:rsidR="00CE1BD2" w:rsidRPr="00FC7A70" w:rsidRDefault="00CE1BD2" w:rsidP="00CE1BD2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 xml:space="preserve">d)    </w:t>
      </w:r>
      <w:r w:rsidRPr="00FC7A70">
        <w:rPr>
          <w:rFonts w:ascii="Cambria" w:hAnsi="Cambria" w:cs="Arial"/>
          <w:sz w:val="20"/>
          <w:szCs w:val="20"/>
        </w:rPr>
        <w:t>A.</w:t>
      </w:r>
      <w:r>
        <w:rPr>
          <w:rFonts w:ascii="Cambria" w:hAnsi="Cambria" w:cs="Arial"/>
          <w:b/>
          <w:sz w:val="20"/>
          <w:szCs w:val="20"/>
        </w:rPr>
        <w:t xml:space="preserve">    </w:t>
      </w:r>
      <w:r>
        <w:rPr>
          <w:rFonts w:ascii="Cambria" w:hAnsi="Cambria" w:cs="Arial"/>
          <w:sz w:val="20"/>
          <w:szCs w:val="20"/>
        </w:rPr>
        <w:t xml:space="preserve">je </w:t>
      </w:r>
      <w:r>
        <w:rPr>
          <w:rFonts w:ascii="Cambria" w:hAnsi="Cambria" w:cs="Arial"/>
          <w:b/>
          <w:sz w:val="20"/>
          <w:szCs w:val="20"/>
        </w:rPr>
        <w:t xml:space="preserve"> </w:t>
      </w:r>
      <w:r w:rsidRPr="00FC7A70">
        <w:rPr>
          <w:rFonts w:ascii="Cambria" w:hAnsi="Cambria" w:cs="Arial"/>
          <w:sz w:val="20"/>
          <w:szCs w:val="20"/>
        </w:rPr>
        <w:t>účtovná jednotka  materskou účtovnou jednotkou</w:t>
      </w:r>
      <w:r w:rsidRPr="00FC7A70">
        <w:rPr>
          <w:rFonts w:ascii="Cambria" w:hAnsi="Cambria" w:cs="Arial"/>
          <w:b/>
          <w:sz w:val="20"/>
          <w:szCs w:val="20"/>
        </w:rPr>
        <w:t xml:space="preserve">: </w:t>
      </w:r>
      <w:sdt>
        <w:sdtPr>
          <w:rPr>
            <w:rFonts w:ascii="Cambria" w:hAnsi="Cambria" w:cs="Arial"/>
            <w:b/>
            <w:color w:val="00B050"/>
            <w:sz w:val="20"/>
            <w:szCs w:val="20"/>
          </w:rPr>
          <w:alias w:val="materská účtovná jednotka"/>
          <w:tag w:val="vyberte"/>
          <w:id w:val="-567502204"/>
          <w:placeholder>
            <w:docPart w:val="52F9B99EE5DC46C98D6C185D637D0D6D"/>
          </w:placeholder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>
            <w:rPr>
              <w:rFonts w:ascii="Cambria" w:hAnsi="Cambria" w:cs="Arial"/>
              <w:b/>
              <w:color w:val="00B050"/>
              <w:sz w:val="20"/>
              <w:szCs w:val="20"/>
            </w:rPr>
            <w:t>nie</w:t>
          </w:r>
        </w:sdtContent>
      </w:sdt>
    </w:p>
    <w:p w:rsidR="00CE1BD2" w:rsidRPr="00FC7A70" w:rsidRDefault="00CE1BD2" w:rsidP="00CE1BD2">
      <w:pPr>
        <w:pStyle w:val="Odsekzoznamu"/>
        <w:numPr>
          <w:ilvl w:val="0"/>
          <w:numId w:val="12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je materská účtovná jednotka oslobodená od povinnosti zostaviť konsolidovanú účtovnú závierku</w:t>
      </w:r>
      <w:r w:rsidRPr="00FC7A70">
        <w:rPr>
          <w:rFonts w:ascii="Cambria" w:hAnsi="Cambria" w:cs="Arial"/>
          <w:sz w:val="20"/>
          <w:szCs w:val="20"/>
        </w:rPr>
        <w:t xml:space="preserve"> a </w:t>
      </w:r>
      <w:r>
        <w:rPr>
          <w:rFonts w:asciiTheme="majorHAnsi" w:hAnsiTheme="majorHAnsi" w:cs="Arial"/>
          <w:sz w:val="20"/>
          <w:szCs w:val="20"/>
        </w:rPr>
        <w:t>konsolidovanú výročnú správu podľa § 22 zákona o účtovníctve a to:</w:t>
      </w:r>
    </w:p>
    <w:p w:rsidR="00CE1BD2" w:rsidRPr="0042025A" w:rsidRDefault="00CE1BD2" w:rsidP="00CE1BD2">
      <w:pPr>
        <w:pStyle w:val="Odsekzoznamu"/>
        <w:spacing w:after="0" w:line="240" w:lineRule="auto"/>
        <w:ind w:left="851"/>
        <w:jc w:val="both"/>
        <w:rPr>
          <w:rFonts w:asciiTheme="majorHAnsi" w:hAnsiTheme="majorHAnsi" w:cs="Arial"/>
          <w:sz w:val="20"/>
          <w:szCs w:val="20"/>
        </w:rPr>
      </w:pPr>
    </w:p>
    <w:p w:rsidR="00CE1BD2" w:rsidRPr="0042025A" w:rsidRDefault="00CE1BD2" w:rsidP="00CE1BD2">
      <w:pPr>
        <w:pStyle w:val="Bezriadkovania"/>
        <w:ind w:left="426"/>
        <w:jc w:val="both"/>
        <w:rPr>
          <w:rFonts w:asciiTheme="majorHAnsi" w:hAnsiTheme="majorHAnsi" w:cs="Arial"/>
          <w:sz w:val="20"/>
          <w:szCs w:val="20"/>
        </w:rPr>
      </w:pPr>
      <w:sdt>
        <w:sdtPr>
          <w:rPr>
            <w:rFonts w:asciiTheme="majorHAnsi" w:eastAsia="MS Gothic" w:hAnsiTheme="majorHAnsi" w:cs="Arial"/>
            <w:b/>
            <w:sz w:val="20"/>
            <w:szCs w:val="20"/>
          </w:rPr>
          <w:id w:val="-11859725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42025A">
            <w:rPr>
              <w:rFonts w:ascii="MS Mincho" w:eastAsia="MS Mincho" w:hAnsi="MS Mincho" w:cs="MS Mincho" w:hint="eastAsia"/>
              <w:b/>
              <w:sz w:val="20"/>
              <w:szCs w:val="20"/>
            </w:rPr>
            <w:t>☐</w:t>
          </w:r>
        </w:sdtContent>
      </w:sdt>
      <w:r w:rsidRPr="0042025A">
        <w:rPr>
          <w:rFonts w:asciiTheme="majorHAnsi" w:hAnsiTheme="majorHAnsi" w:cs="Arial"/>
          <w:b/>
          <w:sz w:val="20"/>
          <w:szCs w:val="20"/>
        </w:rPr>
        <w:tab/>
      </w:r>
      <w:r w:rsidRPr="0042025A">
        <w:rPr>
          <w:rFonts w:asciiTheme="majorHAnsi" w:hAnsiTheme="majorHAnsi" w:cs="Arial"/>
          <w:sz w:val="20"/>
          <w:szCs w:val="20"/>
        </w:rPr>
        <w:t xml:space="preserve">v zmysle § 22 ods. 8 </w:t>
      </w:r>
      <w:proofErr w:type="spellStart"/>
      <w:r w:rsidRPr="0042025A">
        <w:rPr>
          <w:rFonts w:asciiTheme="majorHAnsi" w:hAnsiTheme="majorHAnsi" w:cs="Arial"/>
          <w:sz w:val="20"/>
          <w:szCs w:val="20"/>
        </w:rPr>
        <w:t>ZoÚ</w:t>
      </w:r>
      <w:proofErr w:type="spellEnd"/>
      <w:r w:rsidRPr="0042025A">
        <w:rPr>
          <w:rFonts w:asciiTheme="majorHAnsi" w:hAnsiTheme="majorHAnsi" w:cs="Arial"/>
          <w:sz w:val="20"/>
          <w:szCs w:val="20"/>
        </w:rPr>
        <w:t xml:space="preserve"> (oslobodenie od konsolidácie na medzistupni):</w:t>
      </w:r>
    </w:p>
    <w:p w:rsidR="00CE1BD2" w:rsidRPr="00A405A5" w:rsidRDefault="00CE1BD2" w:rsidP="00CE1BD2">
      <w:pPr>
        <w:spacing w:after="0" w:line="240" w:lineRule="auto"/>
        <w:ind w:left="426" w:hanging="426"/>
        <w:jc w:val="both"/>
        <w:rPr>
          <w:rFonts w:ascii="Cambria" w:hAnsi="Cambria" w:cs="Arial"/>
        </w:rPr>
      </w:pPr>
    </w:p>
    <w:p w:rsidR="00CE1BD2" w:rsidRPr="00A405A5" w:rsidRDefault="00CE1BD2" w:rsidP="00CE1BD2">
      <w:pPr>
        <w:spacing w:after="0" w:line="240" w:lineRule="auto"/>
        <w:ind w:left="426"/>
        <w:jc w:val="both"/>
        <w:rPr>
          <w:rFonts w:ascii="Cambria" w:hAnsi="Cambria" w:cs="Arial"/>
          <w:sz w:val="20"/>
          <w:szCs w:val="20"/>
        </w:rPr>
      </w:pPr>
      <w:r>
        <w:rPr>
          <w:rFonts w:ascii="Cambria" w:hAnsi="Cambria" w:cs="Arial"/>
          <w:sz w:val="20"/>
          <w:szCs w:val="20"/>
        </w:rPr>
        <w:t>Údaje o m</w:t>
      </w:r>
      <w:r w:rsidRPr="00A405A5">
        <w:rPr>
          <w:rFonts w:ascii="Cambria" w:hAnsi="Cambria" w:cs="Arial"/>
          <w:sz w:val="20"/>
          <w:szCs w:val="20"/>
        </w:rPr>
        <w:t>atersk</w:t>
      </w:r>
      <w:r>
        <w:rPr>
          <w:rFonts w:ascii="Cambria" w:hAnsi="Cambria" w:cs="Arial"/>
          <w:sz w:val="20"/>
          <w:szCs w:val="20"/>
        </w:rPr>
        <w:t>ej</w:t>
      </w:r>
      <w:r w:rsidRPr="00A405A5">
        <w:rPr>
          <w:rFonts w:ascii="Cambria" w:hAnsi="Cambria" w:cs="Arial"/>
          <w:sz w:val="20"/>
          <w:szCs w:val="20"/>
        </w:rPr>
        <w:t xml:space="preserve"> účtovn</w:t>
      </w:r>
      <w:r>
        <w:rPr>
          <w:rFonts w:ascii="Cambria" w:hAnsi="Cambria" w:cs="Arial"/>
          <w:sz w:val="20"/>
          <w:szCs w:val="20"/>
        </w:rPr>
        <w:t>ej</w:t>
      </w:r>
      <w:r w:rsidRPr="00A405A5">
        <w:rPr>
          <w:rFonts w:ascii="Cambria" w:hAnsi="Cambria" w:cs="Arial"/>
          <w:sz w:val="20"/>
          <w:szCs w:val="20"/>
        </w:rPr>
        <w:t xml:space="preserve"> jednotk</w:t>
      </w:r>
      <w:r>
        <w:rPr>
          <w:rFonts w:ascii="Cambria" w:hAnsi="Cambria" w:cs="Arial"/>
          <w:sz w:val="20"/>
          <w:szCs w:val="20"/>
        </w:rPr>
        <w:t>e</w:t>
      </w:r>
      <w:r w:rsidRPr="00A405A5">
        <w:rPr>
          <w:rFonts w:ascii="Cambria" w:hAnsi="Cambria" w:cs="Arial"/>
          <w:sz w:val="20"/>
          <w:szCs w:val="20"/>
        </w:rPr>
        <w:t xml:space="preserve"> zostavujúc</w:t>
      </w:r>
      <w:r>
        <w:rPr>
          <w:rFonts w:ascii="Cambria" w:hAnsi="Cambria" w:cs="Arial"/>
          <w:sz w:val="20"/>
          <w:szCs w:val="20"/>
        </w:rPr>
        <w:t>ej</w:t>
      </w:r>
      <w:r w:rsidRPr="00A405A5">
        <w:rPr>
          <w:rFonts w:ascii="Cambria" w:hAnsi="Cambria" w:cs="Arial"/>
          <w:sz w:val="20"/>
          <w:szCs w:val="20"/>
        </w:rPr>
        <w:t xml:space="preserve"> konsolidovanú účtovnú závierku podľa IFRS EÚ, do ktorej je zahrňovaná účtovná jednotka a všetky jej dcérske účtovné jednotky:</w:t>
      </w:r>
    </w:p>
    <w:p w:rsidR="00CE1BD2" w:rsidRPr="00A405A5" w:rsidRDefault="00CE1BD2" w:rsidP="00CE1BD2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CE1BD2" w:rsidRPr="00A405A5" w:rsidRDefault="00CE1BD2" w:rsidP="00CE1B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Obchodné meno: </w:t>
      </w:r>
      <w:r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Pr="00A405A5">
        <w:rPr>
          <w:rFonts w:ascii="Cambria" w:hAnsi="Cambria" w:cs="Arial"/>
          <w:b/>
          <w:sz w:val="20"/>
          <w:szCs w:val="20"/>
        </w:rPr>
      </w:r>
      <w:r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CE1BD2" w:rsidRDefault="00CE1BD2" w:rsidP="00CE1B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  <w:r w:rsidRPr="00A405A5">
        <w:rPr>
          <w:rFonts w:ascii="Cambria" w:hAnsi="Cambria" w:cs="Arial"/>
          <w:b/>
          <w:sz w:val="20"/>
          <w:szCs w:val="20"/>
        </w:rPr>
        <w:t xml:space="preserve">Sídlo: </w:t>
      </w:r>
      <w:r w:rsidRPr="00A405A5">
        <w:rPr>
          <w:rFonts w:ascii="Cambria" w:hAnsi="Cambria" w:cs="Arial"/>
          <w:b/>
          <w:sz w:val="20"/>
          <w:szCs w:val="20"/>
        </w:rPr>
        <w:fldChar w:fldCharType="begin">
          <w:ffData>
            <w:name w:val="Text6"/>
            <w:enabled/>
            <w:calcOnExit w:val="0"/>
            <w:textInput/>
          </w:ffData>
        </w:fldChar>
      </w:r>
      <w:r w:rsidRPr="00A405A5">
        <w:rPr>
          <w:rFonts w:ascii="Cambria" w:hAnsi="Cambria" w:cs="Arial"/>
          <w:b/>
          <w:sz w:val="20"/>
          <w:szCs w:val="20"/>
        </w:rPr>
        <w:instrText xml:space="preserve"> FORMTEXT </w:instrText>
      </w:r>
      <w:r w:rsidRPr="00A405A5">
        <w:rPr>
          <w:rFonts w:ascii="Cambria" w:hAnsi="Cambria" w:cs="Arial"/>
          <w:b/>
          <w:sz w:val="20"/>
          <w:szCs w:val="20"/>
        </w:rPr>
      </w:r>
      <w:r w:rsidRPr="00A405A5">
        <w:rPr>
          <w:rFonts w:ascii="Cambria" w:hAnsi="Cambria" w:cs="Arial"/>
          <w:b/>
          <w:sz w:val="20"/>
          <w:szCs w:val="20"/>
        </w:rPr>
        <w:fldChar w:fldCharType="separate"/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noProof/>
          <w:sz w:val="20"/>
          <w:szCs w:val="20"/>
        </w:rPr>
        <w:t> </w:t>
      </w:r>
      <w:r w:rsidRPr="00A405A5">
        <w:rPr>
          <w:rFonts w:ascii="Cambria" w:hAnsi="Cambria" w:cs="Arial"/>
          <w:b/>
          <w:sz w:val="20"/>
          <w:szCs w:val="20"/>
        </w:rPr>
        <w:fldChar w:fldCharType="end"/>
      </w:r>
    </w:p>
    <w:p w:rsidR="001E0710" w:rsidRDefault="001E0710" w:rsidP="00CE1BD2">
      <w:pPr>
        <w:spacing w:after="0"/>
        <w:ind w:left="852" w:hanging="426"/>
        <w:jc w:val="both"/>
        <w:rPr>
          <w:rFonts w:ascii="Cambria" w:hAnsi="Cambria" w:cs="Arial"/>
          <w:b/>
          <w:sz w:val="20"/>
          <w:szCs w:val="20"/>
        </w:rPr>
      </w:pPr>
    </w:p>
    <w:p w:rsidR="00CE1BD2" w:rsidRPr="00A405A5" w:rsidRDefault="00CE1BD2" w:rsidP="00CE1BD2">
      <w:pPr>
        <w:spacing w:after="0"/>
        <w:ind w:left="426" w:hanging="426"/>
        <w:jc w:val="both"/>
        <w:rPr>
          <w:rFonts w:ascii="Cambria" w:hAnsi="Cambria" w:cs="Arial"/>
          <w:b/>
          <w:sz w:val="20"/>
          <w:szCs w:val="20"/>
        </w:rPr>
      </w:pPr>
    </w:p>
    <w:p w:rsidR="00CE1BD2" w:rsidRPr="00041CBE" w:rsidRDefault="00CE1BD2" w:rsidP="00CE1BD2">
      <w:pPr>
        <w:pStyle w:val="Bezriadkovania"/>
        <w:ind w:left="852" w:hanging="426"/>
        <w:jc w:val="both"/>
        <w:rPr>
          <w:rFonts w:ascii="Cambria" w:hAnsi="Cambria" w:cs="Arial"/>
          <w:i/>
          <w:sz w:val="20"/>
          <w:szCs w:val="20"/>
        </w:rPr>
      </w:pPr>
      <w:sdt>
        <w:sdtPr>
          <w:rPr>
            <w:rFonts w:ascii="Cambria" w:eastAsia="MS Gothic" w:hAnsi="Cambria" w:cs="Arial"/>
            <w:b/>
          </w:rPr>
          <w:id w:val="804046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405A5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Pr="00A405A5">
        <w:rPr>
          <w:rFonts w:ascii="Cambria" w:hAnsi="Cambria" w:cs="Arial"/>
          <w:b/>
        </w:rPr>
        <w:tab/>
      </w:r>
      <w:r w:rsidRPr="00A405A5">
        <w:rPr>
          <w:rFonts w:ascii="Cambria" w:hAnsi="Cambria" w:cs="Arial"/>
          <w:sz w:val="20"/>
          <w:szCs w:val="20"/>
        </w:rPr>
        <w:t xml:space="preserve">v zmysle § 22 ods. 10 a 12 </w:t>
      </w:r>
      <w:proofErr w:type="spellStart"/>
      <w:r w:rsidRPr="00A405A5">
        <w:rPr>
          <w:rFonts w:ascii="Cambria" w:hAnsi="Cambria" w:cs="Arial"/>
          <w:sz w:val="20"/>
          <w:szCs w:val="20"/>
        </w:rPr>
        <w:t>ZoÚ</w:t>
      </w:r>
      <w:proofErr w:type="spellEnd"/>
      <w:r w:rsidRPr="00A405A5">
        <w:rPr>
          <w:rFonts w:ascii="Cambria" w:hAnsi="Cambria" w:cs="Arial"/>
          <w:sz w:val="20"/>
          <w:szCs w:val="20"/>
        </w:rPr>
        <w:t xml:space="preserve"> (oslobodenie pri </w:t>
      </w:r>
      <w:proofErr w:type="spellStart"/>
      <w:r w:rsidRPr="00A405A5">
        <w:rPr>
          <w:rFonts w:ascii="Cambria" w:hAnsi="Cambria" w:cs="Arial"/>
          <w:sz w:val="20"/>
          <w:szCs w:val="20"/>
        </w:rPr>
        <w:t>nevýznamnosti</w:t>
      </w:r>
      <w:proofErr w:type="spellEnd"/>
      <w:r w:rsidRPr="00A405A5">
        <w:rPr>
          <w:rFonts w:ascii="Cambria" w:hAnsi="Cambria" w:cs="Arial"/>
          <w:sz w:val="20"/>
          <w:szCs w:val="20"/>
        </w:rPr>
        <w:t xml:space="preserve"> dcérskych spoločností</w:t>
      </w:r>
      <w:r>
        <w:rPr>
          <w:rFonts w:ascii="Cambria" w:hAnsi="Cambria" w:cs="Arial"/>
          <w:sz w:val="20"/>
          <w:szCs w:val="20"/>
        </w:rPr>
        <w:t>, uvedených v prehľade</w:t>
      </w:r>
      <w:r w:rsidRPr="00A405A5">
        <w:rPr>
          <w:rFonts w:ascii="Cambria" w:hAnsi="Cambria" w:cs="Arial"/>
          <w:sz w:val="20"/>
          <w:szCs w:val="20"/>
        </w:rPr>
        <w:t>):</w:t>
      </w:r>
      <w:r>
        <w:rPr>
          <w:rFonts w:ascii="Cambria" w:hAnsi="Cambria" w:cs="Arial"/>
          <w:sz w:val="20"/>
          <w:szCs w:val="20"/>
        </w:rPr>
        <w:t xml:space="preserve"> </w:t>
      </w:r>
      <w:r>
        <w:rPr>
          <w:rFonts w:ascii="Cambria" w:hAnsi="Cambria" w:cs="Arial"/>
          <w:i/>
          <w:sz w:val="20"/>
          <w:szCs w:val="20"/>
        </w:rPr>
        <w:t>počet riadkov závisí od Vašich potrieb, ak prevyšuje, prázdne odstráňte.</w:t>
      </w:r>
    </w:p>
    <w:p w:rsidR="00CE1BD2" w:rsidRDefault="00CE1BD2" w:rsidP="00CE1BD2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919"/>
        <w:gridCol w:w="5025"/>
      </w:tblGrid>
      <w:tr w:rsidR="00CE1BD2" w:rsidTr="00CE1BD2">
        <w:tc>
          <w:tcPr>
            <w:tcW w:w="9072" w:type="dxa"/>
            <w:gridSpan w:val="2"/>
            <w:vAlign w:val="center"/>
          </w:tcPr>
          <w:p w:rsidR="00CE1BD2" w:rsidRPr="00633C0F" w:rsidRDefault="00CE1BD2" w:rsidP="00CE1BD2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633C0F">
              <w:rPr>
                <w:rFonts w:ascii="Cambria" w:hAnsi="Cambria" w:cs="Arial"/>
                <w:b/>
                <w:sz w:val="20"/>
                <w:szCs w:val="20"/>
              </w:rPr>
              <w:t>Dcérska spoločnosť</w:t>
            </w:r>
          </w:p>
        </w:tc>
      </w:tr>
      <w:tr w:rsidR="00CE1BD2" w:rsidTr="00CE1BD2">
        <w:tc>
          <w:tcPr>
            <w:tcW w:w="3969" w:type="dxa"/>
            <w:vAlign w:val="center"/>
          </w:tcPr>
          <w:p w:rsidR="00CE1BD2" w:rsidRPr="004236ED" w:rsidRDefault="00CE1BD2" w:rsidP="00CE1BD2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Obchodné meno</w:t>
            </w:r>
          </w:p>
        </w:tc>
        <w:tc>
          <w:tcPr>
            <w:tcW w:w="5103" w:type="dxa"/>
            <w:vAlign w:val="center"/>
          </w:tcPr>
          <w:p w:rsidR="00CE1BD2" w:rsidRPr="004236ED" w:rsidRDefault="00CE1BD2" w:rsidP="00CE1BD2">
            <w:pPr>
              <w:pStyle w:val="Bezriadkovania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4236ED">
              <w:rPr>
                <w:rFonts w:ascii="Cambria" w:hAnsi="Cambria" w:cs="Arial"/>
                <w:b/>
                <w:sz w:val="20"/>
                <w:szCs w:val="20"/>
              </w:rPr>
              <w:t>Sídlo</w:t>
            </w:r>
          </w:p>
        </w:tc>
      </w:tr>
      <w:tr w:rsidR="00CE1BD2" w:rsidTr="00CE1BD2">
        <w:tc>
          <w:tcPr>
            <w:tcW w:w="3969" w:type="dxa"/>
            <w:shd w:val="clear" w:color="auto" w:fill="D9E2F3" w:themeFill="accent1" w:themeFillTint="33"/>
          </w:tcPr>
          <w:p w:rsidR="00CE1BD2" w:rsidRPr="009346E3" w:rsidRDefault="00CE1BD2" w:rsidP="00CE1BD2">
            <w:pPr>
              <w:pStyle w:val="Bezriadkovania"/>
              <w:jc w:val="both"/>
              <w:rPr>
                <w:rFonts w:ascii="Cambria" w:hAnsi="Cambria" w:cs="Arial"/>
                <w:color w:val="D9E2F3" w:themeColor="accent1" w:themeTint="33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9E2F3" w:themeFill="accent1" w:themeFillTint="33"/>
          </w:tcPr>
          <w:p w:rsidR="00CE1BD2" w:rsidRPr="009346E3" w:rsidRDefault="00CE1BD2" w:rsidP="00CE1BD2">
            <w:pPr>
              <w:pStyle w:val="Bezriadkovania"/>
              <w:jc w:val="both"/>
              <w:rPr>
                <w:rFonts w:ascii="Cambria" w:hAnsi="Cambria" w:cs="Arial"/>
                <w:color w:val="D9E2F3" w:themeColor="accent1" w:themeTint="33"/>
                <w:sz w:val="20"/>
                <w:szCs w:val="20"/>
              </w:rPr>
            </w:pPr>
          </w:p>
        </w:tc>
      </w:tr>
      <w:tr w:rsidR="00CE1BD2" w:rsidTr="00CE1BD2">
        <w:tc>
          <w:tcPr>
            <w:tcW w:w="3969" w:type="dxa"/>
          </w:tcPr>
          <w:p w:rsidR="00CE1BD2" w:rsidRDefault="00CE1BD2" w:rsidP="00CE1BD2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E1BD2" w:rsidRDefault="00CE1BD2" w:rsidP="00CE1BD2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E1BD2" w:rsidTr="00CE1BD2">
        <w:tc>
          <w:tcPr>
            <w:tcW w:w="3969" w:type="dxa"/>
            <w:shd w:val="clear" w:color="auto" w:fill="D9E2F3" w:themeFill="accent1" w:themeFillTint="33"/>
          </w:tcPr>
          <w:p w:rsidR="00CE1BD2" w:rsidRDefault="00CE1BD2" w:rsidP="00CE1BD2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9E2F3" w:themeFill="accent1" w:themeFillTint="33"/>
          </w:tcPr>
          <w:p w:rsidR="00CE1BD2" w:rsidRDefault="00CE1BD2" w:rsidP="00CE1BD2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E1BD2" w:rsidTr="00CE1BD2">
        <w:tc>
          <w:tcPr>
            <w:tcW w:w="3969" w:type="dxa"/>
          </w:tcPr>
          <w:p w:rsidR="00CE1BD2" w:rsidRDefault="00CE1BD2" w:rsidP="00CE1BD2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E1BD2" w:rsidRDefault="00CE1BD2" w:rsidP="00CE1BD2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E1BD2" w:rsidTr="00CE1BD2">
        <w:tc>
          <w:tcPr>
            <w:tcW w:w="3969" w:type="dxa"/>
            <w:shd w:val="clear" w:color="auto" w:fill="D9E2F3" w:themeFill="accent1" w:themeFillTint="33"/>
          </w:tcPr>
          <w:p w:rsidR="00CE1BD2" w:rsidRDefault="00CE1BD2" w:rsidP="00CE1BD2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  <w:shd w:val="clear" w:color="auto" w:fill="D9E2F3" w:themeFill="accent1" w:themeFillTint="33"/>
          </w:tcPr>
          <w:p w:rsidR="00CE1BD2" w:rsidRDefault="00CE1BD2" w:rsidP="00CE1BD2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  <w:tr w:rsidR="00CE1BD2" w:rsidTr="00CE1BD2">
        <w:tc>
          <w:tcPr>
            <w:tcW w:w="3969" w:type="dxa"/>
          </w:tcPr>
          <w:p w:rsidR="00CE1BD2" w:rsidRDefault="00CE1BD2" w:rsidP="00CE1BD2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5103" w:type="dxa"/>
          </w:tcPr>
          <w:p w:rsidR="00CE1BD2" w:rsidRDefault="00CE1BD2" w:rsidP="00CE1BD2">
            <w:pPr>
              <w:pStyle w:val="Bezriadkovania"/>
              <w:jc w:val="both"/>
              <w:rPr>
                <w:rFonts w:ascii="Cambria" w:hAnsi="Cambria" w:cs="Arial"/>
                <w:sz w:val="20"/>
                <w:szCs w:val="20"/>
              </w:rPr>
            </w:pPr>
          </w:p>
        </w:tc>
      </w:tr>
    </w:tbl>
    <w:p w:rsidR="00CE1BD2" w:rsidRDefault="00CE1BD2" w:rsidP="00CE1BD2">
      <w:pPr>
        <w:pStyle w:val="Bezriadkovania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CE1BD2" w:rsidRDefault="00CE1BD2" w:rsidP="00CE1BD2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CE1BD2" w:rsidRDefault="00CE1BD2" w:rsidP="00CE1BD2">
      <w:pPr>
        <w:spacing w:after="0"/>
        <w:jc w:val="both"/>
        <w:rPr>
          <w:rFonts w:ascii="Cambria" w:hAnsi="Cambria" w:cs="Arial"/>
          <w:i/>
          <w:sz w:val="20"/>
          <w:szCs w:val="20"/>
        </w:rPr>
      </w:pPr>
      <w:r w:rsidRPr="004C53A2">
        <w:rPr>
          <w:rFonts w:ascii="Cambria" w:hAnsi="Cambria" w:cs="Arial"/>
          <w:i/>
          <w:sz w:val="20"/>
          <w:szCs w:val="20"/>
        </w:rPr>
        <w:t xml:space="preserve">V ďalšom vzorovom texte sa uvádza všeobecné označenie „bežné účtovné obdobie“ a „bezprostredne predchádzajúce účtovné obdobie“. Toto všeobecné označenie nahraďte pre Vás aktuálnym účtovným obdobím. </w:t>
      </w:r>
      <w:r>
        <w:rPr>
          <w:rFonts w:ascii="Cambria" w:hAnsi="Cambria" w:cs="Arial"/>
          <w:i/>
          <w:sz w:val="20"/>
          <w:szCs w:val="20"/>
        </w:rPr>
        <w:t xml:space="preserve"> Opäť dávame do pozornosti, aby Ste t</w:t>
      </w:r>
      <w:r w:rsidRPr="004C53A2">
        <w:rPr>
          <w:rFonts w:ascii="Cambria" w:hAnsi="Cambria" w:cs="Arial"/>
          <w:i/>
          <w:sz w:val="20"/>
          <w:szCs w:val="20"/>
        </w:rPr>
        <w:t>ext označený kurzívou, slúžiaci pre prácu so vzorovým</w:t>
      </w:r>
      <w:r>
        <w:rPr>
          <w:rFonts w:ascii="Cambria" w:hAnsi="Cambria" w:cs="Arial"/>
          <w:i/>
          <w:sz w:val="20"/>
          <w:szCs w:val="20"/>
        </w:rPr>
        <w:t xml:space="preserve"> dokumentom, následne odstránili.</w:t>
      </w:r>
    </w:p>
    <w:p w:rsidR="001E0710" w:rsidRDefault="001E0710" w:rsidP="00CE1BD2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1E0710" w:rsidRPr="00A405A5" w:rsidRDefault="001E0710" w:rsidP="001E071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Pre danú oblasť nemá účtovná jednotka obsahovú náplň.</w:t>
      </w:r>
    </w:p>
    <w:p w:rsidR="001E0710" w:rsidRDefault="001E0710" w:rsidP="00CE1BD2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CE1BD2" w:rsidRDefault="00CE1BD2" w:rsidP="00CE1BD2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CE1BD2" w:rsidRPr="004C53A2" w:rsidRDefault="00CE1BD2" w:rsidP="00CE1BD2">
      <w:pPr>
        <w:spacing w:after="0"/>
        <w:jc w:val="both"/>
        <w:rPr>
          <w:rFonts w:ascii="Cambria" w:hAnsi="Cambria" w:cs="Arial"/>
          <w:i/>
          <w:sz w:val="20"/>
          <w:szCs w:val="20"/>
        </w:rPr>
      </w:pPr>
    </w:p>
    <w:p w:rsidR="00CE1BD2" w:rsidRPr="00395156" w:rsidRDefault="00CE1BD2" w:rsidP="00CE1BD2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I.5</w:t>
      </w:r>
      <w:r w:rsidRPr="00395156">
        <w:rPr>
          <w:rFonts w:ascii="Cambria" w:hAnsi="Cambria" w:cs="Arial"/>
          <w:b/>
        </w:rPr>
        <w:tab/>
        <w:t>Informácie o počte zamestnancov:</w:t>
      </w:r>
    </w:p>
    <w:p w:rsidR="00CE1BD2" w:rsidRPr="00A405A5" w:rsidRDefault="00CE1BD2" w:rsidP="00CE1BD2">
      <w:pPr>
        <w:pStyle w:val="Odsekzoznamu"/>
        <w:spacing w:after="0" w:line="240" w:lineRule="auto"/>
        <w:ind w:left="426" w:hanging="426"/>
        <w:jc w:val="both"/>
        <w:rPr>
          <w:rFonts w:ascii="Cambria" w:hAnsi="Cambria" w:cs="Arial"/>
          <w:b/>
          <w:sz w:val="24"/>
          <w:szCs w:val="24"/>
        </w:rPr>
      </w:pPr>
    </w:p>
    <w:tbl>
      <w:tblPr>
        <w:tblStyle w:val="Mriekatabuky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  <w:gridCol w:w="2381"/>
        <w:gridCol w:w="2381"/>
      </w:tblGrid>
      <w:tr w:rsidR="00CE1BD2" w:rsidRPr="00B47D63" w:rsidTr="00CE1BD2"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1B7F7A" w:rsidRDefault="00CE1BD2" w:rsidP="00CE1BD2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1B7F7A" w:rsidRDefault="00CE1BD2" w:rsidP="00CE1BD2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Bežné</w:t>
            </w:r>
          </w:p>
          <w:p w:rsidR="00CE1BD2" w:rsidRPr="001B7F7A" w:rsidRDefault="00CE1BD2" w:rsidP="00CE1BD2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1B7F7A" w:rsidRDefault="00CE1BD2" w:rsidP="00CE1BD2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Bezprostredne</w:t>
            </w:r>
          </w:p>
          <w:p w:rsidR="00CE1BD2" w:rsidRPr="001B7F7A" w:rsidRDefault="00CE1BD2" w:rsidP="00CE1BD2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predchádzajúce</w:t>
            </w:r>
          </w:p>
          <w:p w:rsidR="00CE1BD2" w:rsidRPr="001B7F7A" w:rsidRDefault="00CE1BD2" w:rsidP="00CE1BD2">
            <w:pPr>
              <w:ind w:left="426" w:hanging="426"/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1B7F7A">
              <w:rPr>
                <w:rFonts w:ascii="Cambria" w:hAnsi="Cambria" w:cs="Arial"/>
                <w:b/>
                <w:sz w:val="20"/>
                <w:szCs w:val="20"/>
              </w:rPr>
              <w:t>účtovné obdobie</w:t>
            </w:r>
          </w:p>
        </w:tc>
      </w:tr>
      <w:tr w:rsidR="00CE1BD2" w:rsidRPr="00B47D63" w:rsidTr="00CE1BD2">
        <w:trPr>
          <w:trHeight w:val="378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1C36CF" w:rsidRDefault="00CE1BD2" w:rsidP="00CE1BD2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Priemerný prepočítaný počet zamestnancov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1B7F7A" w:rsidRDefault="00CE1BD2" w:rsidP="00CE1BD2">
            <w:pPr>
              <w:ind w:left="426" w:hanging="426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3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1B7F7A" w:rsidRDefault="00CE1BD2" w:rsidP="00CE1BD2">
            <w:pPr>
              <w:ind w:left="426" w:hanging="426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3</w:t>
            </w:r>
          </w:p>
        </w:tc>
      </w:tr>
      <w:tr w:rsidR="00CE1BD2" w:rsidRPr="00B47D63" w:rsidTr="00CE1BD2">
        <w:trPr>
          <w:trHeight w:val="755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1B7F7A" w:rsidRDefault="00CE1BD2" w:rsidP="00CE1BD2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Počet zamestnancov ku dňu, ku ktorému sa zostavuje účtovná závierka vrátane vedúcich zamestnancov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1B7F7A" w:rsidRDefault="00CE1BD2" w:rsidP="00CE1BD2">
            <w:pPr>
              <w:ind w:left="426" w:hanging="426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3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1B7F7A" w:rsidRDefault="00CE1BD2" w:rsidP="00CE1BD2">
            <w:pPr>
              <w:ind w:left="426" w:hanging="426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3</w:t>
            </w:r>
          </w:p>
        </w:tc>
      </w:tr>
      <w:tr w:rsidR="00CE1BD2" w:rsidRPr="00B47D63" w:rsidTr="00CE1BD2">
        <w:trPr>
          <w:trHeight w:val="837"/>
        </w:trPr>
        <w:tc>
          <w:tcPr>
            <w:tcW w:w="4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Default="00CE1BD2" w:rsidP="00CE1BD2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Počet vedúcich zamestnancov (členovia štatutárneho orgánu ÚJ a vedúci zamestnanci</w:t>
            </w:r>
          </w:p>
          <w:p w:rsidR="00CE1BD2" w:rsidRPr="001B7F7A" w:rsidRDefault="00CE1BD2" w:rsidP="00CE1BD2">
            <w:pPr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 w:rsidRPr="001B7F7A">
              <w:rPr>
                <w:rFonts w:ascii="Cambria" w:hAnsi="Cambria" w:cs="Arial"/>
                <w:sz w:val="20"/>
                <w:szCs w:val="20"/>
              </w:rPr>
              <w:t>v priamej pôsobnosti ŠO alebo člena ŠO)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1B7F7A" w:rsidRDefault="00CE1BD2" w:rsidP="00CE1BD2">
            <w:pPr>
              <w:ind w:left="426" w:hanging="426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1</w:t>
            </w:r>
          </w:p>
        </w:tc>
        <w:tc>
          <w:tcPr>
            <w:tcW w:w="23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1B7F7A" w:rsidRDefault="00CE1BD2" w:rsidP="00CE1BD2">
            <w:pPr>
              <w:ind w:left="426" w:hanging="426"/>
              <w:jc w:val="center"/>
              <w:rPr>
                <w:rFonts w:ascii="Cambria" w:hAnsi="Cambria" w:cs="Arial"/>
                <w:b/>
                <w:sz w:val="24"/>
                <w:szCs w:val="24"/>
              </w:rPr>
            </w:pPr>
            <w:r>
              <w:rPr>
                <w:rFonts w:ascii="Cambria" w:hAnsi="Cambria" w:cs="Arial"/>
                <w:b/>
                <w:sz w:val="24"/>
                <w:szCs w:val="24"/>
              </w:rPr>
              <w:t>1</w:t>
            </w:r>
          </w:p>
        </w:tc>
      </w:tr>
    </w:tbl>
    <w:p w:rsidR="00CE1BD2" w:rsidRPr="00B47D63" w:rsidRDefault="00CE1BD2" w:rsidP="00CE1BD2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CE1BD2" w:rsidRDefault="00CE1BD2" w:rsidP="00CE1BD2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1E0710" w:rsidRDefault="001E0710" w:rsidP="00CE1BD2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1E0710" w:rsidRDefault="001E0710" w:rsidP="00CE1BD2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1E0710" w:rsidRDefault="001E0710" w:rsidP="00CE1BD2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CE1BD2" w:rsidRDefault="00CE1BD2" w:rsidP="00CE1BD2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p w:rsidR="00CE1BD2" w:rsidRDefault="00CE1BD2" w:rsidP="00CE1BD2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lastRenderedPageBreak/>
        <w:t>Článok II – Informácie o orgánoch spoločnosti</w:t>
      </w:r>
    </w:p>
    <w:p w:rsidR="00CE1BD2" w:rsidRDefault="00CE1BD2" w:rsidP="00CE1BD2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>II. a) – d)</w:t>
      </w:r>
    </w:p>
    <w:p w:rsidR="00CE1BD2" w:rsidRDefault="00CE1BD2" w:rsidP="00CE1BD2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28"/>
        <w:gridCol w:w="1428"/>
        <w:gridCol w:w="1239"/>
        <w:gridCol w:w="975"/>
        <w:gridCol w:w="1428"/>
        <w:gridCol w:w="1239"/>
        <w:gridCol w:w="975"/>
      </w:tblGrid>
      <w:tr w:rsidR="00CE1BD2" w:rsidRPr="00507AE7" w:rsidTr="00CE1BD2">
        <w:tc>
          <w:tcPr>
            <w:tcW w:w="1928" w:type="dxa"/>
            <w:vMerge w:val="restart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507AE7"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642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Hodnota príjmu,</w:t>
            </w:r>
          </w:p>
          <w:p w:rsidR="00CE1BD2" w:rsidRPr="00507AE7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výhody súčasných členov orgánov</w:t>
            </w:r>
          </w:p>
        </w:tc>
        <w:tc>
          <w:tcPr>
            <w:tcW w:w="3642" w:type="dxa"/>
            <w:gridSpan w:val="3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Hodnota príjmu,</w:t>
            </w:r>
          </w:p>
          <w:p w:rsidR="00CE1BD2" w:rsidRPr="00507AE7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výhody bývalých členov orgánov</w:t>
            </w:r>
          </w:p>
        </w:tc>
      </w:tr>
      <w:tr w:rsidR="00CE1BD2" w:rsidRPr="00507AE7" w:rsidTr="00CE1BD2">
        <w:tc>
          <w:tcPr>
            <w:tcW w:w="1928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štatutárneho</w:t>
            </w:r>
          </w:p>
        </w:tc>
        <w:tc>
          <w:tcPr>
            <w:tcW w:w="123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dozorného</w:t>
            </w:r>
          </w:p>
        </w:tc>
        <w:tc>
          <w:tcPr>
            <w:tcW w:w="97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iného</w:t>
            </w:r>
          </w:p>
        </w:tc>
        <w:tc>
          <w:tcPr>
            <w:tcW w:w="142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štatutárneho</w:t>
            </w:r>
          </w:p>
        </w:tc>
        <w:tc>
          <w:tcPr>
            <w:tcW w:w="123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dozorného</w:t>
            </w:r>
          </w:p>
        </w:tc>
        <w:tc>
          <w:tcPr>
            <w:tcW w:w="97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b/>
                <w:sz w:val="20"/>
                <w:szCs w:val="20"/>
              </w:rPr>
              <w:t>iného</w:t>
            </w:r>
          </w:p>
        </w:tc>
      </w:tr>
      <w:tr w:rsidR="00CE1BD2" w:rsidRPr="00507AE7" w:rsidTr="00CE1BD2">
        <w:tc>
          <w:tcPr>
            <w:tcW w:w="1928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1 - BO</w:t>
            </w: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1 - BO</w:t>
            </w:r>
          </w:p>
        </w:tc>
      </w:tr>
      <w:tr w:rsidR="00CE1BD2" w:rsidRPr="00507AE7" w:rsidTr="00CE1BD2">
        <w:tc>
          <w:tcPr>
            <w:tcW w:w="1928" w:type="dxa"/>
            <w:vMerge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2 - PO</w:t>
            </w:r>
          </w:p>
        </w:tc>
        <w:tc>
          <w:tcPr>
            <w:tcW w:w="3642" w:type="dxa"/>
            <w:gridSpan w:val="3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Časť 2 - PO</w:t>
            </w:r>
          </w:p>
        </w:tc>
      </w:tr>
      <w:tr w:rsidR="00CE1BD2" w:rsidRPr="00507AE7" w:rsidTr="00CE1BD2">
        <w:tc>
          <w:tcPr>
            <w:tcW w:w="1928" w:type="dxa"/>
            <w:vMerge w:val="restart"/>
            <w:tcBorders>
              <w:top w:val="single" w:sz="12" w:space="0" w:color="auto"/>
            </w:tcBorders>
            <w:vAlign w:val="center"/>
          </w:tcPr>
          <w:p w:rsidR="00CE1BD2" w:rsidRPr="00507AE7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Záruky</w:t>
            </w:r>
          </w:p>
        </w:tc>
        <w:tc>
          <w:tcPr>
            <w:tcW w:w="1428" w:type="dxa"/>
            <w:tcBorders>
              <w:top w:val="single" w:sz="12" w:space="0" w:color="auto"/>
            </w:tcBorders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1239" w:type="dxa"/>
            <w:tcBorders>
              <w:top w:val="single" w:sz="12" w:space="0" w:color="auto"/>
            </w:tcBorders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975" w:type="dxa"/>
            <w:tcBorders>
              <w:top w:val="single" w:sz="12" w:space="0" w:color="auto"/>
            </w:tcBorders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1428" w:type="dxa"/>
            <w:tcBorders>
              <w:top w:val="single" w:sz="12" w:space="0" w:color="auto"/>
            </w:tcBorders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1239" w:type="dxa"/>
            <w:tcBorders>
              <w:top w:val="single" w:sz="12" w:space="0" w:color="auto"/>
            </w:tcBorders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975" w:type="dxa"/>
            <w:tcBorders>
              <w:top w:val="single" w:sz="12" w:space="0" w:color="auto"/>
            </w:tcBorders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</w:tr>
      <w:tr w:rsidR="00CE1BD2" w:rsidRPr="00507AE7" w:rsidTr="00CE1BD2">
        <w:tc>
          <w:tcPr>
            <w:tcW w:w="1928" w:type="dxa"/>
            <w:vMerge/>
            <w:vAlign w:val="center"/>
          </w:tcPr>
          <w:p w:rsidR="00CE1BD2" w:rsidRPr="00507AE7" w:rsidRDefault="00CE1BD2" w:rsidP="00CE1BD2">
            <w:pP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1239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975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1428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1239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975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</w:tr>
      <w:tr w:rsidR="00CE1BD2" w:rsidRPr="00507AE7" w:rsidTr="00CE1BD2">
        <w:tc>
          <w:tcPr>
            <w:tcW w:w="1928" w:type="dxa"/>
            <w:vMerge w:val="restart"/>
            <w:vAlign w:val="center"/>
          </w:tcPr>
          <w:p w:rsidR="00CE1BD2" w:rsidRPr="00507AE7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Iné zabezpečenie</w:t>
            </w:r>
          </w:p>
        </w:tc>
        <w:tc>
          <w:tcPr>
            <w:tcW w:w="1428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1239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975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1428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1239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975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</w:tr>
      <w:tr w:rsidR="00CE1BD2" w:rsidRPr="00507AE7" w:rsidTr="00CE1BD2">
        <w:tc>
          <w:tcPr>
            <w:tcW w:w="1928" w:type="dxa"/>
            <w:vMerge/>
            <w:vAlign w:val="center"/>
          </w:tcPr>
          <w:p w:rsidR="00CE1BD2" w:rsidRPr="00507AE7" w:rsidRDefault="00CE1BD2" w:rsidP="00CE1BD2">
            <w:pP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1239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975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1428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1239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975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</w:tr>
      <w:tr w:rsidR="00CE1BD2" w:rsidRPr="00507AE7" w:rsidTr="00CE1BD2">
        <w:tc>
          <w:tcPr>
            <w:tcW w:w="1928" w:type="dxa"/>
            <w:vMerge w:val="restart"/>
            <w:vAlign w:val="center"/>
          </w:tcPr>
          <w:p w:rsidR="00CE1BD2" w:rsidRPr="00507AE7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Poskytnuté pôžičky k poslednému dňu účtovného obdobia</w:t>
            </w:r>
          </w:p>
        </w:tc>
        <w:tc>
          <w:tcPr>
            <w:tcW w:w="1428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1239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975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1428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1239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975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</w:tr>
      <w:tr w:rsidR="00CE1BD2" w:rsidRPr="00507AE7" w:rsidTr="00CE1BD2">
        <w:tc>
          <w:tcPr>
            <w:tcW w:w="1928" w:type="dxa"/>
            <w:vMerge/>
            <w:vAlign w:val="center"/>
          </w:tcPr>
          <w:p w:rsidR="00CE1BD2" w:rsidRPr="00507AE7" w:rsidRDefault="00CE1BD2" w:rsidP="00CE1BD2">
            <w:pP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1239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975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1428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1239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975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</w:tr>
      <w:tr w:rsidR="00CE1BD2" w:rsidRPr="00507AE7" w:rsidTr="00CE1BD2">
        <w:tc>
          <w:tcPr>
            <w:tcW w:w="1928" w:type="dxa"/>
            <w:vMerge w:val="restart"/>
            <w:vAlign w:val="center"/>
          </w:tcPr>
          <w:p w:rsidR="00CE1BD2" w:rsidRPr="00507AE7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Splatené pôžičky</w:t>
            </w:r>
          </w:p>
          <w:p w:rsidR="00CE1BD2" w:rsidRPr="00507AE7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k poslednému dňu účtovného obdobia</w:t>
            </w:r>
          </w:p>
        </w:tc>
        <w:tc>
          <w:tcPr>
            <w:tcW w:w="1428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1239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975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1428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1239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975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</w:tr>
      <w:tr w:rsidR="00CE1BD2" w:rsidRPr="00507AE7" w:rsidTr="00CE1BD2">
        <w:tc>
          <w:tcPr>
            <w:tcW w:w="1928" w:type="dxa"/>
            <w:vMerge/>
            <w:vAlign w:val="center"/>
          </w:tcPr>
          <w:p w:rsidR="00CE1BD2" w:rsidRPr="00507AE7" w:rsidRDefault="00CE1BD2" w:rsidP="00CE1BD2">
            <w:pP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1239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975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1428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1239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975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</w:tr>
      <w:tr w:rsidR="00CE1BD2" w:rsidRPr="00507AE7" w:rsidTr="00CE1BD2">
        <w:tc>
          <w:tcPr>
            <w:tcW w:w="1928" w:type="dxa"/>
            <w:vMerge w:val="restart"/>
            <w:vAlign w:val="center"/>
          </w:tcPr>
          <w:p w:rsidR="00CE1BD2" w:rsidRPr="00507AE7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Odpustené a odpísané pôžičky</w:t>
            </w:r>
          </w:p>
          <w:p w:rsidR="00CE1BD2" w:rsidRPr="00507AE7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k poslednému dňu účtovného obdobia</w:t>
            </w:r>
          </w:p>
        </w:tc>
        <w:tc>
          <w:tcPr>
            <w:tcW w:w="1428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1239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975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1428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1239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975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</w:tr>
      <w:tr w:rsidR="00CE1BD2" w:rsidRPr="00507AE7" w:rsidTr="00CE1BD2">
        <w:tc>
          <w:tcPr>
            <w:tcW w:w="1928" w:type="dxa"/>
            <w:vMerge/>
            <w:vAlign w:val="center"/>
          </w:tcPr>
          <w:p w:rsidR="00CE1BD2" w:rsidRPr="00507AE7" w:rsidRDefault="00CE1BD2" w:rsidP="00CE1BD2">
            <w:pP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1239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975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1428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1239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975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</w:tr>
      <w:tr w:rsidR="00CE1BD2" w:rsidRPr="00507AE7" w:rsidTr="00CE1BD2">
        <w:tc>
          <w:tcPr>
            <w:tcW w:w="1928" w:type="dxa"/>
            <w:vMerge w:val="restart"/>
            <w:vAlign w:val="center"/>
          </w:tcPr>
          <w:p w:rsidR="00CE1BD2" w:rsidRPr="00507AE7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Použité finančné prostriedky</w:t>
            </w:r>
          </w:p>
        </w:tc>
        <w:tc>
          <w:tcPr>
            <w:tcW w:w="1428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1239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975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1428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1239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975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</w:tr>
      <w:tr w:rsidR="00CE1BD2" w:rsidRPr="00507AE7" w:rsidTr="00CE1BD2">
        <w:tc>
          <w:tcPr>
            <w:tcW w:w="1928" w:type="dxa"/>
            <w:vMerge/>
            <w:vAlign w:val="center"/>
          </w:tcPr>
          <w:p w:rsidR="00CE1BD2" w:rsidRPr="00507AE7" w:rsidRDefault="00CE1BD2" w:rsidP="00CE1BD2">
            <w:pP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1239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975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1428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1239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975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</w:tr>
      <w:tr w:rsidR="00CE1BD2" w:rsidRPr="00507AE7" w:rsidTr="00CE1BD2">
        <w:tc>
          <w:tcPr>
            <w:tcW w:w="1928" w:type="dxa"/>
            <w:vMerge w:val="restart"/>
            <w:vAlign w:val="center"/>
          </w:tcPr>
          <w:p w:rsidR="00CE1BD2" w:rsidRPr="00507AE7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507AE7">
              <w:rPr>
                <w:rFonts w:asciiTheme="majorHAnsi" w:hAnsiTheme="majorHAnsi" w:cs="Arial"/>
                <w:sz w:val="20"/>
                <w:szCs w:val="20"/>
              </w:rPr>
              <w:t>Iné plnenia na súkromné účely, ktoré je potrebné vyúčtovať</w:t>
            </w:r>
          </w:p>
        </w:tc>
        <w:tc>
          <w:tcPr>
            <w:tcW w:w="1428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1239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975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1428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1239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975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</w:tr>
      <w:tr w:rsidR="00CE1BD2" w:rsidRPr="00507AE7" w:rsidTr="00CE1BD2">
        <w:tc>
          <w:tcPr>
            <w:tcW w:w="1928" w:type="dxa"/>
            <w:vMerge/>
            <w:vAlign w:val="center"/>
          </w:tcPr>
          <w:p w:rsidR="00CE1BD2" w:rsidRPr="00507AE7" w:rsidRDefault="00CE1BD2" w:rsidP="00CE1BD2">
            <w:pP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1239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975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1428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1239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975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</w:tr>
      <w:tr w:rsidR="00CE1BD2" w:rsidRPr="00507AE7" w:rsidTr="00CE1BD2">
        <w:tc>
          <w:tcPr>
            <w:tcW w:w="1928" w:type="dxa"/>
            <w:vMerge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428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1239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975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1428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1239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  <w:tc>
          <w:tcPr>
            <w:tcW w:w="975" w:type="dxa"/>
            <w:vAlign w:val="center"/>
          </w:tcPr>
          <w:p w:rsidR="00CE1BD2" w:rsidRPr="00507AE7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-</w:t>
            </w:r>
          </w:p>
        </w:tc>
      </w:tr>
    </w:tbl>
    <w:p w:rsidR="00CE1BD2" w:rsidRPr="00507AE7" w:rsidRDefault="00CE1BD2" w:rsidP="00CE1BD2">
      <w:pPr>
        <w:spacing w:after="0" w:line="240" w:lineRule="auto"/>
        <w:rPr>
          <w:rFonts w:asciiTheme="majorHAnsi" w:hAnsiTheme="majorHAnsi" w:cs="Arial"/>
          <w:b/>
          <w:sz w:val="24"/>
          <w:szCs w:val="24"/>
        </w:rPr>
      </w:pPr>
    </w:p>
    <w:p w:rsidR="00CE1BD2" w:rsidRDefault="00CE1BD2" w:rsidP="00CE1BD2">
      <w:pPr>
        <w:spacing w:before="240" w:line="240" w:lineRule="auto"/>
        <w:ind w:right="142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b/>
          <w:sz w:val="20"/>
          <w:szCs w:val="20"/>
        </w:rPr>
        <w:lastRenderedPageBreak/>
        <w:t xml:space="preserve">Dodatočné </w:t>
      </w:r>
      <w:r w:rsidRPr="00507AE7">
        <w:rPr>
          <w:rFonts w:asciiTheme="majorHAnsi" w:hAnsiTheme="majorHAnsi" w:cs="Arial"/>
          <w:b/>
          <w:sz w:val="20"/>
          <w:szCs w:val="20"/>
        </w:rPr>
        <w:t>informácie o príjmoch a výhodách členov štatutárnych orgánov, dozorných orgánov a iného orgánu účtovnej jednotky</w:t>
      </w:r>
      <w:r w:rsidRPr="00507AE7">
        <w:rPr>
          <w:rFonts w:asciiTheme="majorHAnsi" w:hAnsiTheme="majorHAnsi" w:cs="Arial"/>
          <w:sz w:val="20"/>
          <w:szCs w:val="20"/>
        </w:rPr>
        <w:t xml:space="preserve"> (napr. hlavné podmienky, na základe ktorých boli záruky, iné zabezpečenia a pôžičky poskytnuté):</w:t>
      </w:r>
    </w:p>
    <w:p w:rsidR="001E0710" w:rsidRPr="00A405A5" w:rsidRDefault="001E0710" w:rsidP="001E0710">
      <w:pPr>
        <w:spacing w:after="0"/>
        <w:jc w:val="both"/>
        <w:rPr>
          <w:rFonts w:ascii="Cambria" w:hAnsi="Cambria" w:cs="Arial"/>
          <w:b/>
          <w:sz w:val="20"/>
          <w:szCs w:val="20"/>
        </w:rPr>
      </w:pPr>
      <w:r>
        <w:rPr>
          <w:rFonts w:ascii="Cambria" w:hAnsi="Cambria" w:cs="Arial"/>
          <w:b/>
          <w:sz w:val="20"/>
          <w:szCs w:val="20"/>
        </w:rPr>
        <w:t>Pre danú oblasť nemá účtovná jednotka obsahovú náplň.</w:t>
      </w:r>
    </w:p>
    <w:p w:rsidR="00CE1BD2" w:rsidRDefault="00CE1BD2" w:rsidP="00CE1BD2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Pr="00B47D63" w:rsidRDefault="00CE1BD2" w:rsidP="00CE1BD2">
      <w:pPr>
        <w:spacing w:after="0" w:line="240" w:lineRule="auto"/>
        <w:jc w:val="both"/>
        <w:rPr>
          <w:rFonts w:asciiTheme="majorHAnsi" w:hAnsiTheme="majorHAnsi" w:cs="Arial"/>
          <w:b/>
          <w:sz w:val="24"/>
          <w:szCs w:val="24"/>
        </w:rPr>
      </w:pPr>
    </w:p>
    <w:p w:rsidR="00CE1BD2" w:rsidRPr="00B47D63" w:rsidRDefault="00CE1BD2" w:rsidP="00CE1BD2">
      <w:pPr>
        <w:ind w:left="426" w:hanging="426"/>
        <w:jc w:val="both"/>
        <w:rPr>
          <w:rFonts w:asciiTheme="majorHAnsi" w:hAnsiTheme="majorHAnsi" w:cs="Arial"/>
          <w:b/>
          <w:sz w:val="24"/>
          <w:szCs w:val="24"/>
        </w:rPr>
      </w:pPr>
      <w:r w:rsidRPr="00B47D63">
        <w:rPr>
          <w:rFonts w:asciiTheme="majorHAnsi" w:hAnsiTheme="majorHAnsi" w:cs="Arial"/>
          <w:b/>
          <w:sz w:val="24"/>
          <w:szCs w:val="24"/>
        </w:rPr>
        <w:t>Článok II</w:t>
      </w:r>
      <w:r>
        <w:rPr>
          <w:rFonts w:asciiTheme="majorHAnsi" w:hAnsiTheme="majorHAnsi" w:cs="Arial"/>
          <w:b/>
          <w:sz w:val="24"/>
          <w:szCs w:val="24"/>
        </w:rPr>
        <w:t xml:space="preserve">I - </w:t>
      </w:r>
      <w:r w:rsidRPr="00B47D63">
        <w:rPr>
          <w:rFonts w:asciiTheme="majorHAnsi" w:hAnsiTheme="majorHAnsi" w:cs="Arial"/>
          <w:b/>
          <w:sz w:val="24"/>
          <w:szCs w:val="24"/>
        </w:rPr>
        <w:t>Informácie o prijatých postupoch</w:t>
      </w:r>
    </w:p>
    <w:p w:rsidR="00CE1BD2" w:rsidRPr="00E023FE" w:rsidRDefault="00CE1BD2" w:rsidP="00CE1BD2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E023FE">
        <w:rPr>
          <w:rFonts w:ascii="Cambria" w:hAnsi="Cambria" w:cs="Arial"/>
          <w:b/>
        </w:rPr>
        <w:t>III.1</w:t>
      </w:r>
      <w:r w:rsidRPr="00E023FE">
        <w:rPr>
          <w:rFonts w:ascii="Cambria" w:hAnsi="Cambria" w:cs="Arial"/>
          <w:b/>
        </w:rPr>
        <w:tab/>
        <w:t xml:space="preserve"> </w:t>
      </w:r>
      <w:r w:rsidRPr="00E023FE">
        <w:rPr>
          <w:rFonts w:asciiTheme="majorHAnsi" w:hAnsiTheme="majorHAnsi" w:cs="Arial"/>
          <w:b/>
        </w:rPr>
        <w:t xml:space="preserve">Účtovná jednotka bude nepretržite pokračovať vo svojej činnosti: </w:t>
      </w:r>
      <w:sdt>
        <w:sdtPr>
          <w:rPr>
            <w:rFonts w:asciiTheme="majorHAnsi" w:hAnsiTheme="majorHAnsi" w:cs="Arial"/>
            <w:b/>
            <w:color w:val="00B050"/>
          </w:rPr>
          <w:alias w:val="pokračovanie"/>
          <w:tag w:val="vyberte"/>
          <w:id w:val="837810745"/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>
            <w:rPr>
              <w:rFonts w:asciiTheme="majorHAnsi" w:hAnsiTheme="majorHAnsi" w:cs="Arial"/>
              <w:b/>
              <w:color w:val="00B050"/>
            </w:rPr>
            <w:t>áno</w:t>
          </w:r>
        </w:sdtContent>
      </w:sdt>
    </w:p>
    <w:p w:rsidR="00CE1BD2" w:rsidRPr="003466F3" w:rsidRDefault="00CE1BD2" w:rsidP="00CE1BD2">
      <w:pPr>
        <w:spacing w:after="0" w:line="240" w:lineRule="auto"/>
        <w:ind w:left="426" w:hanging="426"/>
        <w:jc w:val="both"/>
        <w:rPr>
          <w:rFonts w:ascii="Cambria" w:hAnsi="Cambria" w:cs="Arial"/>
          <w:sz w:val="20"/>
          <w:szCs w:val="20"/>
        </w:rPr>
      </w:pPr>
    </w:p>
    <w:p w:rsidR="00CE1BD2" w:rsidRDefault="00CE1BD2" w:rsidP="00CE1BD2">
      <w:pPr>
        <w:spacing w:after="0" w:line="240" w:lineRule="auto"/>
        <w:ind w:left="426" w:hanging="426"/>
        <w:jc w:val="both"/>
        <w:rPr>
          <w:rFonts w:ascii="Cambria" w:hAnsi="Cambria" w:cs="Arial"/>
          <w:b/>
        </w:rPr>
      </w:pPr>
    </w:p>
    <w:p w:rsidR="00CE1BD2" w:rsidRPr="00507AE7" w:rsidRDefault="00CE1BD2" w:rsidP="00CE1BD2">
      <w:pPr>
        <w:spacing w:after="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507AE7">
        <w:rPr>
          <w:rFonts w:ascii="Cambria" w:hAnsi="Cambria" w:cs="Arial"/>
          <w:b/>
        </w:rPr>
        <w:t>II</w:t>
      </w:r>
      <w:r>
        <w:rPr>
          <w:rFonts w:ascii="Cambria" w:hAnsi="Cambria" w:cs="Arial"/>
          <w:b/>
        </w:rPr>
        <w:t>I</w:t>
      </w:r>
      <w:r w:rsidRPr="00507AE7">
        <w:rPr>
          <w:rFonts w:ascii="Cambria" w:hAnsi="Cambria" w:cs="Arial"/>
          <w:b/>
        </w:rPr>
        <w:t>.2</w:t>
      </w:r>
      <w:r w:rsidRPr="00507AE7">
        <w:rPr>
          <w:rFonts w:ascii="Cambria" w:hAnsi="Cambria" w:cs="Arial"/>
          <w:b/>
        </w:rPr>
        <w:tab/>
      </w:r>
      <w:r>
        <w:rPr>
          <w:rFonts w:ascii="Cambria" w:hAnsi="Cambria" w:cs="Arial"/>
          <w:b/>
        </w:rPr>
        <w:t xml:space="preserve"> </w:t>
      </w:r>
      <w:r w:rsidRPr="00507AE7">
        <w:rPr>
          <w:rFonts w:asciiTheme="majorHAnsi" w:hAnsiTheme="majorHAnsi" w:cs="Arial"/>
          <w:b/>
        </w:rPr>
        <w:t>Zmeny účtovných zásad a metód:</w:t>
      </w:r>
    </w:p>
    <w:p w:rsidR="00CE1BD2" w:rsidRDefault="00CE1BD2" w:rsidP="00CE1BD2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</w:p>
    <w:p w:rsidR="00CE1BD2" w:rsidRDefault="00CE1BD2" w:rsidP="00CE1BD2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Účtovné zásady a metódy boli účtovnou jednotkou konzistentne aplikované.</w:t>
      </w:r>
    </w:p>
    <w:p w:rsidR="00CE1BD2" w:rsidRPr="00B47D63" w:rsidRDefault="00CE1BD2" w:rsidP="00CE1BD2">
      <w:pPr>
        <w:spacing w:line="240" w:lineRule="auto"/>
        <w:ind w:left="426" w:hanging="426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 xml:space="preserve">Účtovné metódy a zásady boli aplikované v rámci platného </w:t>
      </w:r>
      <w:proofErr w:type="spellStart"/>
      <w:r w:rsidRPr="00B47D63">
        <w:rPr>
          <w:rFonts w:asciiTheme="majorHAnsi" w:hAnsiTheme="majorHAnsi" w:cs="Arial"/>
          <w:sz w:val="20"/>
          <w:szCs w:val="20"/>
        </w:rPr>
        <w:t>ZoÚ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, </w:t>
      </w:r>
      <w:r w:rsidRPr="00B47D63">
        <w:rPr>
          <w:rFonts w:asciiTheme="majorHAnsi" w:hAnsiTheme="majorHAnsi" w:cs="Arial"/>
          <w:sz w:val="20"/>
          <w:szCs w:val="20"/>
        </w:rPr>
        <w:t xml:space="preserve"> s</w:t>
      </w:r>
      <w:r>
        <w:rPr>
          <w:rFonts w:asciiTheme="majorHAnsi" w:hAnsiTheme="majorHAnsi" w:cs="Arial"/>
          <w:sz w:val="20"/>
          <w:szCs w:val="20"/>
        </w:rPr>
        <w:t xml:space="preserve"> nasledovnými </w:t>
      </w:r>
      <w:r w:rsidRPr="00B47D63">
        <w:rPr>
          <w:rFonts w:asciiTheme="majorHAnsi" w:hAnsiTheme="majorHAnsi" w:cs="Arial"/>
          <w:sz w:val="20"/>
          <w:szCs w:val="20"/>
        </w:rPr>
        <w:t xml:space="preserve">osobitosťami: 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977"/>
        <w:gridCol w:w="3203"/>
      </w:tblGrid>
      <w:tr w:rsidR="00CE1BD2" w:rsidRPr="00B47D63" w:rsidTr="00CE1BD2"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zmeny zásady</w:t>
            </w:r>
          </w:p>
          <w:p w:rsidR="00CE1BD2" w:rsidRPr="00B47D63" w:rsidRDefault="00CE1BD2" w:rsidP="00CE1BD2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alebo metódy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Dôvod zmeny</w:t>
            </w:r>
          </w:p>
        </w:tc>
        <w:tc>
          <w:tcPr>
            <w:tcW w:w="3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BD2" w:rsidRPr="00B47D63" w:rsidRDefault="00CE1BD2" w:rsidP="00CE1BD2">
            <w:pPr>
              <w:ind w:left="34" w:hanging="34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 vplyvu na príslušnú zložku majetku, záväzkov, vlastného imania a výsledku hospodárenia účtovnej jednotky</w:t>
            </w:r>
          </w:p>
        </w:tc>
      </w:tr>
      <w:tr w:rsidR="00CE1BD2" w:rsidRPr="00B47D63" w:rsidTr="00CE1BD2">
        <w:trPr>
          <w:trHeight w:val="397"/>
        </w:trPr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ind w:left="426" w:hanging="426"/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  <w:r>
              <w:rPr>
                <w:rFonts w:asciiTheme="majorHAnsi" w:hAnsiTheme="majorHAnsi" w:cs="Arial"/>
                <w:b/>
                <w:sz w:val="24"/>
                <w:szCs w:val="24"/>
              </w:rPr>
              <w:t>-</w:t>
            </w: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ind w:left="426" w:hanging="426"/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  <w:r>
              <w:rPr>
                <w:rFonts w:asciiTheme="majorHAnsi" w:hAnsiTheme="majorHAnsi" w:cs="Arial"/>
                <w:b/>
                <w:sz w:val="24"/>
                <w:szCs w:val="24"/>
              </w:rPr>
              <w:t>-</w:t>
            </w:r>
          </w:p>
        </w:tc>
        <w:tc>
          <w:tcPr>
            <w:tcW w:w="3203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ind w:left="426" w:hanging="426"/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  <w:r>
              <w:rPr>
                <w:rFonts w:asciiTheme="majorHAnsi" w:hAnsiTheme="majorHAnsi" w:cs="Arial"/>
                <w:b/>
                <w:sz w:val="24"/>
                <w:szCs w:val="24"/>
              </w:rPr>
              <w:t>-</w:t>
            </w:r>
          </w:p>
        </w:tc>
      </w:tr>
      <w:tr w:rsidR="00CE1BD2" w:rsidRPr="00B47D63" w:rsidTr="00CE1BD2">
        <w:trPr>
          <w:trHeight w:val="397"/>
        </w:trPr>
        <w:tc>
          <w:tcPr>
            <w:tcW w:w="2835" w:type="dxa"/>
          </w:tcPr>
          <w:p w:rsidR="00CE1BD2" w:rsidRPr="00B47D63" w:rsidRDefault="00CE1BD2" w:rsidP="00CE1BD2">
            <w:pPr>
              <w:ind w:left="426" w:hanging="426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-</w:t>
            </w:r>
          </w:p>
        </w:tc>
        <w:tc>
          <w:tcPr>
            <w:tcW w:w="2977" w:type="dxa"/>
            <w:vAlign w:val="center"/>
          </w:tcPr>
          <w:p w:rsidR="00CE1BD2" w:rsidRPr="00B47D63" w:rsidRDefault="00CE1BD2" w:rsidP="00CE1BD2">
            <w:pPr>
              <w:ind w:left="426" w:hanging="426"/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  <w:r>
              <w:rPr>
                <w:rFonts w:asciiTheme="majorHAnsi" w:hAnsiTheme="majorHAnsi" w:cs="Arial"/>
                <w:b/>
                <w:sz w:val="24"/>
                <w:szCs w:val="24"/>
              </w:rPr>
              <w:t>-</w:t>
            </w:r>
          </w:p>
        </w:tc>
        <w:tc>
          <w:tcPr>
            <w:tcW w:w="3203" w:type="dxa"/>
            <w:vAlign w:val="center"/>
          </w:tcPr>
          <w:p w:rsidR="00CE1BD2" w:rsidRPr="00B47D63" w:rsidRDefault="00CE1BD2" w:rsidP="00CE1BD2">
            <w:pPr>
              <w:ind w:left="426" w:hanging="426"/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  <w:r>
              <w:rPr>
                <w:rFonts w:asciiTheme="majorHAnsi" w:hAnsiTheme="majorHAnsi" w:cs="Arial"/>
                <w:b/>
                <w:sz w:val="24"/>
                <w:szCs w:val="24"/>
              </w:rPr>
              <w:t>-</w:t>
            </w:r>
          </w:p>
        </w:tc>
      </w:tr>
      <w:tr w:rsidR="00CE1BD2" w:rsidRPr="00B47D63" w:rsidTr="00CE1BD2">
        <w:trPr>
          <w:trHeight w:val="397"/>
        </w:trPr>
        <w:tc>
          <w:tcPr>
            <w:tcW w:w="2835" w:type="dxa"/>
          </w:tcPr>
          <w:p w:rsidR="00CE1BD2" w:rsidRPr="00B47D63" w:rsidRDefault="00CE1BD2" w:rsidP="00CE1BD2">
            <w:pPr>
              <w:ind w:left="426" w:hanging="426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-</w:t>
            </w:r>
          </w:p>
        </w:tc>
        <w:tc>
          <w:tcPr>
            <w:tcW w:w="2977" w:type="dxa"/>
            <w:vAlign w:val="center"/>
          </w:tcPr>
          <w:p w:rsidR="00CE1BD2" w:rsidRPr="00B47D63" w:rsidRDefault="00CE1BD2" w:rsidP="00CE1BD2">
            <w:pPr>
              <w:ind w:left="426" w:hanging="426"/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  <w:r>
              <w:rPr>
                <w:rFonts w:asciiTheme="majorHAnsi" w:hAnsiTheme="majorHAnsi" w:cs="Arial"/>
                <w:b/>
                <w:sz w:val="24"/>
                <w:szCs w:val="24"/>
              </w:rPr>
              <w:t>-</w:t>
            </w:r>
          </w:p>
        </w:tc>
        <w:tc>
          <w:tcPr>
            <w:tcW w:w="3203" w:type="dxa"/>
            <w:vAlign w:val="center"/>
          </w:tcPr>
          <w:p w:rsidR="00CE1BD2" w:rsidRPr="00B47D63" w:rsidRDefault="00CE1BD2" w:rsidP="00CE1BD2">
            <w:pPr>
              <w:ind w:left="426" w:hanging="426"/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  <w:r>
              <w:rPr>
                <w:rFonts w:asciiTheme="majorHAnsi" w:hAnsiTheme="majorHAnsi" w:cs="Arial"/>
                <w:b/>
                <w:sz w:val="24"/>
                <w:szCs w:val="24"/>
              </w:rPr>
              <w:t>-</w:t>
            </w:r>
          </w:p>
        </w:tc>
      </w:tr>
      <w:tr w:rsidR="00CE1BD2" w:rsidRPr="00B47D63" w:rsidTr="00CE1BD2">
        <w:trPr>
          <w:trHeight w:val="397"/>
        </w:trPr>
        <w:tc>
          <w:tcPr>
            <w:tcW w:w="2835" w:type="dxa"/>
          </w:tcPr>
          <w:p w:rsidR="00CE1BD2" w:rsidRPr="00B47D63" w:rsidRDefault="00CE1BD2" w:rsidP="00CE1BD2">
            <w:pPr>
              <w:ind w:left="426" w:hanging="426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-</w:t>
            </w:r>
          </w:p>
        </w:tc>
        <w:tc>
          <w:tcPr>
            <w:tcW w:w="2977" w:type="dxa"/>
            <w:vAlign w:val="center"/>
          </w:tcPr>
          <w:p w:rsidR="00CE1BD2" w:rsidRPr="00B47D63" w:rsidRDefault="00CE1BD2" w:rsidP="00CE1BD2">
            <w:pPr>
              <w:ind w:left="426" w:hanging="426"/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  <w:r>
              <w:rPr>
                <w:rFonts w:asciiTheme="majorHAnsi" w:hAnsiTheme="majorHAnsi" w:cs="Arial"/>
                <w:b/>
                <w:sz w:val="24"/>
                <w:szCs w:val="24"/>
              </w:rPr>
              <w:t>-</w:t>
            </w:r>
          </w:p>
        </w:tc>
        <w:tc>
          <w:tcPr>
            <w:tcW w:w="3203" w:type="dxa"/>
            <w:vAlign w:val="center"/>
          </w:tcPr>
          <w:p w:rsidR="00CE1BD2" w:rsidRPr="00B47D63" w:rsidRDefault="00CE1BD2" w:rsidP="00CE1BD2">
            <w:pPr>
              <w:ind w:left="426" w:hanging="426"/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  <w:r>
              <w:rPr>
                <w:rFonts w:asciiTheme="majorHAnsi" w:hAnsiTheme="majorHAnsi" w:cs="Arial"/>
                <w:b/>
                <w:sz w:val="24"/>
                <w:szCs w:val="24"/>
              </w:rPr>
              <w:t>-</w:t>
            </w:r>
          </w:p>
        </w:tc>
      </w:tr>
      <w:tr w:rsidR="00CE1BD2" w:rsidRPr="00B47D63" w:rsidTr="00CE1BD2">
        <w:trPr>
          <w:trHeight w:val="397"/>
        </w:trPr>
        <w:tc>
          <w:tcPr>
            <w:tcW w:w="2835" w:type="dxa"/>
          </w:tcPr>
          <w:p w:rsidR="00CE1BD2" w:rsidRPr="00B47D63" w:rsidRDefault="00CE1BD2" w:rsidP="00CE1BD2">
            <w:pPr>
              <w:ind w:left="426" w:hanging="426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-</w:t>
            </w:r>
          </w:p>
        </w:tc>
        <w:tc>
          <w:tcPr>
            <w:tcW w:w="2977" w:type="dxa"/>
            <w:vAlign w:val="center"/>
          </w:tcPr>
          <w:p w:rsidR="00CE1BD2" w:rsidRPr="00B47D63" w:rsidRDefault="00CE1BD2" w:rsidP="00CE1BD2">
            <w:pPr>
              <w:ind w:left="426" w:hanging="426"/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  <w:r>
              <w:rPr>
                <w:rFonts w:asciiTheme="majorHAnsi" w:hAnsiTheme="majorHAnsi" w:cs="Arial"/>
                <w:b/>
                <w:sz w:val="24"/>
                <w:szCs w:val="24"/>
              </w:rPr>
              <w:t>-</w:t>
            </w:r>
          </w:p>
        </w:tc>
        <w:tc>
          <w:tcPr>
            <w:tcW w:w="3203" w:type="dxa"/>
            <w:vAlign w:val="center"/>
          </w:tcPr>
          <w:p w:rsidR="00CE1BD2" w:rsidRPr="00B47D63" w:rsidRDefault="00CE1BD2" w:rsidP="00CE1BD2">
            <w:pPr>
              <w:ind w:left="426" w:hanging="426"/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  <w:r>
              <w:rPr>
                <w:rFonts w:asciiTheme="majorHAnsi" w:hAnsiTheme="majorHAnsi" w:cs="Arial"/>
                <w:b/>
                <w:sz w:val="24"/>
                <w:szCs w:val="24"/>
              </w:rPr>
              <w:t>-</w:t>
            </w:r>
          </w:p>
        </w:tc>
      </w:tr>
      <w:tr w:rsidR="00CE1BD2" w:rsidRPr="00B47D63" w:rsidTr="00CE1BD2">
        <w:trPr>
          <w:trHeight w:val="397"/>
        </w:trPr>
        <w:tc>
          <w:tcPr>
            <w:tcW w:w="2835" w:type="dxa"/>
          </w:tcPr>
          <w:p w:rsidR="00CE1BD2" w:rsidRPr="00B47D63" w:rsidRDefault="00CE1BD2" w:rsidP="00CE1BD2">
            <w:pPr>
              <w:ind w:left="426" w:hanging="426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-</w:t>
            </w:r>
          </w:p>
        </w:tc>
        <w:tc>
          <w:tcPr>
            <w:tcW w:w="2977" w:type="dxa"/>
            <w:vAlign w:val="center"/>
          </w:tcPr>
          <w:p w:rsidR="00CE1BD2" w:rsidRPr="00B47D63" w:rsidRDefault="00CE1BD2" w:rsidP="00CE1BD2">
            <w:pPr>
              <w:ind w:left="426" w:hanging="426"/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  <w:r>
              <w:rPr>
                <w:rFonts w:asciiTheme="majorHAnsi" w:hAnsiTheme="majorHAnsi" w:cs="Arial"/>
                <w:b/>
                <w:sz w:val="24"/>
                <w:szCs w:val="24"/>
              </w:rPr>
              <w:t>-</w:t>
            </w:r>
          </w:p>
        </w:tc>
        <w:tc>
          <w:tcPr>
            <w:tcW w:w="3203" w:type="dxa"/>
            <w:vAlign w:val="center"/>
          </w:tcPr>
          <w:p w:rsidR="00CE1BD2" w:rsidRPr="00B47D63" w:rsidRDefault="00CE1BD2" w:rsidP="00CE1BD2">
            <w:pPr>
              <w:ind w:left="426" w:hanging="426"/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  <w:r>
              <w:rPr>
                <w:rFonts w:asciiTheme="majorHAnsi" w:hAnsiTheme="majorHAnsi" w:cs="Arial"/>
                <w:b/>
                <w:sz w:val="24"/>
                <w:szCs w:val="24"/>
              </w:rPr>
              <w:t>-</w:t>
            </w:r>
          </w:p>
        </w:tc>
      </w:tr>
    </w:tbl>
    <w:p w:rsidR="00CE1BD2" w:rsidRPr="00B47D63" w:rsidRDefault="00CE1BD2" w:rsidP="00CE1BD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Ak v dôsledku zmeny účtovných zásad a účtovných metód nie sú hodnoty za bezprostredne predchádzajúce obdobie v jednotlivých súčastiach účtovnej závierky porovnateľné, uvádza sa vysvetlenie o neporovnateľných hodnotách:</w:t>
      </w:r>
    </w:p>
    <w:p w:rsidR="00CE1BD2" w:rsidRDefault="00CE1BD2" w:rsidP="00CE1BD2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CE1BD2" w:rsidRDefault="00CE1BD2" w:rsidP="00CE1BD2">
      <w:pPr>
        <w:spacing w:before="240" w:line="240" w:lineRule="auto"/>
        <w:ind w:left="426" w:hanging="426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Default="00CE1BD2" w:rsidP="00CE1BD2">
      <w:pPr>
        <w:spacing w:before="240" w:line="240" w:lineRule="auto"/>
        <w:jc w:val="both"/>
        <w:rPr>
          <w:rFonts w:asciiTheme="majorHAnsi" w:hAnsiTheme="majorHAnsi" w:cs="Arial"/>
          <w:i/>
          <w:sz w:val="20"/>
          <w:szCs w:val="20"/>
        </w:rPr>
      </w:pPr>
    </w:p>
    <w:p w:rsidR="00CE1BD2" w:rsidRPr="00B3347D" w:rsidRDefault="00CE1BD2" w:rsidP="00CE1BD2">
      <w:pPr>
        <w:spacing w:line="240" w:lineRule="auto"/>
        <w:jc w:val="both"/>
        <w:rPr>
          <w:rFonts w:asciiTheme="majorHAnsi" w:hAnsiTheme="majorHAnsi" w:cs="Arial"/>
          <w:i/>
          <w:sz w:val="20"/>
          <w:szCs w:val="20"/>
        </w:rPr>
      </w:pPr>
    </w:p>
    <w:p w:rsidR="00CE1BD2" w:rsidRPr="00E023FE" w:rsidRDefault="00CE1BD2" w:rsidP="00CE1BD2">
      <w:pPr>
        <w:spacing w:line="240" w:lineRule="auto"/>
        <w:jc w:val="both"/>
        <w:rPr>
          <w:rFonts w:asciiTheme="majorHAnsi" w:hAnsiTheme="majorHAnsi" w:cs="Arial"/>
          <w:b/>
        </w:rPr>
      </w:pPr>
      <w:r w:rsidRPr="00C2623F">
        <w:rPr>
          <w:rFonts w:asciiTheme="majorHAnsi" w:hAnsiTheme="majorHAnsi" w:cs="Arial"/>
          <w:b/>
        </w:rPr>
        <w:lastRenderedPageBreak/>
        <w:t>I</w:t>
      </w:r>
      <w:r>
        <w:rPr>
          <w:rFonts w:asciiTheme="majorHAnsi" w:hAnsiTheme="majorHAnsi" w:cs="Arial"/>
          <w:b/>
        </w:rPr>
        <w:t>I</w:t>
      </w:r>
      <w:r w:rsidRPr="00C2623F">
        <w:rPr>
          <w:rFonts w:asciiTheme="majorHAnsi" w:hAnsiTheme="majorHAnsi" w:cs="Arial"/>
          <w:b/>
        </w:rPr>
        <w:t>I.4</w:t>
      </w:r>
      <w:r>
        <w:rPr>
          <w:rFonts w:asciiTheme="majorHAnsi" w:hAnsiTheme="majorHAnsi" w:cs="Arial"/>
          <w:b/>
        </w:rPr>
        <w:t xml:space="preserve"> a) </w:t>
      </w:r>
      <w:r w:rsidRPr="00C2623F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Spôsob oceňovania jednotlivých zložiek majetku a záväzkov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406"/>
        <w:gridCol w:w="2065"/>
        <w:gridCol w:w="2268"/>
      </w:tblGrid>
      <w:tr w:rsidR="00CE1BD2" w:rsidRPr="00B47D63" w:rsidTr="00CE1BD2">
        <w:tc>
          <w:tcPr>
            <w:tcW w:w="0" w:type="auto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majetku/záväzkov</w:t>
            </w:r>
          </w:p>
        </w:tc>
        <w:tc>
          <w:tcPr>
            <w:tcW w:w="20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Spôsob ocenenia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Náklady spojené</w:t>
            </w:r>
          </w:p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 obstaraním</w:t>
            </w:r>
          </w:p>
        </w:tc>
      </w:tr>
      <w:tr w:rsidR="00CE1BD2" w:rsidRPr="00B47D63" w:rsidTr="00CE1BD2">
        <w:tc>
          <w:tcPr>
            <w:tcW w:w="0" w:type="auto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DNM obstaraný kúpou</w:t>
            </w:r>
          </w:p>
        </w:tc>
        <w:tc>
          <w:tcPr>
            <w:tcW w:w="2065" w:type="dxa"/>
            <w:tcBorders>
              <w:top w:val="single" w:sz="12" w:space="0" w:color="auto"/>
            </w:tcBorders>
            <w:vAlign w:val="center"/>
          </w:tcPr>
          <w:p w:rsidR="00CE1BD2" w:rsidRPr="003C3743" w:rsidRDefault="00CE1BD2" w:rsidP="00CE1BD2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-</w:t>
            </w:r>
          </w:p>
        </w:tc>
      </w:tr>
      <w:tr w:rsidR="00CE1BD2" w:rsidRPr="00B47D63" w:rsidTr="00CE1BD2">
        <w:tc>
          <w:tcPr>
            <w:tcW w:w="0" w:type="auto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DNM obstaraný vlastnou činnosťou</w:t>
            </w:r>
          </w:p>
        </w:tc>
        <w:tc>
          <w:tcPr>
            <w:tcW w:w="2065" w:type="dxa"/>
            <w:vAlign w:val="center"/>
          </w:tcPr>
          <w:p w:rsidR="00CE1BD2" w:rsidRPr="003C3743" w:rsidRDefault="00CE1BD2" w:rsidP="00CE1BD2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Vlastné náklady</w:t>
            </w:r>
          </w:p>
        </w:tc>
        <w:tc>
          <w:tcPr>
            <w:tcW w:w="2268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-</w:t>
            </w:r>
          </w:p>
        </w:tc>
      </w:tr>
      <w:tr w:rsidR="00CE1BD2" w:rsidRPr="00B47D63" w:rsidTr="00CE1BD2">
        <w:tc>
          <w:tcPr>
            <w:tcW w:w="0" w:type="auto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DNM obstaraný iným spôsobom</w:t>
            </w:r>
          </w:p>
        </w:tc>
        <w:tc>
          <w:tcPr>
            <w:tcW w:w="2065" w:type="dxa"/>
            <w:vAlign w:val="center"/>
          </w:tcPr>
          <w:p w:rsidR="00CE1BD2" w:rsidRPr="003C3743" w:rsidRDefault="00CE1BD2" w:rsidP="00CE1BD2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Reálna hodnota</w:t>
            </w:r>
          </w:p>
        </w:tc>
        <w:tc>
          <w:tcPr>
            <w:tcW w:w="2268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-</w:t>
            </w:r>
          </w:p>
        </w:tc>
      </w:tr>
      <w:tr w:rsidR="00CE1BD2" w:rsidRPr="00B47D63" w:rsidTr="00CE1BD2">
        <w:tc>
          <w:tcPr>
            <w:tcW w:w="0" w:type="auto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DHM obstaraný kúpou</w:t>
            </w:r>
          </w:p>
        </w:tc>
        <w:tc>
          <w:tcPr>
            <w:tcW w:w="2065" w:type="dxa"/>
            <w:vAlign w:val="center"/>
          </w:tcPr>
          <w:p w:rsidR="00CE1BD2" w:rsidRPr="003C3743" w:rsidRDefault="00CE1BD2" w:rsidP="00CE1BD2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X</w:t>
            </w:r>
          </w:p>
        </w:tc>
      </w:tr>
      <w:tr w:rsidR="00CE1BD2" w:rsidRPr="00B47D63" w:rsidTr="00CE1BD2">
        <w:tc>
          <w:tcPr>
            <w:tcW w:w="0" w:type="auto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DHM obstaraný vlastnou činnosťou</w:t>
            </w:r>
          </w:p>
        </w:tc>
        <w:tc>
          <w:tcPr>
            <w:tcW w:w="2065" w:type="dxa"/>
            <w:vAlign w:val="center"/>
          </w:tcPr>
          <w:p w:rsidR="00CE1BD2" w:rsidRPr="003C3743" w:rsidRDefault="00CE1BD2" w:rsidP="00CE1BD2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Vlastné náklady</w:t>
            </w:r>
          </w:p>
        </w:tc>
        <w:tc>
          <w:tcPr>
            <w:tcW w:w="2268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-</w:t>
            </w:r>
          </w:p>
        </w:tc>
      </w:tr>
      <w:tr w:rsidR="00CE1BD2" w:rsidRPr="00B47D63" w:rsidTr="00CE1BD2">
        <w:tc>
          <w:tcPr>
            <w:tcW w:w="0" w:type="auto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DHM obstaraný iným spôsobom</w:t>
            </w:r>
          </w:p>
        </w:tc>
        <w:tc>
          <w:tcPr>
            <w:tcW w:w="2065" w:type="dxa"/>
            <w:vAlign w:val="center"/>
          </w:tcPr>
          <w:p w:rsidR="00CE1BD2" w:rsidRPr="003C3743" w:rsidRDefault="00CE1BD2" w:rsidP="00CE1BD2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Reálna hodnota</w:t>
            </w:r>
          </w:p>
        </w:tc>
        <w:tc>
          <w:tcPr>
            <w:tcW w:w="2268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-</w:t>
            </w:r>
          </w:p>
        </w:tc>
      </w:tr>
      <w:tr w:rsidR="00CE1BD2" w:rsidRPr="00B47D63" w:rsidTr="00CE1BD2">
        <w:tc>
          <w:tcPr>
            <w:tcW w:w="0" w:type="auto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Dlhodobý finančný majetok</w:t>
            </w:r>
          </w:p>
        </w:tc>
        <w:tc>
          <w:tcPr>
            <w:tcW w:w="2065" w:type="dxa"/>
            <w:vAlign w:val="center"/>
          </w:tcPr>
          <w:p w:rsidR="00CE1BD2" w:rsidRPr="003C3743" w:rsidRDefault="00CE1BD2" w:rsidP="00CE1BD2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-</w:t>
            </w:r>
          </w:p>
        </w:tc>
      </w:tr>
      <w:tr w:rsidR="00CE1BD2" w:rsidRPr="00B47D63" w:rsidTr="00CE1BD2">
        <w:tc>
          <w:tcPr>
            <w:tcW w:w="0" w:type="auto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obstarané kúpou</w:t>
            </w:r>
          </w:p>
        </w:tc>
        <w:tc>
          <w:tcPr>
            <w:tcW w:w="2065" w:type="dxa"/>
            <w:vAlign w:val="center"/>
          </w:tcPr>
          <w:p w:rsidR="00CE1BD2" w:rsidRPr="003C3743" w:rsidRDefault="00CE1BD2" w:rsidP="00CE1BD2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-</w:t>
            </w:r>
          </w:p>
        </w:tc>
      </w:tr>
      <w:tr w:rsidR="00CE1BD2" w:rsidRPr="00B47D63" w:rsidTr="00CE1BD2">
        <w:tc>
          <w:tcPr>
            <w:tcW w:w="0" w:type="auto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vytvorené vlastnou činnosťou</w:t>
            </w:r>
          </w:p>
        </w:tc>
        <w:tc>
          <w:tcPr>
            <w:tcW w:w="2065" w:type="dxa"/>
            <w:vAlign w:val="center"/>
          </w:tcPr>
          <w:p w:rsidR="00CE1BD2" w:rsidRPr="003C3743" w:rsidRDefault="00CE1BD2" w:rsidP="00CE1BD2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Vlastné náklady</w:t>
            </w:r>
          </w:p>
        </w:tc>
        <w:tc>
          <w:tcPr>
            <w:tcW w:w="2268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-</w:t>
            </w:r>
          </w:p>
        </w:tc>
      </w:tr>
      <w:tr w:rsidR="00CE1BD2" w:rsidRPr="00B47D63" w:rsidTr="00CE1BD2">
        <w:tc>
          <w:tcPr>
            <w:tcW w:w="0" w:type="auto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Zásoby obstarané iným spôsobom</w:t>
            </w:r>
          </w:p>
        </w:tc>
        <w:tc>
          <w:tcPr>
            <w:tcW w:w="2065" w:type="dxa"/>
            <w:vAlign w:val="center"/>
          </w:tcPr>
          <w:p w:rsidR="00CE1BD2" w:rsidRPr="003C3743" w:rsidRDefault="00CE1BD2" w:rsidP="00CE1BD2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Reálna hodnota</w:t>
            </w:r>
          </w:p>
        </w:tc>
        <w:tc>
          <w:tcPr>
            <w:tcW w:w="2268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-</w:t>
            </w:r>
          </w:p>
        </w:tc>
      </w:tr>
      <w:tr w:rsidR="00CE1BD2" w:rsidRPr="00B47D63" w:rsidTr="00CE1BD2">
        <w:tc>
          <w:tcPr>
            <w:tcW w:w="0" w:type="auto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Zákazková výroba</w:t>
            </w:r>
          </w:p>
        </w:tc>
        <w:tc>
          <w:tcPr>
            <w:tcW w:w="2065" w:type="dxa"/>
            <w:vAlign w:val="center"/>
          </w:tcPr>
          <w:p w:rsidR="00CE1BD2" w:rsidRPr="003C3743" w:rsidRDefault="00CE1BD2" w:rsidP="00CE1BD2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X</w:t>
            </w:r>
          </w:p>
        </w:tc>
      </w:tr>
      <w:tr w:rsidR="00CE1BD2" w:rsidRPr="00B47D63" w:rsidTr="00CE1BD2">
        <w:tc>
          <w:tcPr>
            <w:tcW w:w="0" w:type="auto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Zákazková výstav</w:t>
            </w:r>
            <w:r>
              <w:rPr>
                <w:rFonts w:asciiTheme="majorHAnsi" w:hAnsiTheme="majorHAnsi" w:cs="Arial"/>
                <w:sz w:val="20"/>
                <w:szCs w:val="20"/>
              </w:rPr>
              <w:t>ba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nehnuteľnosti určenej na predaj</w:t>
            </w:r>
          </w:p>
        </w:tc>
        <w:tc>
          <w:tcPr>
            <w:tcW w:w="2065" w:type="dxa"/>
            <w:vAlign w:val="center"/>
          </w:tcPr>
          <w:p w:rsidR="00CE1BD2" w:rsidRPr="003C3743" w:rsidRDefault="00CE1BD2" w:rsidP="00CE1BD2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-</w:t>
            </w:r>
          </w:p>
        </w:tc>
      </w:tr>
      <w:tr w:rsidR="00CE1BD2" w:rsidRPr="00B47D63" w:rsidTr="00CE1BD2">
        <w:tc>
          <w:tcPr>
            <w:tcW w:w="0" w:type="auto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Pohľadávky</w:t>
            </w:r>
          </w:p>
        </w:tc>
        <w:tc>
          <w:tcPr>
            <w:tcW w:w="2065" w:type="dxa"/>
            <w:vAlign w:val="center"/>
          </w:tcPr>
          <w:p w:rsidR="00CE1BD2" w:rsidRPr="003C3743" w:rsidRDefault="00CE1BD2" w:rsidP="00CE1BD2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-</w:t>
            </w:r>
          </w:p>
        </w:tc>
      </w:tr>
      <w:tr w:rsidR="00CE1BD2" w:rsidRPr="00B47D63" w:rsidTr="00CE1BD2">
        <w:tc>
          <w:tcPr>
            <w:tcW w:w="0" w:type="auto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Krátkodobý finančný majetok</w:t>
            </w:r>
          </w:p>
        </w:tc>
        <w:tc>
          <w:tcPr>
            <w:tcW w:w="2065" w:type="dxa"/>
            <w:vAlign w:val="center"/>
          </w:tcPr>
          <w:p w:rsidR="00CE1BD2" w:rsidRPr="003C3743" w:rsidRDefault="00CE1BD2" w:rsidP="00CE1BD2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-</w:t>
            </w:r>
          </w:p>
        </w:tc>
      </w:tr>
      <w:tr w:rsidR="00CE1BD2" w:rsidRPr="00B47D63" w:rsidTr="00CE1BD2">
        <w:tc>
          <w:tcPr>
            <w:tcW w:w="0" w:type="auto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Časové rozlíšenie na strane aktív súvahy</w:t>
            </w:r>
          </w:p>
        </w:tc>
        <w:tc>
          <w:tcPr>
            <w:tcW w:w="2065" w:type="dxa"/>
            <w:vAlign w:val="center"/>
          </w:tcPr>
          <w:p w:rsidR="00CE1BD2" w:rsidRPr="003C3743" w:rsidRDefault="00CE1BD2" w:rsidP="00CE1BD2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X</w:t>
            </w:r>
          </w:p>
        </w:tc>
      </w:tr>
      <w:tr w:rsidR="00CE1BD2" w:rsidRPr="00B47D63" w:rsidTr="00CE1BD2">
        <w:tc>
          <w:tcPr>
            <w:tcW w:w="0" w:type="auto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Záväzky</w:t>
            </w:r>
          </w:p>
        </w:tc>
        <w:tc>
          <w:tcPr>
            <w:tcW w:w="2065" w:type="dxa"/>
            <w:vAlign w:val="center"/>
          </w:tcPr>
          <w:p w:rsidR="00CE1BD2" w:rsidRPr="003C3743" w:rsidRDefault="00CE1BD2" w:rsidP="00CE1BD2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X</w:t>
            </w:r>
          </w:p>
        </w:tc>
      </w:tr>
      <w:tr w:rsidR="00CE1BD2" w:rsidRPr="00B47D63" w:rsidTr="00CE1BD2">
        <w:tc>
          <w:tcPr>
            <w:tcW w:w="0" w:type="auto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Časové rozlíšenie na strane pasív súvahy</w:t>
            </w:r>
          </w:p>
        </w:tc>
        <w:tc>
          <w:tcPr>
            <w:tcW w:w="2065" w:type="dxa"/>
            <w:vAlign w:val="center"/>
          </w:tcPr>
          <w:p w:rsidR="00CE1BD2" w:rsidRPr="003C3743" w:rsidRDefault="00CE1BD2" w:rsidP="00CE1BD2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hodnoty</w:t>
            </w:r>
          </w:p>
        </w:tc>
        <w:tc>
          <w:tcPr>
            <w:tcW w:w="2268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X</w:t>
            </w:r>
          </w:p>
        </w:tc>
      </w:tr>
      <w:tr w:rsidR="00CE1BD2" w:rsidRPr="00B47D63" w:rsidTr="00CE1BD2">
        <w:tc>
          <w:tcPr>
            <w:tcW w:w="0" w:type="auto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Deriváty</w:t>
            </w:r>
          </w:p>
        </w:tc>
        <w:tc>
          <w:tcPr>
            <w:tcW w:w="2065" w:type="dxa"/>
            <w:vAlign w:val="center"/>
          </w:tcPr>
          <w:p w:rsidR="00CE1BD2" w:rsidRPr="003C3743" w:rsidRDefault="00CE1BD2" w:rsidP="00CE1BD2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-</w:t>
            </w:r>
          </w:p>
        </w:tc>
      </w:tr>
      <w:tr w:rsidR="00CE1BD2" w:rsidRPr="00B47D63" w:rsidTr="00CE1BD2">
        <w:tc>
          <w:tcPr>
            <w:tcW w:w="0" w:type="auto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 a záväzky zabezpečené derivátmi</w:t>
            </w:r>
          </w:p>
        </w:tc>
        <w:tc>
          <w:tcPr>
            <w:tcW w:w="2065" w:type="dxa"/>
            <w:vAlign w:val="center"/>
          </w:tcPr>
          <w:p w:rsidR="00CE1BD2" w:rsidRPr="003C3743" w:rsidRDefault="00CE1BD2" w:rsidP="00CE1BD2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-</w:t>
            </w:r>
          </w:p>
        </w:tc>
      </w:tr>
      <w:tr w:rsidR="00CE1BD2" w:rsidRPr="00B47D63" w:rsidTr="00CE1BD2">
        <w:tc>
          <w:tcPr>
            <w:tcW w:w="0" w:type="auto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Prenajatý majetok</w:t>
            </w:r>
          </w:p>
        </w:tc>
        <w:tc>
          <w:tcPr>
            <w:tcW w:w="2065" w:type="dxa"/>
            <w:vAlign w:val="center"/>
          </w:tcPr>
          <w:p w:rsidR="00CE1BD2" w:rsidRPr="003C3743" w:rsidRDefault="00CE1BD2" w:rsidP="00CE1BD2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-</w:t>
            </w:r>
          </w:p>
        </w:tc>
      </w:tr>
      <w:tr w:rsidR="00CE1BD2" w:rsidRPr="00B47D63" w:rsidTr="00CE1BD2">
        <w:tc>
          <w:tcPr>
            <w:tcW w:w="0" w:type="auto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 obstaraný zmluvou o kúpe prenajatej veci</w:t>
            </w:r>
          </w:p>
        </w:tc>
        <w:tc>
          <w:tcPr>
            <w:tcW w:w="2065" w:type="dxa"/>
            <w:vAlign w:val="center"/>
          </w:tcPr>
          <w:p w:rsidR="00CE1BD2" w:rsidRPr="003C3743" w:rsidRDefault="00CE1BD2" w:rsidP="00CE1BD2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Obstarávacia cena</w:t>
            </w:r>
          </w:p>
        </w:tc>
        <w:tc>
          <w:tcPr>
            <w:tcW w:w="2268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-</w:t>
            </w:r>
          </w:p>
        </w:tc>
      </w:tr>
      <w:tr w:rsidR="00CE1BD2" w:rsidRPr="00B47D63" w:rsidTr="00CE1BD2">
        <w:tc>
          <w:tcPr>
            <w:tcW w:w="0" w:type="auto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Iný majetok </w:t>
            </w:r>
            <w:r w:rsidRPr="00593CA2">
              <w:rPr>
                <w:rFonts w:asciiTheme="majorHAnsi" w:hAnsiTheme="majorHAnsi" w:cs="Arial"/>
                <w:i/>
                <w:sz w:val="20"/>
                <w:szCs w:val="20"/>
              </w:rPr>
              <w:t>(konkretizujte)</w:t>
            </w:r>
          </w:p>
        </w:tc>
        <w:tc>
          <w:tcPr>
            <w:tcW w:w="2065" w:type="dxa"/>
            <w:vAlign w:val="center"/>
          </w:tcPr>
          <w:p w:rsidR="00CE1BD2" w:rsidRDefault="00CE1BD2" w:rsidP="00CE1BD2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-</w:t>
            </w:r>
          </w:p>
        </w:tc>
      </w:tr>
      <w:tr w:rsidR="00CE1BD2" w:rsidRPr="00B47D63" w:rsidTr="00CE1BD2">
        <w:tc>
          <w:tcPr>
            <w:tcW w:w="0" w:type="auto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lastRenderedPageBreak/>
              <w:t>Splatná a odložená daň z príjmov</w:t>
            </w:r>
          </w:p>
        </w:tc>
        <w:tc>
          <w:tcPr>
            <w:tcW w:w="2065" w:type="dxa"/>
            <w:vAlign w:val="center"/>
          </w:tcPr>
          <w:p w:rsidR="00CE1BD2" w:rsidRPr="003C3743" w:rsidRDefault="00CE1BD2" w:rsidP="00CE1BD2">
            <w:pPr>
              <w:jc w:val="center"/>
              <w:rPr>
                <w:rFonts w:asciiTheme="majorHAnsi" w:hAnsiTheme="majorHAnsi" w:cs="Arial"/>
                <w:i/>
                <w:sz w:val="20"/>
                <w:szCs w:val="20"/>
              </w:rPr>
            </w:pPr>
            <w:r>
              <w:rPr>
                <w:rFonts w:asciiTheme="majorHAnsi" w:hAnsiTheme="majorHAnsi" w:cs="Arial"/>
                <w:i/>
                <w:sz w:val="20"/>
                <w:szCs w:val="20"/>
              </w:rPr>
              <w:t>Menovitá hodnota</w:t>
            </w:r>
          </w:p>
        </w:tc>
        <w:tc>
          <w:tcPr>
            <w:tcW w:w="2268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-</w:t>
            </w:r>
          </w:p>
        </w:tc>
      </w:tr>
    </w:tbl>
    <w:p w:rsidR="00CE1BD2" w:rsidRDefault="00CE1BD2" w:rsidP="00CE1BD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CE1BD2" w:rsidRPr="00B47D63" w:rsidRDefault="00CE1BD2" w:rsidP="00CE1BD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CE1BD2" w:rsidRPr="00B47D63" w:rsidRDefault="00CE1BD2" w:rsidP="00CE1BD2">
      <w:pPr>
        <w:spacing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hAnsiTheme="majorHAnsi" w:cs="Arial"/>
          <w:b/>
        </w:rPr>
        <w:t xml:space="preserve">III.4 b) </w:t>
      </w:r>
      <w:r w:rsidRPr="00743009">
        <w:rPr>
          <w:rFonts w:asciiTheme="majorHAnsi" w:hAnsiTheme="majorHAnsi" w:cs="Arial"/>
          <w:b/>
        </w:rPr>
        <w:t>Odhad zníženia hodnoty majetku a</w:t>
      </w:r>
      <w:r>
        <w:rPr>
          <w:rFonts w:asciiTheme="majorHAnsi" w:hAnsiTheme="majorHAnsi" w:cs="Arial"/>
          <w:b/>
        </w:rPr>
        <w:t> </w:t>
      </w:r>
      <w:r w:rsidRPr="00743009">
        <w:rPr>
          <w:rFonts w:asciiTheme="majorHAnsi" w:hAnsiTheme="majorHAnsi" w:cs="Arial"/>
          <w:b/>
        </w:rPr>
        <w:t>tvorba</w:t>
      </w:r>
      <w:r>
        <w:rPr>
          <w:rFonts w:asciiTheme="majorHAnsi" w:hAnsiTheme="majorHAnsi" w:cs="Arial"/>
          <w:b/>
        </w:rPr>
        <w:t xml:space="preserve"> opravných položiek</w:t>
      </w:r>
      <w:r w:rsidRPr="00743009">
        <w:rPr>
          <w:rFonts w:asciiTheme="majorHAnsi" w:hAnsiTheme="majorHAnsi" w:cs="Arial"/>
          <w:b/>
        </w:rPr>
        <w:t xml:space="preserve"> k majetku:</w:t>
      </w:r>
    </w:p>
    <w:p w:rsidR="00CE1BD2" w:rsidRPr="00B47D63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2977"/>
        <w:gridCol w:w="3203"/>
      </w:tblGrid>
      <w:tr w:rsidR="00CE1BD2" w:rsidRPr="00B47D63" w:rsidTr="00CE1BD2"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Charakteristika majetku</w:t>
            </w:r>
          </w:p>
        </w:tc>
        <w:tc>
          <w:tcPr>
            <w:tcW w:w="29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Odhad zníženia hodnoty majetku</w:t>
            </w:r>
          </w:p>
        </w:tc>
        <w:tc>
          <w:tcPr>
            <w:tcW w:w="3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 xml:space="preserve">Vytvorená </w:t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t>opravná položka</w:t>
            </w:r>
          </w:p>
        </w:tc>
      </w:tr>
      <w:tr w:rsidR="00CE1BD2" w:rsidRPr="00B47D63" w:rsidTr="00CE1BD2">
        <w:trPr>
          <w:trHeight w:val="397"/>
        </w:trPr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12" w:space="0" w:color="auto"/>
            </w:tcBorders>
            <w:vAlign w:val="center"/>
          </w:tcPr>
          <w:p w:rsidR="00CE1BD2" w:rsidRPr="00091167" w:rsidRDefault="00CE1BD2" w:rsidP="00CE1BD2">
            <w:pPr>
              <w:jc w:val="center"/>
              <w:rPr>
                <w:rFonts w:asciiTheme="majorHAnsi" w:hAnsiTheme="majorHAnsi" w:cs="Arial"/>
                <w:i/>
              </w:rPr>
            </w:pPr>
            <w:r>
              <w:rPr>
                <w:rFonts w:asciiTheme="majorHAnsi" w:hAnsiTheme="majorHAnsi" w:cs="Arial"/>
                <w:i/>
              </w:rPr>
              <w:t>Uviesť rozhodujúce odhady a predpoklady k danej kategórii majetku</w:t>
            </w:r>
          </w:p>
        </w:tc>
        <w:tc>
          <w:tcPr>
            <w:tcW w:w="3203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CE1BD2" w:rsidRPr="00B47D63" w:rsidTr="00CE1BD2">
        <w:trPr>
          <w:trHeight w:val="397"/>
        </w:trPr>
        <w:tc>
          <w:tcPr>
            <w:tcW w:w="2835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CE1BD2" w:rsidRPr="00B47D63" w:rsidTr="00CE1BD2">
        <w:trPr>
          <w:trHeight w:val="397"/>
        </w:trPr>
        <w:tc>
          <w:tcPr>
            <w:tcW w:w="2835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CE1BD2" w:rsidRPr="00B47D63" w:rsidTr="00CE1BD2">
        <w:trPr>
          <w:trHeight w:val="397"/>
        </w:trPr>
        <w:tc>
          <w:tcPr>
            <w:tcW w:w="2835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  <w:tr w:rsidR="00CE1BD2" w:rsidRPr="00B47D63" w:rsidTr="00CE1BD2">
        <w:trPr>
          <w:trHeight w:val="397"/>
        </w:trPr>
        <w:tc>
          <w:tcPr>
            <w:tcW w:w="2835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  <w:tc>
          <w:tcPr>
            <w:tcW w:w="3203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</w:p>
        </w:tc>
      </w:tr>
    </w:tbl>
    <w:p w:rsidR="00CE1BD2" w:rsidRDefault="00CE1BD2" w:rsidP="00CE1BD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CE1BD2" w:rsidRDefault="00CE1BD2" w:rsidP="00CE1BD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1E0710" w:rsidRPr="001E0710" w:rsidRDefault="001E0710" w:rsidP="001E0710">
      <w:pPr>
        <w:spacing w:after="0"/>
        <w:ind w:left="852" w:hanging="426"/>
        <w:jc w:val="both"/>
        <w:rPr>
          <w:rFonts w:ascii="Cambria" w:hAnsi="Cambria" w:cs="Arial"/>
          <w:b/>
        </w:rPr>
      </w:pPr>
      <w:r w:rsidRPr="001E0710">
        <w:rPr>
          <w:rFonts w:ascii="Cambria" w:hAnsi="Cambria" w:cs="Arial"/>
          <w:b/>
        </w:rPr>
        <w:t>Pre danú oblasť nemá účtovná jednotka obsahovú náplň.</w:t>
      </w:r>
    </w:p>
    <w:p w:rsidR="00CE1BD2" w:rsidRDefault="00CE1BD2" w:rsidP="00CE1BD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CE1BD2" w:rsidRPr="00B47D63" w:rsidRDefault="00CE1BD2" w:rsidP="00CE1BD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CE1BD2" w:rsidRPr="00A149B5" w:rsidRDefault="00CE1BD2" w:rsidP="00CE1BD2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b/>
        </w:rPr>
        <w:t xml:space="preserve">III. 4 c) </w:t>
      </w:r>
      <w:r w:rsidRPr="00A149B5">
        <w:rPr>
          <w:rFonts w:asciiTheme="majorHAnsi" w:hAnsiTheme="majorHAnsi" w:cs="Arial"/>
          <w:b/>
        </w:rPr>
        <w:t>Ocenenie záväzkov a stanovenie odhadu ocenenia rezerv:</w:t>
      </w:r>
    </w:p>
    <w:p w:rsidR="00CE1BD2" w:rsidRPr="00B47D63" w:rsidRDefault="00CE1BD2" w:rsidP="00CE1BD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430"/>
        <w:gridCol w:w="4504"/>
      </w:tblGrid>
      <w:tr w:rsidR="00CE1BD2" w:rsidRPr="00B47D63" w:rsidTr="00CE1BD2">
        <w:trPr>
          <w:trHeight w:val="397"/>
        </w:trPr>
        <w:tc>
          <w:tcPr>
            <w:tcW w:w="449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Určenie ocenenia záväzkov</w:t>
            </w:r>
          </w:p>
        </w:tc>
        <w:tc>
          <w:tcPr>
            <w:tcW w:w="45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Odhad ocenenia rezerv</w:t>
            </w:r>
          </w:p>
        </w:tc>
      </w:tr>
      <w:tr w:rsidR="00CE1BD2" w:rsidRPr="00B47D63" w:rsidTr="00CE1BD2">
        <w:trPr>
          <w:trHeight w:val="397"/>
        </w:trPr>
        <w:tc>
          <w:tcPr>
            <w:tcW w:w="4498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E1BD2" w:rsidRPr="00B47D63" w:rsidTr="00CE1BD2">
        <w:trPr>
          <w:trHeight w:val="397"/>
        </w:trPr>
        <w:tc>
          <w:tcPr>
            <w:tcW w:w="4498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E1BD2" w:rsidRPr="00B47D63" w:rsidTr="00CE1BD2">
        <w:trPr>
          <w:trHeight w:val="397"/>
        </w:trPr>
        <w:tc>
          <w:tcPr>
            <w:tcW w:w="4498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E1BD2" w:rsidRPr="00B47D63" w:rsidTr="00CE1BD2">
        <w:trPr>
          <w:trHeight w:val="397"/>
        </w:trPr>
        <w:tc>
          <w:tcPr>
            <w:tcW w:w="4498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E1BD2" w:rsidRPr="00B47D63" w:rsidTr="00CE1BD2">
        <w:trPr>
          <w:trHeight w:val="397"/>
        </w:trPr>
        <w:tc>
          <w:tcPr>
            <w:tcW w:w="4498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1E0710" w:rsidRPr="00B47D63" w:rsidTr="00CE1BD2">
        <w:trPr>
          <w:trHeight w:val="397"/>
        </w:trPr>
        <w:tc>
          <w:tcPr>
            <w:tcW w:w="4498" w:type="dxa"/>
            <w:vAlign w:val="center"/>
          </w:tcPr>
          <w:p w:rsidR="001E0710" w:rsidRPr="00B47D63" w:rsidRDefault="001E0710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4574" w:type="dxa"/>
            <w:vAlign w:val="center"/>
          </w:tcPr>
          <w:p w:rsidR="001E0710" w:rsidRPr="00B47D63" w:rsidRDefault="001E0710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CE1BD2" w:rsidRPr="00B47D63" w:rsidRDefault="00CE1BD2" w:rsidP="00CE1BD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1E0710" w:rsidRDefault="001E0710" w:rsidP="001E0710">
      <w:pPr>
        <w:spacing w:after="0"/>
        <w:jc w:val="both"/>
        <w:rPr>
          <w:rFonts w:ascii="Cambria" w:hAnsi="Cambria" w:cs="Arial"/>
          <w:b/>
        </w:rPr>
      </w:pPr>
      <w:r w:rsidRPr="001E0710">
        <w:rPr>
          <w:rFonts w:ascii="Cambria" w:hAnsi="Cambria" w:cs="Arial"/>
          <w:b/>
        </w:rPr>
        <w:t>Pre danú oblasť nemá účtovná jednotka obsahovú náplň.</w:t>
      </w:r>
    </w:p>
    <w:p w:rsidR="001E0710" w:rsidRDefault="001E0710" w:rsidP="001E0710">
      <w:pPr>
        <w:spacing w:after="0"/>
        <w:jc w:val="both"/>
        <w:rPr>
          <w:rFonts w:ascii="Cambria" w:hAnsi="Cambria" w:cs="Arial"/>
          <w:b/>
        </w:rPr>
      </w:pPr>
    </w:p>
    <w:p w:rsidR="001E0710" w:rsidRPr="001E0710" w:rsidRDefault="001E0710" w:rsidP="001E0710">
      <w:pPr>
        <w:spacing w:after="0"/>
        <w:jc w:val="both"/>
        <w:rPr>
          <w:rFonts w:ascii="Cambria" w:hAnsi="Cambria" w:cs="Arial"/>
          <w:b/>
        </w:rPr>
      </w:pPr>
    </w:p>
    <w:p w:rsidR="00CE1BD2" w:rsidRPr="00B47D63" w:rsidRDefault="00CE1BD2" w:rsidP="00CE1BD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CE1BD2" w:rsidRPr="006E5C50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III. 4 </w:t>
      </w:r>
      <w:r w:rsidRPr="006E5C50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d) Ocenenie finančných nástrojov alebo majetku, ktorý nie je finančným nástrojom</w:t>
      </w:r>
    </w:p>
    <w:p w:rsidR="00CE1BD2" w:rsidRPr="006E5C50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 w:rsidRPr="006E5C50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pri oceňovaní reálnou hodnotou:</w:t>
      </w:r>
    </w:p>
    <w:p w:rsidR="00CE1BD2" w:rsidRPr="00B47D63" w:rsidRDefault="00CE1BD2" w:rsidP="00CE1BD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96"/>
        <w:gridCol w:w="2329"/>
        <w:gridCol w:w="1654"/>
        <w:gridCol w:w="1687"/>
        <w:gridCol w:w="1568"/>
      </w:tblGrid>
      <w:tr w:rsidR="00CE1BD2" w:rsidRPr="00B47D63" w:rsidTr="00CE1BD2">
        <w:tc>
          <w:tcPr>
            <w:tcW w:w="17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DF7BC8" w:rsidRDefault="00CE1BD2" w:rsidP="00CE1BD2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Finančný nástroj (FN) alebo majetok, ktorý nie je FN pri oceňovaní reálnou hodnotou (RH)</w:t>
            </w:r>
          </w:p>
        </w:tc>
        <w:tc>
          <w:tcPr>
            <w:tcW w:w="23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DF7BC8" w:rsidRDefault="00CE1BD2" w:rsidP="00CE1BD2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 xml:space="preserve">Aplikácia RH podľa </w:t>
            </w:r>
            <w:proofErr w:type="spellStart"/>
            <w:r w:rsidRPr="00DF7BC8">
              <w:rPr>
                <w:rFonts w:ascii="Cambria" w:hAnsi="Cambria" w:cs="Arial"/>
                <w:b/>
                <w:sz w:val="20"/>
                <w:szCs w:val="20"/>
              </w:rPr>
              <w:t>ZoÚ</w:t>
            </w:r>
            <w:proofErr w:type="spellEnd"/>
            <w:r w:rsidRPr="00DF7BC8">
              <w:rPr>
                <w:rFonts w:ascii="Cambria" w:hAnsi="Cambria" w:cs="Arial"/>
                <w:b/>
                <w:sz w:val="20"/>
                <w:szCs w:val="20"/>
              </w:rPr>
              <w:t xml:space="preserve"> alebo stanovenie významných predpokladov slúžiacich ako základ modelov a postupov ocenenia pri kvalifikovanom odhade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DF7BC8" w:rsidRDefault="00CE1BD2" w:rsidP="00CE1BD2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Reálna hodnota</w:t>
            </w:r>
          </w:p>
        </w:tc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:rsidR="00CE1BD2" w:rsidRDefault="00CE1BD2" w:rsidP="00CE1BD2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>Vplyv reálnej hodnoty</w:t>
            </w:r>
          </w:p>
          <w:p w:rsidR="00CE1BD2" w:rsidRDefault="00CE1BD2" w:rsidP="00CE1BD2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na výsledok</w:t>
            </w:r>
          </w:p>
          <w:p w:rsidR="00CE1BD2" w:rsidRPr="00DF7BC8" w:rsidRDefault="00CE1BD2" w:rsidP="00CE1BD2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hospodárenia</w:t>
            </w:r>
          </w:p>
        </w:tc>
        <w:tc>
          <w:tcPr>
            <w:tcW w:w="1591" w:type="dxa"/>
            <w:vAlign w:val="center"/>
          </w:tcPr>
          <w:p w:rsidR="00CE1BD2" w:rsidRDefault="00CE1BD2" w:rsidP="00CE1BD2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>
              <w:rPr>
                <w:rFonts w:ascii="Cambria" w:hAnsi="Cambria" w:cs="Arial"/>
                <w:b/>
                <w:sz w:val="20"/>
                <w:szCs w:val="20"/>
              </w:rPr>
              <w:t xml:space="preserve">Vplyv reálnej hodnoty </w:t>
            </w:r>
          </w:p>
          <w:p w:rsidR="00CE1BD2" w:rsidRDefault="00CE1BD2" w:rsidP="00CE1BD2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na vlastné imanie</w:t>
            </w:r>
            <w:r>
              <w:rPr>
                <w:rFonts w:ascii="Cambria" w:hAnsi="Cambria" w:cs="Arial"/>
                <w:b/>
                <w:sz w:val="20"/>
                <w:szCs w:val="20"/>
              </w:rPr>
              <w:t xml:space="preserve"> </w:t>
            </w:r>
            <w:r w:rsidRPr="00DF7BC8">
              <w:rPr>
                <w:rFonts w:ascii="Cambria" w:hAnsi="Cambria" w:cs="Arial"/>
                <w:b/>
                <w:sz w:val="20"/>
                <w:szCs w:val="20"/>
              </w:rPr>
              <w:t>(cez</w:t>
            </w:r>
          </w:p>
          <w:p w:rsidR="00CE1BD2" w:rsidRDefault="00CE1BD2" w:rsidP="00CE1BD2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oc</w:t>
            </w:r>
            <w:r>
              <w:rPr>
                <w:rFonts w:ascii="Cambria" w:hAnsi="Cambria" w:cs="Arial"/>
                <w:b/>
                <w:sz w:val="20"/>
                <w:szCs w:val="20"/>
              </w:rPr>
              <w:t>eňovacie</w:t>
            </w:r>
          </w:p>
          <w:p w:rsidR="00CE1BD2" w:rsidRPr="00DF7BC8" w:rsidRDefault="00CE1BD2" w:rsidP="00CE1BD2">
            <w:pPr>
              <w:jc w:val="center"/>
              <w:rPr>
                <w:rFonts w:ascii="Cambria" w:hAnsi="Cambria" w:cs="Arial"/>
                <w:b/>
                <w:sz w:val="20"/>
                <w:szCs w:val="20"/>
              </w:rPr>
            </w:pPr>
            <w:r w:rsidRPr="00DF7BC8">
              <w:rPr>
                <w:rFonts w:ascii="Cambria" w:hAnsi="Cambria" w:cs="Arial"/>
                <w:b/>
                <w:sz w:val="20"/>
                <w:szCs w:val="20"/>
              </w:rPr>
              <w:t>rozdiely)</w:t>
            </w:r>
          </w:p>
        </w:tc>
      </w:tr>
      <w:tr w:rsidR="00CE1BD2" w:rsidRPr="00B47D63" w:rsidTr="00CE1BD2">
        <w:trPr>
          <w:trHeight w:val="397"/>
        </w:trPr>
        <w:tc>
          <w:tcPr>
            <w:tcW w:w="1734" w:type="dxa"/>
            <w:tcBorders>
              <w:top w:val="single" w:sz="12" w:space="0" w:color="auto"/>
            </w:tcBorders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  <w:tcBorders>
              <w:top w:val="single" w:sz="12" w:space="0" w:color="auto"/>
            </w:tcBorders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E1BD2" w:rsidRPr="00B47D63" w:rsidTr="00CE1BD2">
        <w:trPr>
          <w:trHeight w:val="397"/>
        </w:trPr>
        <w:tc>
          <w:tcPr>
            <w:tcW w:w="1734" w:type="dxa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E1BD2" w:rsidRPr="00B47D63" w:rsidTr="00CE1BD2">
        <w:trPr>
          <w:trHeight w:val="397"/>
        </w:trPr>
        <w:tc>
          <w:tcPr>
            <w:tcW w:w="1734" w:type="dxa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E1BD2" w:rsidRPr="00B47D63" w:rsidTr="00CE1BD2">
        <w:trPr>
          <w:trHeight w:val="397"/>
        </w:trPr>
        <w:tc>
          <w:tcPr>
            <w:tcW w:w="1734" w:type="dxa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E1BD2" w:rsidRPr="00B47D63" w:rsidTr="00CE1BD2">
        <w:trPr>
          <w:trHeight w:val="397"/>
        </w:trPr>
        <w:tc>
          <w:tcPr>
            <w:tcW w:w="1734" w:type="dxa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77" w:type="dxa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591" w:type="dxa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CE1BD2" w:rsidRDefault="00CE1BD2" w:rsidP="00CE1BD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1E0710" w:rsidRPr="00B47D63" w:rsidRDefault="001E0710" w:rsidP="00CE1BD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CE1BD2" w:rsidRPr="00B47D63" w:rsidRDefault="00CE1BD2" w:rsidP="00CE1BD2">
      <w:pPr>
        <w:spacing w:before="24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 w:rsidRPr="00B47D63">
        <w:rPr>
          <w:rFonts w:asciiTheme="majorHAnsi" w:hAnsiTheme="majorHAnsi" w:cs="Arial"/>
          <w:b/>
          <w:sz w:val="20"/>
          <w:szCs w:val="20"/>
        </w:rPr>
        <w:t>Informácie o rozsahu a podstate všetkých druhov derivátových finančných nástrojov vrátane hlavných podmienok a okolností, ktoré môžu ovplyvniť sumu, časový priebeh a mieru istoty budúcich peňažných tokov:</w:t>
      </w:r>
    </w:p>
    <w:p w:rsidR="00CE1BD2" w:rsidRDefault="001E0710" w:rsidP="00CE1BD2">
      <w:pPr>
        <w:spacing w:before="240" w:line="240" w:lineRule="auto"/>
        <w:jc w:val="both"/>
        <w:rPr>
          <w:rFonts w:ascii="Cambria" w:hAnsi="Cambria" w:cs="Arial"/>
          <w:b/>
        </w:rPr>
      </w:pPr>
      <w:r w:rsidRPr="001E0710">
        <w:rPr>
          <w:rFonts w:ascii="Cambria" w:hAnsi="Cambria" w:cs="Arial"/>
          <w:b/>
        </w:rPr>
        <w:t>Pre danú oblasť nemá účtovná jednotka obsahovú náplň.</w:t>
      </w:r>
    </w:p>
    <w:p w:rsidR="001E0710" w:rsidRPr="00B47D63" w:rsidRDefault="001E0710" w:rsidP="00CE1BD2">
      <w:pPr>
        <w:spacing w:before="24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</w:p>
    <w:p w:rsidR="00CE1BD2" w:rsidRPr="006E5C50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 w:rsidRPr="006E5C50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e) Ocenenie finančných nástrojov pri oceňovaní obstarávacou cenou alebo vlastnými nákladmi:</w:t>
      </w:r>
    </w:p>
    <w:p w:rsidR="00CE1BD2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14"/>
        <w:gridCol w:w="3024"/>
        <w:gridCol w:w="3004"/>
      </w:tblGrid>
      <w:tr w:rsidR="00CE1BD2" w:rsidTr="00CE1BD2">
        <w:tc>
          <w:tcPr>
            <w:tcW w:w="307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E1BD2" w:rsidRPr="00974C55" w:rsidRDefault="00CE1BD2" w:rsidP="00CE1BD2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Druh derivátových finančných nástrojov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E1BD2" w:rsidRPr="00974C55" w:rsidRDefault="00CE1BD2" w:rsidP="00CE1BD2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974C55">
              <w:rPr>
                <w:rFonts w:asciiTheme="majorHAnsi" w:hAnsiTheme="majorHAnsi" w:cs="Arial"/>
                <w:b/>
                <w:sz w:val="20"/>
                <w:szCs w:val="20"/>
              </w:rPr>
              <w:t>Rozsah a charakteristika FN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CE1BD2" w:rsidRPr="00974C55" w:rsidRDefault="00CE1BD2" w:rsidP="00CE1BD2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974C55">
              <w:rPr>
                <w:rFonts w:asciiTheme="majorHAnsi" w:hAnsiTheme="majorHAnsi" w:cs="Arial"/>
                <w:b/>
                <w:sz w:val="20"/>
                <w:szCs w:val="20"/>
              </w:rPr>
              <w:t>Reálna hodnota FN</w:t>
            </w:r>
          </w:p>
        </w:tc>
      </w:tr>
      <w:tr w:rsidR="00CE1BD2" w:rsidTr="00CE1BD2">
        <w:trPr>
          <w:trHeight w:val="340"/>
        </w:trPr>
        <w:tc>
          <w:tcPr>
            <w:tcW w:w="3070" w:type="dxa"/>
            <w:tcBorders>
              <w:top w:val="single" w:sz="12" w:space="0" w:color="auto"/>
            </w:tcBorders>
          </w:tcPr>
          <w:p w:rsidR="00CE1BD2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:rsidR="00CE1BD2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:rsidR="00CE1BD2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E1BD2" w:rsidTr="00CE1BD2">
        <w:trPr>
          <w:trHeight w:val="340"/>
        </w:trPr>
        <w:tc>
          <w:tcPr>
            <w:tcW w:w="3070" w:type="dxa"/>
          </w:tcPr>
          <w:p w:rsidR="00CE1BD2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:rsidR="00CE1BD2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:rsidR="00CE1BD2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E1BD2" w:rsidTr="00CE1BD2">
        <w:trPr>
          <w:trHeight w:val="340"/>
        </w:trPr>
        <w:tc>
          <w:tcPr>
            <w:tcW w:w="3070" w:type="dxa"/>
          </w:tcPr>
          <w:p w:rsidR="00CE1BD2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:rsidR="00CE1BD2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:rsidR="00CE1BD2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1E0710" w:rsidTr="00CE1BD2">
        <w:trPr>
          <w:trHeight w:val="340"/>
        </w:trPr>
        <w:tc>
          <w:tcPr>
            <w:tcW w:w="3070" w:type="dxa"/>
          </w:tcPr>
          <w:p w:rsidR="001E0710" w:rsidRDefault="001E0710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:rsidR="001E0710" w:rsidRDefault="001E0710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</w:tcPr>
          <w:p w:rsidR="001E0710" w:rsidRDefault="001E0710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CE1BD2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sz w:val="20"/>
          <w:szCs w:val="20"/>
        </w:rPr>
      </w:pPr>
    </w:p>
    <w:p w:rsidR="00CE1BD2" w:rsidRPr="00B47D63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sz w:val="20"/>
          <w:szCs w:val="20"/>
        </w:rPr>
      </w:pPr>
    </w:p>
    <w:p w:rsidR="00CE1BD2" w:rsidRPr="00B47D63" w:rsidRDefault="00CE1BD2" w:rsidP="00CE1BD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tbl>
      <w:tblPr>
        <w:tblStyle w:val="Mriekatabu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262"/>
        <w:gridCol w:w="2258"/>
        <w:gridCol w:w="2258"/>
        <w:gridCol w:w="2264"/>
      </w:tblGrid>
      <w:tr w:rsidR="00CE1BD2" w:rsidTr="00CE1BD2">
        <w:tc>
          <w:tcPr>
            <w:tcW w:w="230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E1BD2" w:rsidRPr="00974C55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lastRenderedPageBreak/>
              <w:t>Dlhodobý finančný majetok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E1BD2" w:rsidRPr="00974C55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Účtovná hodnota (ÚH)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E1BD2" w:rsidRPr="00974C55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Reálna hodnota (RH)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CE1BD2" w:rsidRPr="00974C55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Dôvod nezníženia ÚH (ak je ÚH &gt; RH)</w:t>
            </w:r>
          </w:p>
        </w:tc>
      </w:tr>
      <w:tr w:rsidR="00CE1BD2" w:rsidTr="00CE1BD2">
        <w:tc>
          <w:tcPr>
            <w:tcW w:w="2303" w:type="dxa"/>
            <w:tcBorders>
              <w:top w:val="single" w:sz="12" w:space="0" w:color="auto"/>
            </w:tcBorders>
          </w:tcPr>
          <w:p w:rsidR="00CE1BD2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CE1BD2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CE1BD2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CE1BD2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E1BD2" w:rsidTr="00CE1BD2">
        <w:tc>
          <w:tcPr>
            <w:tcW w:w="2303" w:type="dxa"/>
          </w:tcPr>
          <w:p w:rsidR="00CE1BD2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E1BD2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E1BD2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E1BD2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E1BD2" w:rsidTr="00CE1BD2">
        <w:tc>
          <w:tcPr>
            <w:tcW w:w="2303" w:type="dxa"/>
          </w:tcPr>
          <w:p w:rsidR="00CE1BD2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E1BD2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E1BD2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E1BD2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CE1BD2" w:rsidRDefault="00CE1BD2" w:rsidP="00CE1BD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CE1BD2" w:rsidRDefault="00CE1BD2" w:rsidP="00CE1BD2">
      <w:pPr>
        <w:spacing w:after="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>
        <w:rPr>
          <w:rFonts w:asciiTheme="majorHAnsi" w:hAnsiTheme="majorHAnsi" w:cs="Arial"/>
          <w:b/>
          <w:sz w:val="20"/>
          <w:szCs w:val="20"/>
        </w:rPr>
        <w:t>Ďalšie informácie týkajúce sa dôvodov a povahy dôkazov pre nezníženie účtovnej hodnoty (ak prevyšuje hodnotu reálnu) vyhodnotené ako predpoklady na opätovné dosiahnutie účtovnej hodnoty:</w:t>
      </w:r>
    </w:p>
    <w:p w:rsidR="00CE1BD2" w:rsidRPr="001E5324" w:rsidRDefault="00CE1BD2" w:rsidP="00CE1BD2">
      <w:pPr>
        <w:spacing w:after="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</w:p>
    <w:p w:rsidR="00CE1BD2" w:rsidRPr="00B47D63" w:rsidRDefault="001E0710" w:rsidP="00CE1BD2">
      <w:pPr>
        <w:spacing w:before="24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 w:rsidRPr="001E0710">
        <w:rPr>
          <w:rFonts w:ascii="Cambria" w:hAnsi="Cambria" w:cs="Arial"/>
          <w:b/>
        </w:rPr>
        <w:t>Pre danú oblasť nemá účtovná jednotka obsahovú náplň.</w:t>
      </w:r>
    </w:p>
    <w:p w:rsidR="00CE1BD2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4 </w:t>
      </w:r>
      <w:r w:rsidRPr="006E5C50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f) </w:t>
      </w: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Stanovenie metódy vlastného imania</w:t>
      </w:r>
    </w:p>
    <w:p w:rsidR="00CE1BD2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</w:p>
    <w:p w:rsidR="00CE1BD2" w:rsidRPr="00325D0E" w:rsidRDefault="001E0710" w:rsidP="00CE1BD2">
      <w:pPr>
        <w:spacing w:before="24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 w:rsidRPr="001E0710">
        <w:rPr>
          <w:rFonts w:ascii="Cambria" w:hAnsi="Cambria" w:cs="Arial"/>
          <w:b/>
        </w:rPr>
        <w:t>Pre danú oblasť nemá účtovná jednotka obsahovú náplň.</w:t>
      </w:r>
    </w:p>
    <w:p w:rsidR="00CE1BD2" w:rsidRPr="006E5C50" w:rsidRDefault="00CE1BD2" w:rsidP="00CE1BD2">
      <w:pPr>
        <w:spacing w:after="0" w:line="240" w:lineRule="auto"/>
        <w:jc w:val="both"/>
        <w:rPr>
          <w:rFonts w:asciiTheme="majorHAnsi" w:hAnsiTheme="majorHAnsi" w:cs="Arial"/>
          <w:i/>
          <w:sz w:val="20"/>
          <w:szCs w:val="20"/>
        </w:rPr>
      </w:pPr>
    </w:p>
    <w:p w:rsidR="00CE1BD2" w:rsidRPr="00B47D63" w:rsidRDefault="00CE1BD2" w:rsidP="00CE1BD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CE1BD2" w:rsidRPr="006E5C50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</w:rPr>
      </w:pP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g</w:t>
      </w:r>
      <w:r w:rsidRPr="006E5C50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Spôsob zostavenia odpisového plánu dlhodobého majetku</w:t>
      </w:r>
    </w:p>
    <w:p w:rsidR="00CE1BD2" w:rsidRPr="00B47D63" w:rsidRDefault="00CE1BD2" w:rsidP="00CE1BD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CE1BD2" w:rsidRPr="00B47D63" w:rsidRDefault="00CE1BD2" w:rsidP="00CE1BD2">
      <w:pPr>
        <w:spacing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B47D63">
        <w:rPr>
          <w:rFonts w:asciiTheme="majorHAnsi" w:hAnsiTheme="majorHAnsi" w:cs="Arial"/>
          <w:sz w:val="20"/>
          <w:szCs w:val="20"/>
        </w:rPr>
        <w:t>Spôsob zostavenia účtovného odpisového plánu pre dlhodobý hmotný majetok a dlhodobý nehmotný majetok, doba odpisovania a použité sadzby a odpisové metódy pri stanovení účtovných odpisov: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159"/>
        <w:gridCol w:w="2262"/>
        <w:gridCol w:w="2250"/>
        <w:gridCol w:w="2263"/>
      </w:tblGrid>
      <w:tr w:rsidR="00CE1BD2" w:rsidRPr="00B47D63" w:rsidTr="00CE1BD2">
        <w:trPr>
          <w:trHeight w:val="397"/>
        </w:trPr>
        <w:tc>
          <w:tcPr>
            <w:tcW w:w="219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majetku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Doba odpisovania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Sadzba odpisov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Odpisová metóda</w:t>
            </w:r>
          </w:p>
        </w:tc>
      </w:tr>
      <w:tr w:rsidR="00CE1BD2" w:rsidRPr="00B47D63" w:rsidTr="00CE1BD2">
        <w:trPr>
          <w:trHeight w:val="397"/>
        </w:trPr>
        <w:tc>
          <w:tcPr>
            <w:tcW w:w="2195" w:type="dxa"/>
            <w:tcBorders>
              <w:top w:val="single" w:sz="12" w:space="0" w:color="auto"/>
            </w:tcBorders>
          </w:tcPr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Samostatné hnuteľné veci </w:t>
            </w: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12 rokov</w:t>
            </w: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12</w:t>
            </w:r>
          </w:p>
        </w:tc>
        <w:tc>
          <w:tcPr>
            <w:tcW w:w="2303" w:type="dxa"/>
            <w:tcBorders>
              <w:top w:val="single" w:sz="12" w:space="0" w:color="auto"/>
            </w:tcBorders>
          </w:tcPr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rovnomerná</w:t>
            </w:r>
          </w:p>
        </w:tc>
      </w:tr>
      <w:tr w:rsidR="00CE1BD2" w:rsidRPr="00B47D63" w:rsidTr="00CE1BD2">
        <w:trPr>
          <w:trHeight w:val="397"/>
        </w:trPr>
        <w:tc>
          <w:tcPr>
            <w:tcW w:w="2195" w:type="dxa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E1BD2" w:rsidRPr="00B47D63" w:rsidTr="00CE1BD2">
        <w:trPr>
          <w:trHeight w:val="397"/>
        </w:trPr>
        <w:tc>
          <w:tcPr>
            <w:tcW w:w="2195" w:type="dxa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E1BD2" w:rsidRPr="00B47D63" w:rsidTr="00CE1BD2">
        <w:trPr>
          <w:trHeight w:val="397"/>
        </w:trPr>
        <w:tc>
          <w:tcPr>
            <w:tcW w:w="2195" w:type="dxa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E1BD2" w:rsidRPr="00B47D63" w:rsidTr="00CE1BD2">
        <w:trPr>
          <w:trHeight w:val="397"/>
        </w:trPr>
        <w:tc>
          <w:tcPr>
            <w:tcW w:w="2195" w:type="dxa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CE1BD2" w:rsidRPr="00B47D63" w:rsidRDefault="00CE1BD2" w:rsidP="00CE1BD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CE1BD2" w:rsidRPr="00B47D63" w:rsidRDefault="00CE1BD2" w:rsidP="00CE1BD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CE1BD2" w:rsidRDefault="00CE1BD2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Theme="majorHAnsi" w:eastAsia="MS Gothic" w:hAnsiTheme="majorHAnsi" w:cs="Arial"/>
            <w:b/>
          </w:rPr>
          <w:id w:val="-12625205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Pr="00B47D63">
        <w:rPr>
          <w:rFonts w:asciiTheme="majorHAnsi" w:eastAsia="MS Gothic" w:hAnsiTheme="majorHAnsi" w:cs="Arial"/>
          <w:b/>
        </w:rPr>
        <w:tab/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zostavený účtovnou jednotkou </w:t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vychádza</w:t>
      </w:r>
      <w:r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z predpokladanej doby použiteľnosti dlhodobého nehmotného majetku </w:t>
      </w:r>
      <w:r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a/</w:t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alebo iných objektívnych predpokladov</w:t>
      </w:r>
      <w:r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(uviesť)</w:t>
      </w: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CE1BD2" w:rsidRDefault="00CE1BD2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Default="00CE1BD2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</w:p>
    <w:p w:rsidR="00CE1BD2" w:rsidRPr="00B47D63" w:rsidRDefault="00CE1BD2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Pr="00B47D63" w:rsidRDefault="00CE1BD2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Pr="00B47D63" w:rsidRDefault="00CE1BD2" w:rsidP="00CE1BD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Theme="majorHAnsi" w:eastAsia="MS Gothic" w:hAnsiTheme="majorHAnsi" w:cs="Arial"/>
            <w:b/>
          </w:rPr>
          <w:id w:val="15141132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Pr="00B47D63">
        <w:rPr>
          <w:rFonts w:asciiTheme="majorHAnsi" w:eastAsia="MS Gothic" w:hAnsiTheme="majorHAnsi" w:cs="Arial"/>
          <w:b/>
        </w:rPr>
        <w:tab/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ovplyvnený týmito rozhodnutiami:</w:t>
      </w:r>
    </w:p>
    <w:p w:rsidR="00CE1BD2" w:rsidRPr="00B47D63" w:rsidRDefault="00CE1BD2" w:rsidP="00CE1BD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Pr="00B47D63" w:rsidRDefault="00CE1BD2" w:rsidP="00CE1BD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begin"/>
      </w:r>
      <w:bookmarkStart w:id="0" w:name="Text8"/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instrText xml:space="preserve"> FORMTEXT </w:instrText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separate"/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noProof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fldChar w:fldCharType="end"/>
      </w:r>
      <w:bookmarkEnd w:id="0"/>
    </w:p>
    <w:p w:rsidR="00CE1BD2" w:rsidRPr="00B47D63" w:rsidRDefault="00CE1BD2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Pr="00B47D63" w:rsidRDefault="00CE1BD2" w:rsidP="00CE1BD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Theme="majorHAnsi" w:eastAsia="MS Gothic" w:hAnsiTheme="majorHAnsi" w:cs="Arial"/>
            <w:b/>
          </w:rPr>
          <w:id w:val="-1529326073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1E0710">
            <w:rPr>
              <w:rFonts w:ascii="MS Gothic" w:eastAsia="MS Gothic" w:hAnsi="MS Gothic" w:cs="Arial" w:hint="eastAsia"/>
              <w:b/>
            </w:rPr>
            <w:t>☒</w:t>
          </w:r>
        </w:sdtContent>
      </w:sdt>
      <w:r w:rsidRPr="00B47D63">
        <w:rPr>
          <w:rFonts w:asciiTheme="majorHAnsi" w:eastAsia="MS Gothic" w:hAnsiTheme="majorHAnsi" w:cs="Arial"/>
          <w:b/>
        </w:rPr>
        <w:tab/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zostav</w:t>
      </w:r>
      <w:r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ený účtovnou jednotkou </w:t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interným predpisom</w:t>
      </w:r>
      <w:r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vychádzal z predpokladaného opotrebenia zaraďovaného majetku zodpovedajúceho </w:t>
      </w:r>
      <w:r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miere opotrebenia v bežných podmienkach</w:t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jeho používania. Odpisové sadzby pre účtovné a daňové odpisy</w:t>
      </w:r>
      <w:r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:rsidR="00CE1BD2" w:rsidRPr="00B47D63" w:rsidRDefault="00CE1BD2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Default="00CE1BD2" w:rsidP="00CE1BD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Theme="majorHAnsi" w:eastAsia="MS Gothic" w:hAnsiTheme="majorHAnsi" w:cs="Arial"/>
            <w:b/>
          </w:rPr>
          <w:id w:val="-17992934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47D63">
            <w:rPr>
              <w:rFonts w:ascii="MS Mincho" w:eastAsia="MS Mincho" w:hAnsi="MS Mincho" w:cs="MS Mincho" w:hint="eastAsia"/>
              <w:b/>
            </w:rPr>
            <w:t>☐</w:t>
          </w:r>
        </w:sdtContent>
      </w:sdt>
      <w:r w:rsidRPr="00B47D63">
        <w:rPr>
          <w:rFonts w:asciiTheme="majorHAnsi" w:eastAsia="MS Gothic" w:hAnsiTheme="majorHAnsi" w:cs="Arial"/>
          <w:b/>
        </w:rPr>
        <w:tab/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bol </w:t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zostav</w:t>
      </w:r>
      <w:r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ený účtovnou jednotkou</w:t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interným predpisom tak, že za základ</w:t>
      </w:r>
      <w:r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3526D8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odhadu miery opotrebenia dlhodobého hmotného majetku</w:t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vzal metódy používané pri vyčísľovaní daňových odpisov. Odpisové sadzby pre účtovné a daňové odpisy 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Ročný účtovný odpis sa </w:t>
      </w:r>
      <w:r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môže odlišovať</w:t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od daňového podľa počtu mesiacov od zaradenia </w:t>
      </w:r>
      <w:r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majetku </w:t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 konca roka.</w:t>
      </w:r>
    </w:p>
    <w:p w:rsidR="00CE1BD2" w:rsidRDefault="00CE1BD2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Default="00CE1BD2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Dodatočné informácie k tvorbe odpisového plánu: </w:t>
      </w:r>
    </w:p>
    <w:p w:rsidR="00CE1BD2" w:rsidRDefault="00CE1BD2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Pr="00B47D63" w:rsidRDefault="00CE1BD2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Pr="00B47D63" w:rsidRDefault="00CE1BD2" w:rsidP="00CE1BD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Pr="00FA30A7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III. 4 h</w:t>
      </w:r>
      <w:r w:rsidRPr="00FA30A7">
        <w:rPr>
          <w:rFonts w:asciiTheme="majorHAnsi" w:hAnsiTheme="majorHAnsi" w:cs="Arial"/>
          <w:b/>
        </w:rPr>
        <w:t>) Dotácie poskytnuté na obstaranie majetku:</w:t>
      </w:r>
    </w:p>
    <w:p w:rsidR="00CE1BD2" w:rsidRPr="00B47D63" w:rsidRDefault="00CE1BD2" w:rsidP="00CE1BD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09"/>
        <w:gridCol w:w="3015"/>
        <w:gridCol w:w="3010"/>
      </w:tblGrid>
      <w:tr w:rsidR="00CE1BD2" w:rsidRPr="00B47D63" w:rsidTr="00CE1BD2">
        <w:trPr>
          <w:trHeight w:val="394"/>
        </w:trPr>
        <w:tc>
          <w:tcPr>
            <w:tcW w:w="29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obstaraný z dotácie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Ocenenie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majetku 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dotácie</w:t>
            </w:r>
          </w:p>
        </w:tc>
      </w:tr>
      <w:tr w:rsidR="00CE1BD2" w:rsidRPr="00B47D63" w:rsidTr="00CE1BD2">
        <w:trPr>
          <w:trHeight w:val="397"/>
        </w:trPr>
        <w:tc>
          <w:tcPr>
            <w:tcW w:w="2962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E1BD2" w:rsidRPr="00B47D63" w:rsidTr="00CE1BD2">
        <w:trPr>
          <w:trHeight w:val="397"/>
        </w:trPr>
        <w:tc>
          <w:tcPr>
            <w:tcW w:w="2962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E1BD2" w:rsidRPr="00B47D63" w:rsidTr="00CE1BD2">
        <w:trPr>
          <w:trHeight w:val="397"/>
        </w:trPr>
        <w:tc>
          <w:tcPr>
            <w:tcW w:w="2962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CE1BD2" w:rsidRDefault="00CE1BD2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Pr="00B47D63" w:rsidRDefault="001E0710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E0710">
        <w:rPr>
          <w:rFonts w:ascii="Cambria" w:hAnsi="Cambria" w:cs="Arial"/>
          <w:b/>
        </w:rPr>
        <w:t>Pre danú oblasť nemá účtovná jednotka obsahovú náplň.</w:t>
      </w:r>
    </w:p>
    <w:p w:rsidR="00CE1BD2" w:rsidRPr="008B2DBA" w:rsidRDefault="00CE1BD2" w:rsidP="00CE1BD2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 w:rsidRPr="008B2DBA">
        <w:rPr>
          <w:rFonts w:asciiTheme="majorHAnsi" w:hAnsiTheme="majorHAnsi" w:cs="Arial"/>
          <w:b/>
        </w:rPr>
        <w:t>I</w:t>
      </w:r>
      <w:r>
        <w:rPr>
          <w:rFonts w:asciiTheme="majorHAnsi" w:hAnsiTheme="majorHAnsi" w:cs="Arial"/>
          <w:b/>
        </w:rPr>
        <w:t>I</w:t>
      </w:r>
      <w:r w:rsidRPr="008B2DBA">
        <w:rPr>
          <w:rFonts w:asciiTheme="majorHAnsi" w:hAnsiTheme="majorHAnsi" w:cs="Arial"/>
          <w:b/>
        </w:rPr>
        <w:t>I.5</w:t>
      </w:r>
      <w:r>
        <w:rPr>
          <w:rFonts w:asciiTheme="majorHAnsi" w:hAnsiTheme="majorHAnsi" w:cs="Arial"/>
          <w:b/>
        </w:rPr>
        <w:t xml:space="preserve">  </w:t>
      </w:r>
      <w:r w:rsidRPr="008B2DBA">
        <w:rPr>
          <w:rFonts w:asciiTheme="majorHAnsi" w:hAnsiTheme="majorHAnsi" w:cs="Arial"/>
          <w:b/>
        </w:rPr>
        <w:t>Oprava významných a nevýznamných chýb minulých účtovných období vykonaných v bežnom účtovnom období:</w:t>
      </w:r>
    </w:p>
    <w:p w:rsidR="00CE1BD2" w:rsidRPr="00B47D63" w:rsidRDefault="00CE1BD2" w:rsidP="00CE1BD2">
      <w:pPr>
        <w:spacing w:after="0" w:line="240" w:lineRule="auto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16"/>
        <w:gridCol w:w="3001"/>
        <w:gridCol w:w="3017"/>
      </w:tblGrid>
      <w:tr w:rsidR="00CE1BD2" w:rsidRPr="00B47D63" w:rsidTr="00CE1BD2">
        <w:trPr>
          <w:trHeight w:val="397"/>
        </w:trPr>
        <w:tc>
          <w:tcPr>
            <w:tcW w:w="29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opravy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Suma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Popis chyby a</w:t>
            </w:r>
            <w:r>
              <w:rPr>
                <w:rFonts w:asciiTheme="majorHAnsi" w:hAnsiTheme="majorHAnsi" w:cs="Arial"/>
                <w:sz w:val="20"/>
                <w:szCs w:val="20"/>
              </w:rPr>
              <w:t> 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>vplyvu opravy</w:t>
            </w:r>
            <w:r>
              <w:rPr>
                <w:rFonts w:asciiTheme="majorHAnsi" w:hAnsiTheme="majorHAnsi" w:cs="Arial"/>
                <w:sz w:val="20"/>
                <w:szCs w:val="20"/>
              </w:rPr>
              <w:t xml:space="preserve"> na nerozdelený VH, resp. VH bežného ú. o.</w:t>
            </w:r>
          </w:p>
        </w:tc>
      </w:tr>
      <w:tr w:rsidR="00CE1BD2" w:rsidRPr="00B47D63" w:rsidTr="00CE1BD2">
        <w:trPr>
          <w:trHeight w:val="397"/>
        </w:trPr>
        <w:tc>
          <w:tcPr>
            <w:tcW w:w="2962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E1BD2" w:rsidRPr="00B47D63" w:rsidTr="00CE1BD2">
        <w:trPr>
          <w:trHeight w:val="397"/>
        </w:trPr>
        <w:tc>
          <w:tcPr>
            <w:tcW w:w="2962" w:type="dxa"/>
            <w:vAlign w:val="center"/>
          </w:tcPr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Oprava 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nevýznamných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chýb minulých účtovných období</w:t>
            </w:r>
          </w:p>
        </w:tc>
        <w:tc>
          <w:tcPr>
            <w:tcW w:w="3071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071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CE1BD2" w:rsidRDefault="00CE1BD2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E0710" w:rsidRPr="00B47D63" w:rsidRDefault="001E0710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1E0710">
        <w:rPr>
          <w:rFonts w:ascii="Cambria" w:hAnsi="Cambria" w:cs="Arial"/>
          <w:b/>
        </w:rPr>
        <w:t>Pre danú oblasť nemá účtovná jednotka obsahovú náplň.</w:t>
      </w:r>
    </w:p>
    <w:p w:rsidR="00CE1BD2" w:rsidRDefault="00CE1BD2" w:rsidP="00CE1BD2">
      <w:pPr>
        <w:spacing w:after="0" w:line="240" w:lineRule="auto"/>
        <w:jc w:val="both"/>
        <w:rPr>
          <w:rFonts w:asciiTheme="majorHAnsi" w:eastAsia="MS Gothic" w:hAnsiTheme="majorHAnsi" w:cs="Arial"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E0710" w:rsidRDefault="001E0710" w:rsidP="00CE1BD2">
      <w:pPr>
        <w:spacing w:after="0" w:line="240" w:lineRule="auto"/>
        <w:jc w:val="both"/>
        <w:rPr>
          <w:rFonts w:asciiTheme="majorHAnsi" w:eastAsia="MS Gothic" w:hAnsiTheme="majorHAnsi" w:cs="Arial"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E0710" w:rsidRDefault="001E0710" w:rsidP="00CE1BD2">
      <w:pPr>
        <w:spacing w:after="0" w:line="240" w:lineRule="auto"/>
        <w:jc w:val="both"/>
        <w:rPr>
          <w:rFonts w:asciiTheme="majorHAnsi" w:eastAsia="MS Gothic" w:hAnsiTheme="majorHAnsi" w:cs="Arial"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E0710" w:rsidRDefault="001E0710" w:rsidP="00CE1BD2">
      <w:pPr>
        <w:spacing w:after="0" w:line="240" w:lineRule="auto"/>
        <w:jc w:val="both"/>
        <w:rPr>
          <w:rFonts w:asciiTheme="majorHAnsi" w:eastAsia="MS Gothic" w:hAnsiTheme="majorHAnsi" w:cs="Arial"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Pr="00B47D63" w:rsidRDefault="00CE1BD2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Pr="00B47D63" w:rsidRDefault="00CE1BD2" w:rsidP="00CE1BD2">
      <w:pPr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 xml:space="preserve">Článok IV - </w:t>
      </w:r>
      <w:r w:rsidRPr="00B47D63">
        <w:rPr>
          <w:rFonts w:asciiTheme="majorHAnsi" w:hAnsiTheme="majorHAnsi" w:cs="Arial"/>
          <w:b/>
          <w:sz w:val="24"/>
          <w:szCs w:val="24"/>
        </w:rPr>
        <w:t xml:space="preserve">Informácie, ktoré vysvetľujú a dopĺňajú </w:t>
      </w:r>
      <w:r>
        <w:rPr>
          <w:rFonts w:asciiTheme="majorHAnsi" w:hAnsiTheme="majorHAnsi" w:cs="Arial"/>
          <w:b/>
          <w:sz w:val="24"/>
          <w:szCs w:val="24"/>
        </w:rPr>
        <w:t>súvahu a výkaz ziskov a strát</w:t>
      </w:r>
    </w:p>
    <w:p w:rsidR="00CE1BD2" w:rsidRPr="00A64AFB" w:rsidRDefault="00CE1BD2" w:rsidP="00CE1BD2">
      <w:pPr>
        <w:spacing w:before="240" w:line="240" w:lineRule="auto"/>
        <w:ind w:left="426" w:hanging="426"/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IV</w:t>
      </w:r>
      <w:r w:rsidRPr="00ED4CDB">
        <w:rPr>
          <w:rFonts w:asciiTheme="majorHAnsi" w:hAnsiTheme="majorHAnsi" w:cs="Arial"/>
          <w:b/>
        </w:rPr>
        <w:t>.1</w:t>
      </w:r>
      <w:r>
        <w:rPr>
          <w:rFonts w:asciiTheme="majorHAnsi" w:hAnsiTheme="majorHAnsi" w:cs="Arial"/>
          <w:b/>
        </w:rPr>
        <w:tab/>
        <w:t xml:space="preserve"> Informácie ku </w:t>
      </w:r>
      <w:proofErr w:type="spellStart"/>
      <w:r>
        <w:rPr>
          <w:rFonts w:asciiTheme="majorHAnsi" w:hAnsiTheme="majorHAnsi" w:cs="Arial"/>
          <w:b/>
        </w:rPr>
        <w:t>goodwillu</w:t>
      </w:r>
      <w:proofErr w:type="spellEnd"/>
      <w:r>
        <w:rPr>
          <w:rFonts w:asciiTheme="majorHAnsi" w:hAnsiTheme="majorHAnsi" w:cs="Arial"/>
          <w:b/>
        </w:rPr>
        <w:t xml:space="preserve"> alebo zápornému </w:t>
      </w:r>
      <w:proofErr w:type="spellStart"/>
      <w:r>
        <w:rPr>
          <w:rFonts w:asciiTheme="majorHAnsi" w:hAnsiTheme="majorHAnsi" w:cs="Arial"/>
          <w:b/>
        </w:rPr>
        <w:t>goodwillu</w:t>
      </w:r>
      <w:proofErr w:type="spellEnd"/>
    </w:p>
    <w:p w:rsidR="00CE1BD2" w:rsidRPr="00B47D63" w:rsidRDefault="00CE1BD2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08"/>
        <w:gridCol w:w="3013"/>
        <w:gridCol w:w="3013"/>
      </w:tblGrid>
      <w:tr w:rsidR="00CE1BD2" w:rsidRPr="00B47D63" w:rsidTr="00CE1BD2">
        <w:tc>
          <w:tcPr>
            <w:tcW w:w="29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Dôvod vzniku </w:t>
            </w:r>
            <w:proofErr w:type="spellStart"/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goodwillu</w:t>
            </w:r>
            <w:proofErr w:type="spellEnd"/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</w:t>
            </w:r>
            <w:proofErr w:type="spellStart"/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goodwillu</w:t>
            </w:r>
            <w:proofErr w:type="spellEnd"/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</w:t>
            </w:r>
          </w:p>
        </w:tc>
        <w:tc>
          <w:tcPr>
            <w:tcW w:w="3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Odpis </w:t>
            </w:r>
            <w:proofErr w:type="spellStart"/>
            <w:r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goodwillu</w:t>
            </w:r>
            <w:proofErr w:type="spellEnd"/>
          </w:p>
        </w:tc>
      </w:tr>
      <w:tr w:rsidR="00CE1BD2" w:rsidRPr="00B47D63" w:rsidTr="00CE1BD2">
        <w:tc>
          <w:tcPr>
            <w:tcW w:w="2962" w:type="dxa"/>
            <w:tcBorders>
              <w:top w:val="single" w:sz="12" w:space="0" w:color="auto"/>
            </w:tcBorders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E1BD2" w:rsidRPr="00B47D63" w:rsidTr="00CE1BD2">
        <w:tc>
          <w:tcPr>
            <w:tcW w:w="2962" w:type="dxa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71" w:type="dxa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71" w:type="dxa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E1BD2" w:rsidRPr="00B47D63" w:rsidTr="00CE1BD2">
        <w:tc>
          <w:tcPr>
            <w:tcW w:w="2962" w:type="dxa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71" w:type="dxa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71" w:type="dxa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E1BD2" w:rsidRDefault="00CE1BD2" w:rsidP="00CE1BD2">
      <w:pPr>
        <w:spacing w:before="240" w:line="240" w:lineRule="auto"/>
        <w:jc w:val="both"/>
        <w:rPr>
          <w:rFonts w:asciiTheme="majorHAnsi" w:hAnsiTheme="majorHAnsi" w:cs="Arial"/>
          <w:b/>
          <w:sz w:val="20"/>
          <w:szCs w:val="20"/>
        </w:rPr>
      </w:pPr>
      <w:r>
        <w:rPr>
          <w:rFonts w:asciiTheme="majorHAnsi" w:hAnsiTheme="majorHAnsi" w:cs="Arial"/>
          <w:b/>
          <w:sz w:val="20"/>
          <w:szCs w:val="20"/>
        </w:rPr>
        <w:t>Dodatočné informácie súvisiace s </w:t>
      </w:r>
      <w:proofErr w:type="spellStart"/>
      <w:r>
        <w:rPr>
          <w:rFonts w:asciiTheme="majorHAnsi" w:hAnsiTheme="majorHAnsi" w:cs="Arial"/>
          <w:b/>
          <w:sz w:val="20"/>
          <w:szCs w:val="20"/>
        </w:rPr>
        <w:t>goodwillom</w:t>
      </w:r>
      <w:proofErr w:type="spellEnd"/>
      <w:r>
        <w:rPr>
          <w:rFonts w:asciiTheme="majorHAnsi" w:hAnsiTheme="majorHAnsi" w:cs="Arial"/>
          <w:b/>
          <w:sz w:val="20"/>
          <w:szCs w:val="20"/>
        </w:rPr>
        <w:t>, predovšetkým okolnosti vzniku, spôsob výpočtu, prehodnotenie opodstatnenosti jeho výšky a spôsob odpisovania:</w:t>
      </w:r>
    </w:p>
    <w:p w:rsidR="00CE1BD2" w:rsidRDefault="001E0710" w:rsidP="00CE1BD2">
      <w:pPr>
        <w:spacing w:before="24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1E0710">
        <w:rPr>
          <w:rFonts w:ascii="Cambria" w:hAnsi="Cambria" w:cs="Arial"/>
          <w:b/>
        </w:rPr>
        <w:t>Pre danú oblasť nemá účtovná jednotka obsahovú náplň.</w:t>
      </w:r>
    </w:p>
    <w:p w:rsidR="00CE1BD2" w:rsidRPr="00E8181E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IV. 2  </w:t>
      </w:r>
      <w:r w:rsidRPr="00E8181E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významných položkách majetku a záväzkov zabezpečených derivátmi</w:t>
      </w:r>
    </w:p>
    <w:p w:rsidR="00CE1BD2" w:rsidRPr="00B47D63" w:rsidRDefault="00CE1BD2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79"/>
        <w:gridCol w:w="1727"/>
        <w:gridCol w:w="1727"/>
        <w:gridCol w:w="2879"/>
      </w:tblGrid>
      <w:tr w:rsidR="00CE1BD2" w:rsidRPr="00B47D63" w:rsidTr="00CE1BD2">
        <w:tc>
          <w:tcPr>
            <w:tcW w:w="2879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Forma zabezpečenia</w:t>
            </w:r>
          </w:p>
        </w:tc>
        <w:tc>
          <w:tcPr>
            <w:tcW w:w="345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Účtovná hodnota</w:t>
            </w:r>
          </w:p>
        </w:tc>
        <w:tc>
          <w:tcPr>
            <w:tcW w:w="287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47D63"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Dohodnutá cena podkladového nástroja</w:t>
            </w:r>
          </w:p>
        </w:tc>
      </w:tr>
      <w:tr w:rsidR="00CE1BD2" w:rsidRPr="00B47D63" w:rsidTr="00CE1BD2">
        <w:tc>
          <w:tcPr>
            <w:tcW w:w="2879" w:type="dxa"/>
            <w:vMerge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727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pohľadávky</w:t>
            </w:r>
          </w:p>
        </w:tc>
        <w:tc>
          <w:tcPr>
            <w:tcW w:w="1727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záväzku</w:t>
            </w:r>
          </w:p>
        </w:tc>
        <w:tc>
          <w:tcPr>
            <w:tcW w:w="2879" w:type="dxa"/>
            <w:vMerge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E1BD2" w:rsidRPr="00B47D63" w:rsidTr="00CE1BD2"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Deriváty určené</w:t>
            </w:r>
          </w:p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na obchodovanie, z toho:</w:t>
            </w:r>
          </w:p>
        </w:tc>
        <w:tc>
          <w:tcPr>
            <w:tcW w:w="1727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727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E1BD2" w:rsidRPr="00B47D63" w:rsidTr="00CE1BD2">
        <w:trPr>
          <w:trHeight w:val="283"/>
        </w:trPr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Menový forward</w:t>
            </w:r>
          </w:p>
        </w:tc>
        <w:tc>
          <w:tcPr>
            <w:tcW w:w="1727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727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E1BD2" w:rsidRPr="00B47D63" w:rsidTr="00CE1BD2">
        <w:trPr>
          <w:trHeight w:val="283"/>
        </w:trPr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27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727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E1BD2" w:rsidRPr="00B47D63" w:rsidTr="00CE1BD2">
        <w:trPr>
          <w:trHeight w:val="283"/>
        </w:trPr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727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E1BD2" w:rsidRPr="00B47D63" w:rsidTr="00CE1BD2">
        <w:trPr>
          <w:trHeight w:val="283"/>
        </w:trPr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27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727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E1BD2" w:rsidRPr="00B47D63" w:rsidTr="00CE1BD2"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Zabezpečovacie deriváty,</w:t>
            </w:r>
          </w:p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 toho:</w:t>
            </w:r>
          </w:p>
        </w:tc>
        <w:tc>
          <w:tcPr>
            <w:tcW w:w="1727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727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2879" w:type="dxa"/>
            <w:vAlign w:val="center"/>
          </w:tcPr>
          <w:p w:rsidR="00CE1BD2" w:rsidRPr="00F349F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F349F3">
              <w:rPr>
                <w:rFonts w:asciiTheme="majorHAnsi" w:hAnsiTheme="majorHAnsi" w:cs="Arial"/>
                <w:sz w:val="20"/>
                <w:szCs w:val="20"/>
              </w:rPr>
              <w:t>Úrokový swap</w:t>
            </w:r>
          </w:p>
        </w:tc>
        <w:tc>
          <w:tcPr>
            <w:tcW w:w="1727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727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2879" w:type="dxa"/>
            <w:vAlign w:val="center"/>
          </w:tcPr>
          <w:p w:rsidR="00CE1BD2" w:rsidRPr="00F349F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F349F3"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27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727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727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727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E1BD2" w:rsidRPr="00B47D63" w:rsidRDefault="00CE1BD2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CE1BD2" w:rsidRPr="00B47D63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9184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08"/>
        <w:gridCol w:w="1644"/>
        <w:gridCol w:w="1644"/>
        <w:gridCol w:w="1644"/>
        <w:gridCol w:w="1644"/>
      </w:tblGrid>
      <w:tr w:rsidR="00CE1BD2" w:rsidRPr="00B47D63" w:rsidTr="00CE1BD2">
        <w:tc>
          <w:tcPr>
            <w:tcW w:w="2608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Názov položky</w:t>
            </w: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CE1BD2" w:rsidRPr="00B47D63" w:rsidTr="00CE1BD2">
        <w:tc>
          <w:tcPr>
            <w:tcW w:w="2608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Zmena reálnej hodnoty (+/-) s vplyvom na</w:t>
            </w:r>
          </w:p>
        </w:tc>
        <w:tc>
          <w:tcPr>
            <w:tcW w:w="32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Zmena reálnej hodnoty (+/-) s vplyvom na</w:t>
            </w:r>
          </w:p>
        </w:tc>
      </w:tr>
      <w:tr w:rsidR="00CE1BD2" w:rsidRPr="00B47D63" w:rsidTr="00CE1BD2">
        <w:tc>
          <w:tcPr>
            <w:tcW w:w="2608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výsledok hospodárenia</w:t>
            </w: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vlastné imanie</w:t>
            </w: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výsledok hospodárenia</w:t>
            </w:r>
          </w:p>
        </w:tc>
        <w:tc>
          <w:tcPr>
            <w:tcW w:w="16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vlastné imanie</w:t>
            </w:r>
          </w:p>
        </w:tc>
      </w:tr>
      <w:tr w:rsidR="00CE1BD2" w:rsidRPr="00B47D63" w:rsidTr="00CE1BD2">
        <w:tc>
          <w:tcPr>
            <w:tcW w:w="2608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Deriváty určené na obchodovanie, z toho:</w:t>
            </w: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2608" w:type="dxa"/>
            <w:vAlign w:val="center"/>
          </w:tcPr>
          <w:p w:rsidR="00CE1BD2" w:rsidRPr="00E8181E" w:rsidRDefault="00CE1BD2" w:rsidP="00CE1BD2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>Menový forward</w:t>
            </w:r>
          </w:p>
        </w:tc>
        <w:tc>
          <w:tcPr>
            <w:tcW w:w="1644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2608" w:type="dxa"/>
            <w:vAlign w:val="center"/>
          </w:tcPr>
          <w:p w:rsidR="00CE1BD2" w:rsidRPr="00E8181E" w:rsidRDefault="00CE1BD2" w:rsidP="00CE1BD2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>Iné</w:t>
            </w:r>
          </w:p>
        </w:tc>
        <w:tc>
          <w:tcPr>
            <w:tcW w:w="1644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2608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2608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CE1BD2" w:rsidRPr="00B47D63" w:rsidTr="00CE1BD2">
        <w:tc>
          <w:tcPr>
            <w:tcW w:w="2608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Zabezpečovacie deriváty, z toho:</w:t>
            </w:r>
          </w:p>
        </w:tc>
        <w:tc>
          <w:tcPr>
            <w:tcW w:w="1644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2608" w:type="dxa"/>
            <w:vAlign w:val="center"/>
          </w:tcPr>
          <w:p w:rsidR="00CE1BD2" w:rsidRPr="00E8181E" w:rsidRDefault="00CE1BD2" w:rsidP="00CE1BD2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>Menový forward</w:t>
            </w:r>
          </w:p>
        </w:tc>
        <w:tc>
          <w:tcPr>
            <w:tcW w:w="1644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2608" w:type="dxa"/>
            <w:vAlign w:val="center"/>
          </w:tcPr>
          <w:p w:rsidR="00CE1BD2" w:rsidRPr="00E8181E" w:rsidRDefault="00CE1BD2" w:rsidP="00CE1BD2">
            <w:pPr>
              <w:jc w:val="both"/>
              <w:rPr>
                <w:rFonts w:asciiTheme="majorHAnsi" w:hAnsiTheme="majorHAnsi" w:cs="Arial"/>
                <w:i/>
                <w:sz w:val="20"/>
                <w:szCs w:val="20"/>
              </w:rPr>
            </w:pPr>
            <w:r w:rsidRPr="00E8181E">
              <w:rPr>
                <w:rFonts w:asciiTheme="majorHAnsi" w:hAnsiTheme="majorHAnsi" w:cs="Arial"/>
                <w:i/>
                <w:sz w:val="20"/>
                <w:szCs w:val="20"/>
              </w:rPr>
              <w:t>Iné</w:t>
            </w:r>
          </w:p>
        </w:tc>
        <w:tc>
          <w:tcPr>
            <w:tcW w:w="1644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2608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2608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CE1BD2" w:rsidRPr="00B47D63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CE1BD2" w:rsidRPr="00B47D63" w:rsidRDefault="00CE1BD2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Dodatočné 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významných položkách derivátov za bežné účtovné </w:t>
      </w:r>
      <w:r w:rsidRPr="00E8181E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obdobie</w:t>
      </w:r>
      <w:r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, </w:t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napr. informácie o rozsahu a povahe týchto derivátov vrátane významných podmienok, ktoré môžu ovplyvniť sumu, načasovanie a mieru </w:t>
      </w:r>
      <w:r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istoty budúcich peňažných tokov</w:t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1E0710" w:rsidRDefault="001E0710" w:rsidP="001E0710">
      <w:pPr>
        <w:spacing w:before="24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1E0710">
        <w:rPr>
          <w:rFonts w:ascii="Cambria" w:hAnsi="Cambria" w:cs="Arial"/>
          <w:b/>
        </w:rPr>
        <w:t>Pre danú oblasť nemá účtovná jednotka obsahovú náplň.</w:t>
      </w:r>
    </w:p>
    <w:p w:rsidR="00CE1BD2" w:rsidRDefault="00CE1BD2" w:rsidP="00CE1BD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E0710" w:rsidRDefault="001E0710" w:rsidP="00CE1BD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E0710" w:rsidRPr="00B47D63" w:rsidRDefault="001E0710" w:rsidP="00CE1BD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Pr="00B47D63" w:rsidRDefault="00CE1BD2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Pr="00B47D63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835"/>
        <w:gridCol w:w="2835"/>
      </w:tblGrid>
      <w:tr w:rsidR="00CE1BD2" w:rsidRPr="00B47D63" w:rsidTr="00CE1BD2">
        <w:tc>
          <w:tcPr>
            <w:tcW w:w="340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lastRenderedPageBreak/>
              <w:t>Zabezpečovaná položka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Reálna hodnota</w:t>
            </w:r>
          </w:p>
        </w:tc>
      </w:tr>
      <w:tr w:rsidR="00CE1BD2" w:rsidRPr="00B47D63" w:rsidTr="00CE1BD2">
        <w:tc>
          <w:tcPr>
            <w:tcW w:w="340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Bežné obdobie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obdobie</w:t>
            </w:r>
          </w:p>
        </w:tc>
      </w:tr>
      <w:tr w:rsidR="00CE1BD2" w:rsidRPr="00B47D63" w:rsidTr="00CE1BD2">
        <w:tc>
          <w:tcPr>
            <w:tcW w:w="340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a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c</w:t>
            </w:r>
          </w:p>
        </w:tc>
      </w:tr>
      <w:tr w:rsidR="00CE1BD2" w:rsidRPr="00B47D63" w:rsidTr="00CE1BD2">
        <w:trPr>
          <w:trHeight w:val="340"/>
        </w:trPr>
        <w:tc>
          <w:tcPr>
            <w:tcW w:w="3402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Majetok vykázaný v súvahe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3402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Záväzok vykázaný v súvahe</w:t>
            </w:r>
          </w:p>
        </w:tc>
        <w:tc>
          <w:tcPr>
            <w:tcW w:w="2835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CE1BD2" w:rsidRPr="00B47D63" w:rsidTr="00CE1BD2">
        <w:tc>
          <w:tcPr>
            <w:tcW w:w="3402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Zmluvy, ktoré sa neúčtujú</w:t>
            </w:r>
          </w:p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na súvahových účtoch</w:t>
            </w:r>
          </w:p>
        </w:tc>
        <w:tc>
          <w:tcPr>
            <w:tcW w:w="2835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CE1BD2" w:rsidRPr="00B47D63" w:rsidTr="00CE1BD2">
        <w:tc>
          <w:tcPr>
            <w:tcW w:w="3402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Očakávané budúce obchody</w:t>
            </w:r>
          </w:p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dosiaľ zmluvne nezabezpečené</w:t>
            </w:r>
          </w:p>
        </w:tc>
        <w:tc>
          <w:tcPr>
            <w:tcW w:w="2835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3402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Spolu</w:t>
            </w:r>
          </w:p>
        </w:tc>
        <w:tc>
          <w:tcPr>
            <w:tcW w:w="2835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CE1BD2" w:rsidRPr="00B47D63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CE1BD2" w:rsidRPr="00B47D63" w:rsidRDefault="00CE1BD2" w:rsidP="00CE1BD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Dodatočné 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</w:t>
      </w: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ložkách zabezpečených derivátmi </w:t>
      </w:r>
      <w:r w:rsidRPr="00B47D63"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(najmä forma zabezpečenia):</w:t>
      </w:r>
    </w:p>
    <w:p w:rsidR="001E0710" w:rsidRDefault="001E0710" w:rsidP="001E0710">
      <w:pPr>
        <w:spacing w:before="24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1E0710">
        <w:rPr>
          <w:rFonts w:ascii="Cambria" w:hAnsi="Cambria" w:cs="Arial"/>
          <w:b/>
        </w:rPr>
        <w:t>Pre danú oblasť nemá účtovná jednotka obsahovú náplň.</w:t>
      </w:r>
    </w:p>
    <w:p w:rsidR="00CE1BD2" w:rsidRPr="00B47D63" w:rsidRDefault="00CE1BD2" w:rsidP="00CE1BD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Pr="00E95325" w:rsidRDefault="00CE1BD2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E95325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3 a) Záväzky so zostatkovou dobou splatnosti dlhšou ako 5 rokov:</w:t>
      </w:r>
    </w:p>
    <w:p w:rsidR="00CE1BD2" w:rsidRDefault="00CE1BD2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CE1BD2" w:rsidRPr="00FD7D32" w:rsidTr="00CE1BD2">
        <w:tc>
          <w:tcPr>
            <w:tcW w:w="294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FD7D32" w:rsidRDefault="00CE1BD2" w:rsidP="00CE1BD2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D7D32">
              <w:rPr>
                <w:rFonts w:asciiTheme="majorHAnsi" w:hAnsiTheme="majorHAnsi"/>
                <w:b/>
                <w:sz w:val="20"/>
                <w:szCs w:val="20"/>
              </w:rPr>
              <w:t>Názov položky</w:t>
            </w:r>
          </w:p>
        </w:tc>
        <w:tc>
          <w:tcPr>
            <w:tcW w:w="29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FD7D32" w:rsidRDefault="00CE1BD2" w:rsidP="00CE1BD2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D7D32">
              <w:rPr>
                <w:rFonts w:asciiTheme="majorHAnsi" w:hAnsiTheme="majorHAnsi"/>
                <w:b/>
                <w:sz w:val="20"/>
                <w:szCs w:val="20"/>
              </w:rPr>
              <w:t>Bežné obdobie</w:t>
            </w:r>
          </w:p>
        </w:tc>
        <w:tc>
          <w:tcPr>
            <w:tcW w:w="29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BD2" w:rsidRPr="00FD7D32" w:rsidRDefault="00CE1BD2" w:rsidP="00CE1BD2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FD7D32">
              <w:rPr>
                <w:rFonts w:asciiTheme="majorHAnsi" w:hAnsiTheme="majorHAnsi"/>
                <w:b/>
                <w:sz w:val="20"/>
                <w:szCs w:val="20"/>
              </w:rPr>
              <w:t>Bezprostredne predchádzajúce obdobie</w:t>
            </w:r>
          </w:p>
        </w:tc>
      </w:tr>
      <w:tr w:rsidR="00CE1BD2" w:rsidRPr="00B47D63" w:rsidTr="00CE1BD2">
        <w:trPr>
          <w:trHeight w:val="340"/>
        </w:trPr>
        <w:tc>
          <w:tcPr>
            <w:tcW w:w="2948" w:type="dxa"/>
            <w:tcBorders>
              <w:top w:val="single" w:sz="12" w:space="0" w:color="auto"/>
            </w:tcBorders>
            <w:vAlign w:val="center"/>
          </w:tcPr>
          <w:p w:rsidR="00CE1BD2" w:rsidRPr="00EA61B0" w:rsidRDefault="00CE1BD2" w:rsidP="00CE1BD2">
            <w:pPr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Dlhodobé záväzky spolu</w:t>
            </w:r>
          </w:p>
        </w:tc>
        <w:tc>
          <w:tcPr>
            <w:tcW w:w="2948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948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/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2948" w:type="dxa"/>
            <w:vAlign w:val="center"/>
          </w:tcPr>
          <w:p w:rsidR="00CE1BD2" w:rsidRPr="00B47D63" w:rsidRDefault="00CE1BD2" w:rsidP="00CE1BD2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Záväzky so zostatkovou dobou splatnosti nad 5 rokov</w:t>
            </w:r>
          </w:p>
        </w:tc>
        <w:tc>
          <w:tcPr>
            <w:tcW w:w="2948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948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/>
              </w:rPr>
            </w:pPr>
          </w:p>
        </w:tc>
      </w:tr>
    </w:tbl>
    <w:p w:rsidR="00CE1BD2" w:rsidRDefault="00CE1BD2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Default="00CE1BD2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E0710" w:rsidRDefault="001E0710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E0710" w:rsidRDefault="001E0710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E0710" w:rsidRDefault="001E0710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E0710" w:rsidRDefault="001E0710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E0710" w:rsidRDefault="001E0710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E0710" w:rsidRDefault="001E0710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E0710" w:rsidRDefault="001E0710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E0710" w:rsidRDefault="001E0710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Pr="00E95325" w:rsidRDefault="00CE1BD2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E95325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IV. 3 b) Zabezpečené záväzky, opis a spôsob ich zabezpečenia</w:t>
      </w:r>
    </w:p>
    <w:p w:rsidR="00CE1BD2" w:rsidRDefault="00CE1BD2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6"/>
        <w:gridCol w:w="2976"/>
        <w:gridCol w:w="2976"/>
      </w:tblGrid>
      <w:tr w:rsidR="00CE1BD2" w:rsidRPr="00B47D63" w:rsidTr="00CE1BD2">
        <w:tc>
          <w:tcPr>
            <w:tcW w:w="2976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EA61B0" w:rsidRDefault="00CE1BD2" w:rsidP="00CE1BD2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Druh formy zabezpečenia záväzku</w:t>
            </w: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BD2" w:rsidRPr="00EA61B0" w:rsidRDefault="00CE1BD2" w:rsidP="00CE1BD2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Bežné účtovné obdobie</w:t>
            </w:r>
          </w:p>
        </w:tc>
      </w:tr>
      <w:tr w:rsidR="00CE1BD2" w:rsidRPr="00B47D63" w:rsidTr="00CE1BD2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EA61B0" w:rsidRDefault="00CE1BD2" w:rsidP="00CE1BD2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BD2" w:rsidRPr="00EA61B0" w:rsidRDefault="00CE1BD2" w:rsidP="00CE1BD2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Hodnota záväzku zabezpečená</w:t>
            </w:r>
          </w:p>
        </w:tc>
      </w:tr>
      <w:tr w:rsidR="00CE1BD2" w:rsidRPr="00B47D63" w:rsidTr="00CE1BD2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EA61B0" w:rsidRDefault="00CE1BD2" w:rsidP="00CE1BD2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EA61B0" w:rsidRDefault="00CE1BD2" w:rsidP="00CE1BD2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Záložným právom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BD2" w:rsidRPr="00EA61B0" w:rsidRDefault="00CE1BD2" w:rsidP="00CE1BD2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Inou formou zabezpečenia</w:t>
            </w:r>
          </w:p>
        </w:tc>
      </w:tr>
      <w:tr w:rsidR="00CE1BD2" w:rsidRPr="00B47D63" w:rsidTr="00CE1BD2">
        <w:trPr>
          <w:trHeight w:val="340"/>
        </w:trPr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2976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2976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2976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2976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CE1BD2" w:rsidRPr="00B47D63" w:rsidRDefault="00CE1BD2" w:rsidP="00CE1BD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Dodatočné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informácie o forme zabezpečenia záväzkov:</w:t>
      </w:r>
    </w:p>
    <w:p w:rsidR="001E0710" w:rsidRDefault="001E0710" w:rsidP="001E0710">
      <w:pPr>
        <w:spacing w:before="24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1E0710">
        <w:rPr>
          <w:rFonts w:ascii="Cambria" w:hAnsi="Cambria" w:cs="Arial"/>
          <w:b/>
        </w:rPr>
        <w:t>Pre danú oblasť nemá účtovná jednotka obsahovú náplň.</w:t>
      </w:r>
    </w:p>
    <w:p w:rsidR="00CE1BD2" w:rsidRPr="00B47D63" w:rsidRDefault="00CE1BD2" w:rsidP="00CE1BD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Pr="00B47D63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CE1BD2" w:rsidRPr="00B47D63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76"/>
        <w:gridCol w:w="2976"/>
        <w:gridCol w:w="2976"/>
      </w:tblGrid>
      <w:tr w:rsidR="00CE1BD2" w:rsidRPr="00B47D63" w:rsidTr="00CE1BD2">
        <w:tc>
          <w:tcPr>
            <w:tcW w:w="2976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EA61B0" w:rsidRDefault="00CE1BD2" w:rsidP="00CE1BD2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Druh formy zabezpečenia záväzku</w:t>
            </w: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BD2" w:rsidRPr="00EA61B0" w:rsidRDefault="00CE1BD2" w:rsidP="00CE1BD2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CE1BD2" w:rsidRPr="00B47D63" w:rsidTr="00CE1BD2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EA61B0" w:rsidRDefault="00CE1BD2" w:rsidP="00CE1BD2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59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BD2" w:rsidRPr="00EA61B0" w:rsidRDefault="00CE1BD2" w:rsidP="00CE1BD2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Hodnota záväzku zabezpečená</w:t>
            </w:r>
          </w:p>
        </w:tc>
      </w:tr>
      <w:tr w:rsidR="00CE1BD2" w:rsidRPr="00B47D63" w:rsidTr="00CE1BD2">
        <w:tc>
          <w:tcPr>
            <w:tcW w:w="2976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EA61B0" w:rsidRDefault="00CE1BD2" w:rsidP="00CE1BD2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EA61B0" w:rsidRDefault="00CE1BD2" w:rsidP="00CE1BD2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Záložným právom</w:t>
            </w:r>
          </w:p>
        </w:tc>
        <w:tc>
          <w:tcPr>
            <w:tcW w:w="29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BD2" w:rsidRPr="00EA61B0" w:rsidRDefault="00CE1BD2" w:rsidP="00CE1BD2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A61B0">
              <w:rPr>
                <w:rFonts w:asciiTheme="majorHAnsi" w:hAnsiTheme="majorHAnsi"/>
                <w:b/>
                <w:sz w:val="20"/>
                <w:szCs w:val="20"/>
              </w:rPr>
              <w:t>Inou formou zabezpečenia</w:t>
            </w:r>
          </w:p>
        </w:tc>
      </w:tr>
      <w:tr w:rsidR="00CE1BD2" w:rsidRPr="00B47D63" w:rsidTr="00CE1BD2">
        <w:trPr>
          <w:trHeight w:val="340"/>
        </w:trPr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2976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2976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2976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2976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2976" w:type="dxa"/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CE1BD2" w:rsidRDefault="00CE1BD2" w:rsidP="00CE1BD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Dodatočné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informácie o forme zabezpečenia záväzkov:</w:t>
      </w:r>
    </w:p>
    <w:p w:rsidR="001E0710" w:rsidRDefault="001E0710" w:rsidP="001E0710">
      <w:pPr>
        <w:spacing w:before="24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1E0710">
        <w:rPr>
          <w:rFonts w:ascii="Cambria" w:hAnsi="Cambria" w:cs="Arial"/>
          <w:b/>
        </w:rPr>
        <w:t>Pre danú oblasť nemá účtovná jednotka obsahovú náplň.</w:t>
      </w:r>
    </w:p>
    <w:p w:rsidR="001E0710" w:rsidRPr="00B413FE" w:rsidRDefault="001E0710" w:rsidP="00CE1BD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Pr="00684432" w:rsidRDefault="00CE1BD2" w:rsidP="00CE1BD2">
      <w:pPr>
        <w:pStyle w:val="Odsekzoznamu"/>
        <w:spacing w:before="240" w:line="240" w:lineRule="auto"/>
        <w:ind w:left="0" w:right="-141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IV</w:t>
      </w:r>
      <w:r w:rsidRPr="00684432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4 a) - c</w:t>
      </w:r>
      <w:r w:rsidRPr="00684432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) Informácie o vlastných akciách:</w:t>
      </w: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3"/>
        <w:gridCol w:w="1843"/>
      </w:tblGrid>
      <w:tr w:rsidR="00CE1BD2" w:rsidRPr="00B47D63" w:rsidTr="00CE1BD2">
        <w:tc>
          <w:tcPr>
            <w:tcW w:w="184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Dôvod nadobudnutia vlastných akcií počas účtovného obdobia</w:t>
            </w:r>
          </w:p>
        </w:tc>
        <w:tc>
          <w:tcPr>
            <w:tcW w:w="73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Bežné účtovné obdobie</w:t>
            </w:r>
          </w:p>
        </w:tc>
      </w:tr>
      <w:tr w:rsidR="00CE1BD2" w:rsidRPr="00B47D63" w:rsidTr="00CE1BD2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Stav na začiatku účtovného obdobia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Prírastky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Úbytky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b/>
                <w:bCs/>
                <w:color w:val="000000"/>
                <w:sz w:val="20"/>
                <w:szCs w:val="20"/>
                <w:lang w:eastAsia="sk-SK"/>
              </w:rPr>
              <w:t>Stav na konci účtovného obdobia</w:t>
            </w:r>
          </w:p>
        </w:tc>
      </w:tr>
      <w:tr w:rsidR="00CE1BD2" w:rsidRPr="00B47D63" w:rsidTr="00CE1BD2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Počet akcií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Počet akcií</w:t>
            </w:r>
          </w:p>
        </w:tc>
      </w:tr>
      <w:tr w:rsidR="00CE1BD2" w:rsidRPr="00B47D63" w:rsidTr="00CE1BD2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Podiel na </w:t>
            </w: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upísanom </w:t>
            </w: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Podiel na </w:t>
            </w: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upísanom </w:t>
            </w: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ZI v %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Podiel na </w:t>
            </w: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upísanom </w:t>
            </w: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ZI v %</w:t>
            </w:r>
          </w:p>
        </w:tc>
      </w:tr>
      <w:tr w:rsidR="00CE1BD2" w:rsidRPr="00B47D63" w:rsidTr="00CE1BD2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Menovitá hodnota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Menovitá hodnota</w:t>
            </w:r>
          </w:p>
        </w:tc>
      </w:tr>
      <w:tr w:rsidR="00CE1BD2" w:rsidRPr="00B47D63" w:rsidTr="00CE1BD2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Hodnota </w:t>
            </w: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 xml:space="preserve"> nadobudnutia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 w:rsidRPr="00B47D63"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Hodnota za prevod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  <w:t>Hodnota nadobudnutia</w:t>
            </w:r>
          </w:p>
        </w:tc>
      </w:tr>
      <w:tr w:rsidR="00CE1BD2" w:rsidRPr="00B47D63" w:rsidTr="00CE1BD2">
        <w:tc>
          <w:tcPr>
            <w:tcW w:w="1842" w:type="dxa"/>
            <w:vMerge w:val="restart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Merge w:val="restart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E1BD2" w:rsidRPr="00B47D63" w:rsidTr="00CE1BD2">
        <w:tc>
          <w:tcPr>
            <w:tcW w:w="1842" w:type="dxa"/>
            <w:vMerge/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Merge/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E1BD2" w:rsidRPr="00B47D63" w:rsidTr="00CE1BD2">
        <w:tc>
          <w:tcPr>
            <w:tcW w:w="1842" w:type="dxa"/>
            <w:vMerge/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Merge/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E1BD2" w:rsidRPr="00B47D63" w:rsidTr="00CE1BD2">
        <w:tc>
          <w:tcPr>
            <w:tcW w:w="1842" w:type="dxa"/>
            <w:vMerge/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Merge/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E1BD2" w:rsidRPr="00B47D63" w:rsidTr="00CE1BD2">
        <w:tc>
          <w:tcPr>
            <w:tcW w:w="1842" w:type="dxa"/>
            <w:vMerge w:val="restart"/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Merge w:val="restart"/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E1BD2" w:rsidRPr="00B47D63" w:rsidTr="00CE1BD2">
        <w:tc>
          <w:tcPr>
            <w:tcW w:w="1842" w:type="dxa"/>
            <w:vMerge/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Merge/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E1BD2" w:rsidRPr="00B47D63" w:rsidTr="00CE1BD2">
        <w:tc>
          <w:tcPr>
            <w:tcW w:w="1842" w:type="dxa"/>
            <w:vMerge/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Merge/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E1BD2" w:rsidRPr="00B47D63" w:rsidTr="00CE1BD2">
        <w:tc>
          <w:tcPr>
            <w:tcW w:w="1842" w:type="dxa"/>
            <w:vMerge/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Merge/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CE1BD2" w:rsidRPr="00B47D63" w:rsidRDefault="00CE1BD2" w:rsidP="00CE1BD2">
            <w:pPr>
              <w:spacing w:before="240"/>
              <w:ind w:right="-141"/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E1BD2" w:rsidRPr="00B47D63" w:rsidRDefault="00CE1BD2" w:rsidP="00CE1BD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 vlastných akciách:</w:t>
      </w:r>
    </w:p>
    <w:p w:rsidR="001E0710" w:rsidRDefault="001E0710" w:rsidP="001E0710">
      <w:pPr>
        <w:spacing w:before="24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1E0710">
        <w:rPr>
          <w:rFonts w:ascii="Cambria" w:hAnsi="Cambria" w:cs="Arial"/>
          <w:b/>
        </w:rPr>
        <w:t>Pre danú oblasť nemá účtovná jednotka obsahovú náplň.</w:t>
      </w:r>
    </w:p>
    <w:p w:rsidR="00CE1BD2" w:rsidRDefault="00CE1BD2" w:rsidP="00CE1BD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1E0710" w:rsidRPr="00B47D63" w:rsidRDefault="001E0710" w:rsidP="00CE1BD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Pr="00B47D63" w:rsidRDefault="00CE1BD2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Pr="00962682" w:rsidRDefault="00CE1BD2" w:rsidP="00CE1BD2">
      <w:pPr>
        <w:spacing w:line="240" w:lineRule="auto"/>
        <w:ind w:left="993" w:hanging="993"/>
        <w:jc w:val="both"/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96268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IV. 5</w:t>
      </w:r>
      <w:r w:rsidRPr="00962682">
        <w:rPr>
          <w:rFonts w:asciiTheme="majorHAnsi" w:eastAsia="MS Gothic" w:hAnsiTheme="majorHAnsi" w:cs="Times New Roman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výnosoch a nákladoch, ktoré majú výnimočný rozsah alebo výskyt</w:t>
      </w: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492"/>
        <w:gridCol w:w="1700"/>
        <w:gridCol w:w="993"/>
        <w:gridCol w:w="103"/>
        <w:gridCol w:w="160"/>
        <w:gridCol w:w="1792"/>
        <w:gridCol w:w="976"/>
        <w:gridCol w:w="88"/>
        <w:gridCol w:w="72"/>
      </w:tblGrid>
      <w:tr w:rsidR="00CE1BD2" w:rsidRPr="00962682" w:rsidTr="00CE1BD2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E1BD2" w:rsidRPr="00962682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E1BD2" w:rsidRPr="00962682" w:rsidRDefault="00CE1BD2" w:rsidP="00CE1BD2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E1BD2" w:rsidRPr="00962682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E1BD2" w:rsidRPr="00962682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E1BD2" w:rsidRPr="00962682" w:rsidRDefault="00CE1BD2" w:rsidP="00CE1BD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E1BD2" w:rsidRPr="00962682" w:rsidRDefault="00CE1BD2" w:rsidP="00CE1BD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E1BD2" w:rsidRPr="00962682" w:rsidRDefault="00CE1BD2" w:rsidP="00CE1BD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E1BD2" w:rsidRPr="00962682" w:rsidRDefault="00CE1BD2" w:rsidP="00CE1BD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E1BD2" w:rsidRPr="00962682" w:rsidRDefault="00CE1BD2" w:rsidP="00CE1BD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</w:tr>
      <w:tr w:rsidR="00CE1BD2" w:rsidRPr="00962682" w:rsidTr="00CE1BD2">
        <w:trPr>
          <w:gridAfter w:val="1"/>
          <w:wAfter w:w="72" w:type="dxa"/>
          <w:trHeight w:val="975"/>
        </w:trPr>
        <w:tc>
          <w:tcPr>
            <w:tcW w:w="35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E1BD2" w:rsidRPr="00962682" w:rsidRDefault="00CE1BD2" w:rsidP="00CE1BD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Výnosy, ktoré majú výnimočný rozsah alebo výskyt</w:t>
            </w:r>
          </w:p>
        </w:tc>
        <w:tc>
          <w:tcPr>
            <w:tcW w:w="2693" w:type="dxa"/>
            <w:gridSpan w:val="2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E1BD2" w:rsidRPr="00962682" w:rsidRDefault="00CE1BD2" w:rsidP="00CE1BD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3119" w:type="dxa"/>
            <w:gridSpan w:val="5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  <w:hideMark/>
          </w:tcPr>
          <w:p w:rsidR="00CE1BD2" w:rsidRPr="00962682" w:rsidRDefault="00CE1BD2" w:rsidP="00CE1BD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Bezprostredne predchádzajúce účtovné obdobie</w:t>
            </w:r>
          </w:p>
        </w:tc>
      </w:tr>
      <w:tr w:rsidR="00CE1BD2" w:rsidRPr="00962682" w:rsidTr="00CE1BD2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E1BD2" w:rsidRPr="00962682" w:rsidRDefault="00CE1BD2" w:rsidP="00CE1BD2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E1BD2" w:rsidRPr="00962682" w:rsidRDefault="00CE1BD2" w:rsidP="00CE1BD2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CE1BD2" w:rsidRPr="00962682" w:rsidRDefault="00CE1BD2" w:rsidP="00CE1BD2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CE1BD2" w:rsidRPr="00962682" w:rsidTr="00CE1BD2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E1BD2" w:rsidRPr="00962682" w:rsidRDefault="00CE1BD2" w:rsidP="00CE1BD2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E1BD2" w:rsidRPr="00962682" w:rsidRDefault="00CE1BD2" w:rsidP="00CE1BD2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CE1BD2" w:rsidRPr="00962682" w:rsidRDefault="00CE1BD2" w:rsidP="00CE1BD2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CE1BD2" w:rsidRPr="00962682" w:rsidTr="00CE1BD2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E1BD2" w:rsidRPr="00962682" w:rsidRDefault="00CE1BD2" w:rsidP="00CE1BD2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E1BD2" w:rsidRPr="00962682" w:rsidRDefault="00CE1BD2" w:rsidP="00CE1BD2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CE1BD2" w:rsidRPr="00962682" w:rsidRDefault="00CE1BD2" w:rsidP="00CE1BD2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CE1BD2" w:rsidRPr="00962682" w:rsidTr="00CE1BD2">
        <w:trPr>
          <w:gridAfter w:val="1"/>
          <w:wAfter w:w="72" w:type="dxa"/>
          <w:trHeight w:val="330"/>
        </w:trPr>
        <w:tc>
          <w:tcPr>
            <w:tcW w:w="3544" w:type="dxa"/>
            <w:gridSpan w:val="3"/>
            <w:tcBorders>
              <w:top w:val="nil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E1BD2" w:rsidRPr="00962682" w:rsidRDefault="00CE1BD2" w:rsidP="00CE1BD2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CE1BD2" w:rsidRPr="00962682" w:rsidRDefault="00CE1BD2" w:rsidP="00CE1BD2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119" w:type="dxa"/>
            <w:gridSpan w:val="5"/>
            <w:tcBorders>
              <w:top w:val="nil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  <w:hideMark/>
          </w:tcPr>
          <w:p w:rsidR="00CE1BD2" w:rsidRPr="00962682" w:rsidRDefault="00CE1BD2" w:rsidP="00CE1BD2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</w:tbl>
    <w:p w:rsidR="00CE1BD2" w:rsidRDefault="00CE1BD2" w:rsidP="00CE1BD2">
      <w:pPr>
        <w:spacing w:before="240" w:line="240" w:lineRule="auto"/>
        <w:jc w:val="both"/>
        <w:rPr>
          <w:rFonts w:asciiTheme="majorHAnsi" w:eastAsia="MS Gothic" w:hAnsiTheme="majorHAnsi" w:cs="Times New Roman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Dodatočné</w:t>
      </w:r>
      <w:r w:rsidRPr="00962682">
        <w:rPr>
          <w:rFonts w:asciiTheme="majorHAnsi" w:eastAsia="MS Gothic" w:hAnsiTheme="majorHAnsi" w:cs="Times New Roman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informácie o výnosoch, ktoré majú výnimočný rozsah alebo výskyt:</w:t>
      </w:r>
    </w:p>
    <w:p w:rsidR="008E6698" w:rsidRDefault="008E6698" w:rsidP="008E6698">
      <w:pPr>
        <w:spacing w:before="24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1E0710">
        <w:rPr>
          <w:rFonts w:ascii="Cambria" w:hAnsi="Cambria" w:cs="Arial"/>
          <w:b/>
        </w:rPr>
        <w:t>Pre danú oblasť nemá účtovná jednotka obsahovú náplň.</w:t>
      </w:r>
    </w:p>
    <w:p w:rsidR="00CE1BD2" w:rsidRPr="00962682" w:rsidRDefault="00CE1BD2" w:rsidP="00CE1BD2">
      <w:pPr>
        <w:spacing w:before="240" w:line="240" w:lineRule="auto"/>
        <w:ind w:right="-141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42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76"/>
        <w:gridCol w:w="1076"/>
        <w:gridCol w:w="634"/>
        <w:gridCol w:w="1558"/>
        <w:gridCol w:w="1096"/>
        <w:gridCol w:w="323"/>
        <w:gridCol w:w="1629"/>
        <w:gridCol w:w="976"/>
        <w:gridCol w:w="88"/>
        <w:gridCol w:w="72"/>
      </w:tblGrid>
      <w:tr w:rsidR="00CE1BD2" w:rsidRPr="00962682" w:rsidTr="00CE1BD2">
        <w:trPr>
          <w:trHeight w:val="330"/>
        </w:trPr>
        <w:tc>
          <w:tcPr>
            <w:tcW w:w="1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E1BD2" w:rsidRPr="00962682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1BD2" w:rsidRPr="00962682" w:rsidRDefault="00CE1BD2" w:rsidP="00CE1BD2">
            <w:pPr>
              <w:spacing w:after="0" w:line="240" w:lineRule="auto"/>
              <w:rPr>
                <w:rFonts w:asciiTheme="majorHAnsi" w:eastAsia="Times New Roman" w:hAnsiTheme="majorHAnsi" w:cs="Arial"/>
                <w:color w:val="000000"/>
                <w:sz w:val="20"/>
                <w:szCs w:val="20"/>
                <w:lang w:eastAsia="sk-SK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1BD2" w:rsidRPr="00962682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CE1BD2" w:rsidRPr="00962682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CE1BD2" w:rsidRPr="00962682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323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noWrap/>
            <w:vAlign w:val="bottom"/>
          </w:tcPr>
          <w:p w:rsidR="00CE1BD2" w:rsidRPr="00962682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1BD2" w:rsidRPr="00962682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1BD2" w:rsidRPr="00962682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E1BD2" w:rsidRPr="00962682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</w:tr>
      <w:tr w:rsidR="00CE1BD2" w:rsidRPr="00962682" w:rsidTr="00CE1BD2">
        <w:trPr>
          <w:gridAfter w:val="1"/>
          <w:wAfter w:w="72" w:type="dxa"/>
          <w:trHeight w:val="694"/>
        </w:trPr>
        <w:tc>
          <w:tcPr>
            <w:tcW w:w="3686" w:type="dxa"/>
            <w:gridSpan w:val="3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962682" w:rsidRDefault="00CE1BD2" w:rsidP="00CE1BD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Náklady, ktoré majú výnimočný rozsah alebo výskyt</w:t>
            </w:r>
          </w:p>
        </w:tc>
        <w:tc>
          <w:tcPr>
            <w:tcW w:w="2977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962682" w:rsidRDefault="00CE1BD2" w:rsidP="00CE1BD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Bežné účtovné obdobie</w:t>
            </w:r>
          </w:p>
        </w:tc>
        <w:tc>
          <w:tcPr>
            <w:tcW w:w="2693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CE1BD2" w:rsidRPr="00962682" w:rsidRDefault="00CE1BD2" w:rsidP="00CE1BD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sk-SK"/>
              </w:rPr>
              <w:t>Bezprostredne predchádzajúce účtovné obdobie</w:t>
            </w:r>
          </w:p>
        </w:tc>
      </w:tr>
      <w:tr w:rsidR="00CE1BD2" w:rsidRPr="00962682" w:rsidTr="00CE1BD2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962682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CE1BD2" w:rsidRPr="00962682" w:rsidRDefault="00CE1BD2" w:rsidP="00CE1BD2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CE1BD2" w:rsidRPr="00962682" w:rsidRDefault="00CE1BD2" w:rsidP="00CE1BD2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CE1BD2" w:rsidRPr="00962682" w:rsidTr="00CE1BD2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962682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000000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CE1BD2" w:rsidRPr="00962682" w:rsidRDefault="00CE1BD2" w:rsidP="00CE1BD2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CE1BD2" w:rsidRPr="00962682" w:rsidRDefault="00CE1BD2" w:rsidP="00CE1BD2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CE1BD2" w:rsidRPr="00962682" w:rsidTr="00CE1BD2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CE1BD2" w:rsidRPr="00962682" w:rsidRDefault="00CE1BD2" w:rsidP="00CE1BD2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CE1BD2" w:rsidRPr="00962682" w:rsidRDefault="00CE1BD2" w:rsidP="00CE1BD2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CE1BD2" w:rsidRPr="00962682" w:rsidRDefault="00CE1BD2" w:rsidP="00CE1BD2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  <w:tr w:rsidR="00CE1BD2" w:rsidRPr="00962682" w:rsidTr="00CE1BD2">
        <w:trPr>
          <w:gridAfter w:val="1"/>
          <w:wAfter w:w="72" w:type="dxa"/>
          <w:trHeight w:val="330"/>
        </w:trPr>
        <w:tc>
          <w:tcPr>
            <w:tcW w:w="3686" w:type="dxa"/>
            <w:gridSpan w:val="3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CE1BD2" w:rsidRPr="00962682" w:rsidRDefault="00CE1BD2" w:rsidP="00CE1BD2">
            <w:pPr>
              <w:spacing w:after="0" w:line="240" w:lineRule="auto"/>
              <w:ind w:firstLineChars="100" w:firstLine="200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noWrap/>
            <w:vAlign w:val="center"/>
            <w:hideMark/>
          </w:tcPr>
          <w:p w:rsidR="00CE1BD2" w:rsidRPr="00962682" w:rsidRDefault="00CE1BD2" w:rsidP="00CE1BD2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693" w:type="dxa"/>
            <w:gridSpan w:val="3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noWrap/>
            <w:vAlign w:val="center"/>
            <w:hideMark/>
          </w:tcPr>
          <w:p w:rsidR="00CE1BD2" w:rsidRPr="00962682" w:rsidRDefault="00CE1BD2" w:rsidP="00CE1BD2">
            <w:pPr>
              <w:spacing w:after="0" w:line="240" w:lineRule="auto"/>
              <w:ind w:firstLineChars="300" w:firstLine="600"/>
              <w:jc w:val="right"/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</w:pPr>
            <w:r w:rsidRPr="00962682">
              <w:rPr>
                <w:rFonts w:asciiTheme="majorHAnsi" w:eastAsia="Times New Roman" w:hAnsiTheme="majorHAnsi" w:cs="Times New Roman"/>
                <w:color w:val="2F75B5"/>
                <w:sz w:val="20"/>
                <w:szCs w:val="20"/>
                <w:lang w:eastAsia="sk-SK"/>
              </w:rPr>
              <w:t> </w:t>
            </w:r>
          </w:p>
        </w:tc>
      </w:tr>
    </w:tbl>
    <w:p w:rsidR="00CE1BD2" w:rsidRDefault="00CE1BD2" w:rsidP="00CE1BD2">
      <w:pPr>
        <w:spacing w:before="240" w:line="240" w:lineRule="auto"/>
        <w:jc w:val="both"/>
        <w:rPr>
          <w:rFonts w:asciiTheme="majorHAnsi" w:eastAsia="MS Gothic" w:hAnsiTheme="majorHAnsi" w:cs="Times New Roman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Dodatočné</w:t>
      </w:r>
      <w:r w:rsidRPr="00962682">
        <w:rPr>
          <w:rFonts w:asciiTheme="majorHAnsi" w:eastAsia="MS Gothic" w:hAnsiTheme="majorHAnsi" w:cs="Times New Roman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informácie o nákladoch, ktoré majú výnimočný rozsah alebo výskyt:</w:t>
      </w:r>
    </w:p>
    <w:p w:rsidR="008E6698" w:rsidRDefault="008E6698" w:rsidP="008E6698">
      <w:pPr>
        <w:spacing w:before="240" w:line="240" w:lineRule="auto"/>
        <w:jc w:val="both"/>
        <w:rPr>
          <w:rFonts w:ascii="Cambria" w:hAnsi="Cambria" w:cs="Arial"/>
          <w:b/>
        </w:rPr>
      </w:pPr>
      <w:r w:rsidRPr="001E0710">
        <w:rPr>
          <w:rFonts w:ascii="Cambria" w:hAnsi="Cambria" w:cs="Arial"/>
          <w:b/>
        </w:rPr>
        <w:t>Pre danú oblasť nemá účtovná jednotka obsahovú náplň.</w:t>
      </w:r>
    </w:p>
    <w:p w:rsidR="008E6698" w:rsidRDefault="008E6698" w:rsidP="008E6698">
      <w:pPr>
        <w:spacing w:before="240" w:line="240" w:lineRule="auto"/>
        <w:jc w:val="both"/>
        <w:rPr>
          <w:rFonts w:ascii="Cambria" w:hAnsi="Cambria" w:cs="Arial"/>
          <w:b/>
        </w:rPr>
      </w:pPr>
    </w:p>
    <w:p w:rsidR="008E6698" w:rsidRDefault="008E6698" w:rsidP="008E6698">
      <w:pPr>
        <w:spacing w:before="240" w:line="240" w:lineRule="auto"/>
        <w:jc w:val="both"/>
        <w:rPr>
          <w:rFonts w:ascii="Cambria" w:hAnsi="Cambria" w:cs="Arial"/>
          <w:b/>
        </w:rPr>
      </w:pPr>
    </w:p>
    <w:p w:rsidR="008E6698" w:rsidRDefault="008E6698" w:rsidP="008E6698">
      <w:pPr>
        <w:spacing w:before="240" w:line="240" w:lineRule="auto"/>
        <w:jc w:val="both"/>
        <w:rPr>
          <w:rFonts w:ascii="Cambria" w:hAnsi="Cambria" w:cs="Arial"/>
          <w:b/>
        </w:rPr>
      </w:pPr>
    </w:p>
    <w:p w:rsidR="008E6698" w:rsidRDefault="008E6698" w:rsidP="008E6698">
      <w:pPr>
        <w:spacing w:before="240" w:line="240" w:lineRule="auto"/>
        <w:jc w:val="both"/>
        <w:rPr>
          <w:rFonts w:ascii="Cambria" w:hAnsi="Cambria" w:cs="Arial"/>
          <w:b/>
        </w:rPr>
      </w:pPr>
    </w:p>
    <w:p w:rsidR="008E6698" w:rsidRDefault="008E6698" w:rsidP="008E6698">
      <w:pPr>
        <w:spacing w:before="240" w:line="240" w:lineRule="auto"/>
        <w:jc w:val="both"/>
        <w:rPr>
          <w:rFonts w:ascii="Cambria" w:hAnsi="Cambria" w:cs="Arial"/>
          <w:b/>
        </w:rPr>
      </w:pPr>
    </w:p>
    <w:p w:rsidR="008E6698" w:rsidRDefault="008E6698" w:rsidP="008E6698">
      <w:pPr>
        <w:spacing w:before="240" w:line="240" w:lineRule="auto"/>
        <w:jc w:val="both"/>
        <w:rPr>
          <w:rFonts w:ascii="Cambria" w:hAnsi="Cambria" w:cs="Arial"/>
          <w:b/>
        </w:rPr>
      </w:pPr>
    </w:p>
    <w:p w:rsidR="008E6698" w:rsidRDefault="008E6698" w:rsidP="008E6698">
      <w:pPr>
        <w:spacing w:before="240" w:line="240" w:lineRule="auto"/>
        <w:jc w:val="both"/>
        <w:rPr>
          <w:rFonts w:asciiTheme="majorHAnsi" w:hAnsiTheme="majorHAnsi" w:cs="Arial"/>
          <w:sz w:val="20"/>
          <w:szCs w:val="20"/>
        </w:rPr>
      </w:pPr>
    </w:p>
    <w:p w:rsidR="00CE1BD2" w:rsidRPr="00B47D63" w:rsidRDefault="00CE1BD2" w:rsidP="00CE1BD2">
      <w:pPr>
        <w:rPr>
          <w:rFonts w:asciiTheme="majorHAnsi" w:hAnsiTheme="majorHAnsi" w:cs="Arial"/>
          <w:b/>
          <w:sz w:val="24"/>
          <w:szCs w:val="24"/>
        </w:rPr>
      </w:pPr>
      <w:r w:rsidRPr="00B47D63">
        <w:rPr>
          <w:rFonts w:asciiTheme="majorHAnsi" w:hAnsiTheme="majorHAnsi" w:cs="Arial"/>
          <w:b/>
          <w:sz w:val="24"/>
          <w:szCs w:val="24"/>
        </w:rPr>
        <w:lastRenderedPageBreak/>
        <w:t>Článok V</w:t>
      </w:r>
      <w:r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B47D63">
        <w:rPr>
          <w:rFonts w:asciiTheme="majorHAnsi" w:hAnsiTheme="majorHAnsi" w:cs="Arial"/>
          <w:b/>
          <w:sz w:val="24"/>
          <w:szCs w:val="24"/>
        </w:rPr>
        <w:t>Informácie o iných aktívach a iných pasívach</w:t>
      </w:r>
    </w:p>
    <w:p w:rsidR="00CE1BD2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V. 1 a) </w:t>
      </w:r>
      <w:r w:rsidRPr="00384901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podmienenom majetku</w:t>
      </w:r>
    </w:p>
    <w:p w:rsidR="00CE1BD2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W w:w="93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0"/>
        <w:gridCol w:w="2649"/>
        <w:gridCol w:w="2552"/>
      </w:tblGrid>
      <w:tr w:rsidR="00CE1BD2" w:rsidRPr="00212400" w:rsidTr="00CE1BD2">
        <w:trPr>
          <w:trHeight w:val="330"/>
        </w:trPr>
        <w:tc>
          <w:tcPr>
            <w:tcW w:w="4140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Druh podmieneného majetku</w:t>
            </w:r>
          </w:p>
        </w:tc>
        <w:tc>
          <w:tcPr>
            <w:tcW w:w="520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Hodnota</w:t>
            </w:r>
          </w:p>
        </w:tc>
      </w:tr>
      <w:tr w:rsidR="00CE1BD2" w:rsidRPr="00212400" w:rsidTr="00CE1BD2">
        <w:trPr>
          <w:trHeight w:val="330"/>
        </w:trPr>
        <w:tc>
          <w:tcPr>
            <w:tcW w:w="4140" w:type="dxa"/>
            <w:vMerge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</w:p>
        </w:tc>
        <w:tc>
          <w:tcPr>
            <w:tcW w:w="264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Bežné obdobie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CE1BD2" w:rsidRPr="00212400" w:rsidTr="00CE1BD2">
        <w:trPr>
          <w:trHeight w:val="135"/>
        </w:trPr>
        <w:tc>
          <w:tcPr>
            <w:tcW w:w="4140" w:type="dxa"/>
            <w:tcBorders>
              <w:top w:val="single" w:sz="18" w:space="0" w:color="000000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zo servisných zmlúv</w:t>
            </w:r>
          </w:p>
        </w:tc>
        <w:tc>
          <w:tcPr>
            <w:tcW w:w="2649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CE1BD2" w:rsidRPr="00212400" w:rsidTr="00CE1BD2">
        <w:trPr>
          <w:trHeight w:val="21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poistných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CE1BD2" w:rsidRPr="00212400" w:rsidTr="00CE1BD2">
        <w:trPr>
          <w:trHeight w:val="30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koncesionárskych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CE1BD2" w:rsidRPr="00212400" w:rsidTr="00CE1BD2">
        <w:trPr>
          <w:trHeight w:val="24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licenčných zmlúv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CE1BD2" w:rsidRPr="00212400" w:rsidTr="00CE1BD2">
        <w:trPr>
          <w:trHeight w:val="473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investovania prostriedkov získaných oslobodením od dane z príjmov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CE1BD2" w:rsidRPr="00212400" w:rsidTr="00CE1BD2">
        <w:trPr>
          <w:trHeight w:val="240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 privatizácie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CE1BD2" w:rsidRPr="00212400" w:rsidTr="00CE1BD2">
        <w:trPr>
          <w:trHeight w:val="188"/>
        </w:trPr>
        <w:tc>
          <w:tcPr>
            <w:tcW w:w="4140" w:type="dxa"/>
            <w:tcBorders>
              <w:top w:val="single" w:sz="4" w:space="0" w:color="auto"/>
              <w:left w:val="single" w:sz="18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Práva zo súdnych sporov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  <w:tr w:rsidR="00CE1BD2" w:rsidRPr="00212400" w:rsidTr="00CE1BD2">
        <w:trPr>
          <w:trHeight w:val="245"/>
        </w:trPr>
        <w:tc>
          <w:tcPr>
            <w:tcW w:w="41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Iné práva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ind w:firstLineChars="300" w:firstLine="663"/>
              <w:jc w:val="right"/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2F75B5"/>
                <w:lang w:eastAsia="sk-SK"/>
              </w:rPr>
              <w:t> </w:t>
            </w:r>
          </w:p>
        </w:tc>
      </w:tr>
    </w:tbl>
    <w:p w:rsidR="00CE1BD2" w:rsidRPr="00B47D63" w:rsidRDefault="00CE1BD2" w:rsidP="00CE1BD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Dodatočné 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informácie o podmienenom majetku:</w:t>
      </w:r>
    </w:p>
    <w:p w:rsidR="00CE1BD2" w:rsidRPr="008E6698" w:rsidRDefault="008E6698" w:rsidP="00CE1BD2">
      <w:pPr>
        <w:spacing w:before="24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1E0710">
        <w:rPr>
          <w:rFonts w:ascii="Cambria" w:hAnsi="Cambria" w:cs="Arial"/>
          <w:b/>
        </w:rPr>
        <w:t>Pre danú oblasť nemá účtovná jednotka obsahovú náplň.</w:t>
      </w:r>
    </w:p>
    <w:p w:rsidR="00CE1BD2" w:rsidRPr="00A824EC" w:rsidRDefault="00CE1BD2" w:rsidP="00CE1BD2">
      <w:pPr>
        <w:spacing w:before="240" w:line="240" w:lineRule="auto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1 b) Informácie o podmienených záväzkoch:</w:t>
      </w:r>
    </w:p>
    <w:tbl>
      <w:tblPr>
        <w:tblW w:w="93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960"/>
        <w:gridCol w:w="1060"/>
        <w:gridCol w:w="1120"/>
        <w:gridCol w:w="1040"/>
        <w:gridCol w:w="65"/>
        <w:gridCol w:w="95"/>
        <w:gridCol w:w="1840"/>
        <w:gridCol w:w="160"/>
        <w:gridCol w:w="1800"/>
        <w:gridCol w:w="216"/>
      </w:tblGrid>
      <w:tr w:rsidR="00CE1BD2" w:rsidRPr="00E410F4" w:rsidTr="00CE1BD2">
        <w:trPr>
          <w:trHeight w:val="25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Bežné účtovné obdobie</w:t>
            </w:r>
          </w:p>
        </w:tc>
      </w:tr>
      <w:tr w:rsidR="00CE1BD2" w:rsidRPr="00E410F4" w:rsidTr="00CE1BD2">
        <w:trPr>
          <w:trHeight w:val="316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Spriaznené osoby</w:t>
            </w:r>
          </w:p>
        </w:tc>
      </w:tr>
      <w:tr w:rsidR="00CE1BD2" w:rsidRPr="00E410F4" w:rsidTr="00CE1BD2">
        <w:trPr>
          <w:trHeight w:val="22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CE1BD2" w:rsidRPr="00E410F4" w:rsidTr="00CE1BD2">
        <w:trPr>
          <w:trHeight w:val="24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CE1BD2" w:rsidRPr="00E410F4" w:rsidTr="00CE1BD2">
        <w:trPr>
          <w:trHeight w:val="24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CE1BD2" w:rsidRPr="00E410F4" w:rsidTr="00CE1BD2">
        <w:trPr>
          <w:trHeight w:val="122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CE1BD2" w:rsidRPr="00E410F4" w:rsidTr="00CE1BD2">
        <w:trPr>
          <w:trHeight w:val="126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CE1BD2" w:rsidRPr="00E410F4" w:rsidTr="00CE1BD2">
        <w:trPr>
          <w:trHeight w:val="144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CE1BD2" w:rsidRPr="00E410F4" w:rsidTr="00CE1BD2">
        <w:trPr>
          <w:trHeight w:val="330"/>
        </w:trPr>
        <w:tc>
          <w:tcPr>
            <w:tcW w:w="10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Arial"/>
                <w:color w:val="2F75B5"/>
                <w:lang w:eastAsia="sk-SK"/>
              </w:rPr>
            </w:pPr>
          </w:p>
        </w:tc>
        <w:tc>
          <w:tcPr>
            <w:tcW w:w="9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12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ind w:firstLineChars="200" w:firstLine="400"/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ind w:firstLineChars="200" w:firstLine="400"/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single" w:sz="1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ind w:firstLineChars="200" w:firstLine="400"/>
              <w:jc w:val="right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</w:tr>
      <w:tr w:rsidR="00CE1BD2" w:rsidRPr="00E410F4" w:rsidTr="00CE1BD2">
        <w:trPr>
          <w:trHeight w:val="330"/>
        </w:trPr>
        <w:tc>
          <w:tcPr>
            <w:tcW w:w="19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</w:tcPr>
          <w:p w:rsidR="00CE1BD2" w:rsidRPr="00E410F4" w:rsidRDefault="00CE1BD2" w:rsidP="00CE1BD2">
            <w:pPr>
              <w:spacing w:after="0" w:line="240" w:lineRule="auto"/>
              <w:rPr>
                <w:rFonts w:asciiTheme="majorHAnsi" w:eastAsia="Times New Roman" w:hAnsiTheme="majorHAnsi" w:cs="Arial"/>
                <w:lang w:eastAsia="sk-SK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rPr>
                <w:rFonts w:asciiTheme="majorHAnsi" w:eastAsia="Times New Roman" w:hAnsiTheme="majorHAnsi" w:cs="Arial"/>
                <w:lang w:eastAsia="sk-SK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1800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  <w:tc>
          <w:tcPr>
            <w:tcW w:w="21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sz w:val="20"/>
                <w:szCs w:val="20"/>
                <w:lang w:eastAsia="sk-SK"/>
              </w:rPr>
            </w:pPr>
          </w:p>
        </w:tc>
      </w:tr>
      <w:tr w:rsidR="00CE1BD2" w:rsidRPr="00E410F4" w:rsidTr="00CE1BD2">
        <w:trPr>
          <w:trHeight w:val="443"/>
        </w:trPr>
        <w:tc>
          <w:tcPr>
            <w:tcW w:w="5245" w:type="dxa"/>
            <w:gridSpan w:val="6"/>
            <w:vMerge w:val="restart"/>
            <w:tcBorders>
              <w:top w:val="single" w:sz="18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  <w:t>Druh podmieneného záväzku</w:t>
            </w:r>
          </w:p>
        </w:tc>
        <w:tc>
          <w:tcPr>
            <w:tcW w:w="4111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Bezprostredne predchádzajúce účtovné obdobie</w:t>
            </w:r>
          </w:p>
        </w:tc>
      </w:tr>
      <w:tr w:rsidR="00CE1BD2" w:rsidRPr="00E410F4" w:rsidTr="00CE1BD2">
        <w:trPr>
          <w:trHeight w:val="330"/>
        </w:trPr>
        <w:tc>
          <w:tcPr>
            <w:tcW w:w="5245" w:type="dxa"/>
            <w:gridSpan w:val="6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Hodnota celkom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b/>
                <w:bCs/>
                <w:lang w:eastAsia="sk-SK"/>
              </w:rPr>
              <w:t>Spriaznené osoby</w:t>
            </w:r>
          </w:p>
        </w:tc>
      </w:tr>
      <w:tr w:rsidR="00CE1BD2" w:rsidRPr="00E410F4" w:rsidTr="00CE1BD2">
        <w:trPr>
          <w:trHeight w:val="198"/>
        </w:trPr>
        <w:tc>
          <w:tcPr>
            <w:tcW w:w="5245" w:type="dxa"/>
            <w:gridSpan w:val="6"/>
            <w:tcBorders>
              <w:top w:val="single" w:sz="12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súdnych rozhodnutí</w:t>
            </w:r>
          </w:p>
        </w:tc>
        <w:tc>
          <w:tcPr>
            <w:tcW w:w="209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CE1BD2" w:rsidRPr="00E410F4" w:rsidTr="00CE1BD2">
        <w:trPr>
          <w:trHeight w:val="20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poskytnutých záruk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CE1BD2" w:rsidRPr="00E410F4" w:rsidTr="00CE1BD2">
        <w:trPr>
          <w:trHeight w:val="24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všeobecne záväzných právnych predpisov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CE1BD2" w:rsidRPr="00E410F4" w:rsidTr="00CE1BD2">
        <w:trPr>
          <w:trHeight w:val="25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Zo zmluvy o podriadenom záväzku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CE1BD2" w:rsidRPr="00E410F4" w:rsidTr="00CE1BD2">
        <w:trPr>
          <w:trHeight w:val="150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Z ručenia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  <w:tr w:rsidR="00CE1BD2" w:rsidRPr="00E410F4" w:rsidTr="00CE1BD2">
        <w:trPr>
          <w:trHeight w:val="168"/>
        </w:trPr>
        <w:tc>
          <w:tcPr>
            <w:tcW w:w="5245" w:type="dxa"/>
            <w:gridSpan w:val="6"/>
            <w:tcBorders>
              <w:top w:val="single" w:sz="8" w:space="0" w:color="000000"/>
              <w:left w:val="single" w:sz="18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000000"/>
                <w:lang w:eastAsia="sk-SK"/>
              </w:rPr>
              <w:t>Iné podmienené záväzky</w:t>
            </w:r>
          </w:p>
        </w:tc>
        <w:tc>
          <w:tcPr>
            <w:tcW w:w="2095" w:type="dxa"/>
            <w:gridSpan w:val="3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  <w:tc>
          <w:tcPr>
            <w:tcW w:w="2016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vAlign w:val="center"/>
            <w:hideMark/>
          </w:tcPr>
          <w:p w:rsidR="00CE1BD2" w:rsidRPr="00E410F4" w:rsidRDefault="00CE1BD2" w:rsidP="00CE1BD2">
            <w:pPr>
              <w:spacing w:after="0" w:line="240" w:lineRule="auto"/>
              <w:ind w:firstLineChars="200" w:firstLine="440"/>
              <w:jc w:val="right"/>
              <w:rPr>
                <w:rFonts w:asciiTheme="majorHAnsi" w:eastAsia="Times New Roman" w:hAnsiTheme="majorHAnsi" w:cs="Times New Roman"/>
                <w:color w:val="2F75B5"/>
                <w:lang w:eastAsia="sk-SK"/>
              </w:rPr>
            </w:pPr>
            <w:r w:rsidRPr="00E410F4">
              <w:rPr>
                <w:rFonts w:asciiTheme="majorHAnsi" w:eastAsia="Times New Roman" w:hAnsiTheme="majorHAnsi" w:cs="Times New Roman"/>
                <w:color w:val="2F75B5"/>
                <w:lang w:eastAsia="sk-SK"/>
              </w:rPr>
              <w:t> </w:t>
            </w:r>
          </w:p>
        </w:tc>
      </w:tr>
    </w:tbl>
    <w:p w:rsidR="00CE1BD2" w:rsidRPr="00E410F4" w:rsidRDefault="00CE1BD2" w:rsidP="00CE1BD2">
      <w:pPr>
        <w:spacing w:before="240" w:line="240" w:lineRule="auto"/>
        <w:jc w:val="both"/>
        <w:rPr>
          <w:rFonts w:asciiTheme="majorHAnsi" w:eastAsia="MS Gothic" w:hAnsiTheme="majorHAnsi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Dodatočn</w:t>
      </w:r>
      <w:r w:rsidRPr="00E410F4">
        <w:rPr>
          <w:rFonts w:asciiTheme="majorHAnsi" w:eastAsia="MS Gothic" w:hAnsiTheme="majorHAnsi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é in</w:t>
      </w:r>
      <w:r>
        <w:rPr>
          <w:rFonts w:asciiTheme="majorHAnsi" w:eastAsia="MS Gothic" w:hAnsiTheme="majorHAnsi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formácie o podmienených záväzkoch</w:t>
      </w:r>
      <w:r w:rsidRPr="00E410F4">
        <w:rPr>
          <w:rFonts w:asciiTheme="majorHAnsi" w:eastAsia="MS Gothic" w:hAnsiTheme="majorHAnsi" w:cs="Times New Roman"/>
          <w:b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8E6698" w:rsidRDefault="008E6698" w:rsidP="008E6698">
      <w:pPr>
        <w:spacing w:before="24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1E0710">
        <w:rPr>
          <w:rFonts w:ascii="Cambria" w:hAnsi="Cambria" w:cs="Arial"/>
          <w:b/>
        </w:rPr>
        <w:t>Pre danú oblasť nemá účtovná jednotka obsahovú náplň.</w:t>
      </w:r>
    </w:p>
    <w:p w:rsidR="00CE1BD2" w:rsidRPr="00E969FA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8024FC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2  Ostatné významné finančné povinnosti nevykázané v účtovných výkazoch</w:t>
      </w:r>
    </w:p>
    <w:p w:rsidR="00CE1BD2" w:rsidRPr="00B47D63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1701"/>
        <w:gridCol w:w="1701"/>
      </w:tblGrid>
      <w:tr w:rsidR="00CE1BD2" w:rsidRPr="002C5BBC" w:rsidTr="00CE1BD2">
        <w:tc>
          <w:tcPr>
            <w:tcW w:w="567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E969FA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Druh  ostatnej finančnej povinnosti, ktorá sa nevykazuje v účtovných výkazoch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BD2" w:rsidRPr="00E969FA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</w:tr>
      <w:tr w:rsidR="00CE1BD2" w:rsidRPr="002C5BBC" w:rsidTr="00CE1BD2">
        <w:tc>
          <w:tcPr>
            <w:tcW w:w="5670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E969FA" w:rsidRDefault="00CE1BD2" w:rsidP="00CE1BD2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E969FA" w:rsidRDefault="00CE1BD2" w:rsidP="00CE1BD2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Hodnota</w:t>
            </w:r>
          </w:p>
          <w:p w:rsidR="00CE1BD2" w:rsidRPr="00E969FA" w:rsidRDefault="00CE1BD2" w:rsidP="00CE1BD2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celkom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BD2" w:rsidRPr="00E969FA" w:rsidRDefault="00CE1BD2" w:rsidP="00CE1BD2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Hodnota voči</w:t>
            </w:r>
          </w:p>
          <w:p w:rsidR="00CE1BD2" w:rsidRPr="00E969FA" w:rsidRDefault="00CE1BD2" w:rsidP="00CE1BD2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spriazneným</w:t>
            </w:r>
          </w:p>
          <w:p w:rsidR="00CE1BD2" w:rsidRPr="00E969FA" w:rsidRDefault="00CE1BD2" w:rsidP="00CE1BD2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E969FA">
              <w:rPr>
                <w:rFonts w:asciiTheme="majorHAnsi" w:hAnsiTheme="majorHAnsi" w:cs="Arial"/>
                <w:b/>
                <w:sz w:val="20"/>
                <w:szCs w:val="20"/>
              </w:rPr>
              <w:t>osobám</w:t>
            </w:r>
          </w:p>
        </w:tc>
      </w:tr>
      <w:tr w:rsidR="00CE1BD2" w:rsidRPr="002C5BBC" w:rsidTr="00CE1BD2">
        <w:trPr>
          <w:trHeight w:val="340"/>
        </w:trPr>
        <w:tc>
          <w:tcPr>
            <w:tcW w:w="5670" w:type="dxa"/>
            <w:tcBorders>
              <w:top w:val="single" w:sz="12" w:space="0" w:color="auto"/>
            </w:tcBorders>
            <w:vAlign w:val="center"/>
          </w:tcPr>
          <w:p w:rsidR="00CE1BD2" w:rsidRPr="002C5BBC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Zákonná povinnosť odobrať určité množstvo produktu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CE1BD2" w:rsidRPr="002C5BBC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CE1BD2" w:rsidRPr="002C5BBC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E1BD2" w:rsidRPr="002C5BBC" w:rsidTr="00CE1BD2">
        <w:trPr>
          <w:trHeight w:val="340"/>
        </w:trPr>
        <w:tc>
          <w:tcPr>
            <w:tcW w:w="5670" w:type="dxa"/>
            <w:vAlign w:val="center"/>
          </w:tcPr>
          <w:p w:rsidR="00CE1BD2" w:rsidRPr="002C5BBC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Zmluvná povinnosť odobrať určité množstvo produktu</w:t>
            </w:r>
          </w:p>
        </w:tc>
        <w:tc>
          <w:tcPr>
            <w:tcW w:w="1701" w:type="dxa"/>
            <w:vAlign w:val="center"/>
          </w:tcPr>
          <w:p w:rsidR="00CE1BD2" w:rsidRPr="002C5BBC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CE1BD2" w:rsidRPr="002C5BBC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E1BD2" w:rsidRPr="002C5BBC" w:rsidTr="00CE1BD2">
        <w:trPr>
          <w:trHeight w:val="340"/>
        </w:trPr>
        <w:tc>
          <w:tcPr>
            <w:tcW w:w="5670" w:type="dxa"/>
            <w:vAlign w:val="center"/>
          </w:tcPr>
          <w:p w:rsidR="00CE1BD2" w:rsidRPr="002C5BBC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Povinnosť uskutočniť investície</w:t>
            </w:r>
          </w:p>
        </w:tc>
        <w:tc>
          <w:tcPr>
            <w:tcW w:w="1701" w:type="dxa"/>
            <w:vAlign w:val="center"/>
          </w:tcPr>
          <w:p w:rsidR="00CE1BD2" w:rsidRPr="002C5BBC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CE1BD2" w:rsidRPr="002C5BBC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E1BD2" w:rsidRPr="002C5BBC" w:rsidTr="00CE1BD2">
        <w:trPr>
          <w:trHeight w:val="340"/>
        </w:trPr>
        <w:tc>
          <w:tcPr>
            <w:tcW w:w="5670" w:type="dxa"/>
            <w:vAlign w:val="center"/>
          </w:tcPr>
          <w:p w:rsidR="00CE1BD2" w:rsidRPr="002C5BBC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Povinnosť uskutočniť veľké opravy</w:t>
            </w:r>
          </w:p>
        </w:tc>
        <w:tc>
          <w:tcPr>
            <w:tcW w:w="1701" w:type="dxa"/>
            <w:vAlign w:val="center"/>
          </w:tcPr>
          <w:p w:rsidR="00CE1BD2" w:rsidRPr="002C5BBC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CE1BD2" w:rsidRPr="002C5BBC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E1BD2" w:rsidRPr="002C5BBC" w:rsidTr="00CE1BD2">
        <w:trPr>
          <w:trHeight w:val="340"/>
        </w:trPr>
        <w:tc>
          <w:tcPr>
            <w:tcW w:w="5670" w:type="dxa"/>
            <w:vAlign w:val="center"/>
          </w:tcPr>
          <w:p w:rsidR="00CE1BD2" w:rsidRPr="002C5BBC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2C5BBC"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01" w:type="dxa"/>
            <w:vAlign w:val="center"/>
          </w:tcPr>
          <w:p w:rsidR="00CE1BD2" w:rsidRPr="002C5BBC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CE1BD2" w:rsidRPr="002C5BBC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CE1BD2" w:rsidRPr="00B47D63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CE1BD2" w:rsidRPr="00B47D63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0"/>
        <w:gridCol w:w="1701"/>
        <w:gridCol w:w="1701"/>
      </w:tblGrid>
      <w:tr w:rsidR="00CE1BD2" w:rsidRPr="00B47D63" w:rsidTr="00CE1BD2">
        <w:tc>
          <w:tcPr>
            <w:tcW w:w="5670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Druh podmieneného záväzku alebo ostatnej finančnej povinnosti, ktorá sa nevykazuje v účtovných výkazoch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</w:t>
            </w:r>
          </w:p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účtovné obdobie</w:t>
            </w:r>
          </w:p>
        </w:tc>
      </w:tr>
      <w:tr w:rsidR="00CE1BD2" w:rsidRPr="00B47D63" w:rsidTr="00CE1BD2">
        <w:tc>
          <w:tcPr>
            <w:tcW w:w="5670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</w:t>
            </w:r>
          </w:p>
          <w:p w:rsidR="00CE1BD2" w:rsidRPr="00B47D63" w:rsidRDefault="00CE1BD2" w:rsidP="00CE1BD2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celkom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BD2" w:rsidRDefault="00CE1BD2" w:rsidP="00CE1BD2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Hodnota voči</w:t>
            </w:r>
          </w:p>
          <w:p w:rsidR="00CE1BD2" w:rsidRDefault="00CE1BD2" w:rsidP="00CE1BD2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s</w:t>
            </w: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priaznen</w:t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t>ým</w:t>
            </w:r>
          </w:p>
          <w:p w:rsidR="00CE1BD2" w:rsidRPr="00B47D63" w:rsidRDefault="00CE1BD2" w:rsidP="00CE1BD2">
            <w:pPr>
              <w:pStyle w:val="Odsekzoznamu"/>
              <w:ind w:left="0"/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osob</w:t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t>ám</w:t>
            </w:r>
          </w:p>
        </w:tc>
      </w:tr>
      <w:tr w:rsidR="00CE1BD2" w:rsidRPr="00B47D63" w:rsidTr="00CE1BD2">
        <w:trPr>
          <w:trHeight w:val="340"/>
        </w:trPr>
        <w:tc>
          <w:tcPr>
            <w:tcW w:w="5670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Zákonná povinnosť odobrať určité množstvo produktu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5670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Zmluvná povinnosť odobrať určité množstvo produktu</w:t>
            </w:r>
          </w:p>
        </w:tc>
        <w:tc>
          <w:tcPr>
            <w:tcW w:w="1701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5670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Povinnosť uskutočniť investície</w:t>
            </w:r>
          </w:p>
        </w:tc>
        <w:tc>
          <w:tcPr>
            <w:tcW w:w="1701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5670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Povinnosť uskutočniť veľké opravy</w:t>
            </w:r>
          </w:p>
        </w:tc>
        <w:tc>
          <w:tcPr>
            <w:tcW w:w="1701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5670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Iné</w:t>
            </w:r>
          </w:p>
        </w:tc>
        <w:tc>
          <w:tcPr>
            <w:tcW w:w="1701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CE1BD2" w:rsidRPr="00B47D63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hAnsiTheme="majorHAnsi" w:cs="Arial"/>
          <w:b/>
          <w:sz w:val="20"/>
          <w:szCs w:val="20"/>
        </w:rPr>
      </w:pPr>
    </w:p>
    <w:p w:rsidR="00CE1BD2" w:rsidRPr="00B47D63" w:rsidRDefault="00CE1BD2" w:rsidP="00CE1BD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Dodatočné 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</w:t>
      </w: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ormácie o ostatných finančných povinnostiach nevykázaných v účtovných výkazoch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p w:rsidR="008E6698" w:rsidRDefault="008E6698" w:rsidP="008E6698">
      <w:pPr>
        <w:spacing w:before="24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1E0710">
        <w:rPr>
          <w:rFonts w:ascii="Cambria" w:hAnsi="Cambria" w:cs="Arial"/>
          <w:b/>
        </w:rPr>
        <w:t>Pre danú oblasť nemá účtovná jednotka obsahovú náplň.</w:t>
      </w:r>
    </w:p>
    <w:p w:rsidR="00CE1BD2" w:rsidRPr="00B47D63" w:rsidRDefault="00CE1BD2" w:rsidP="00CE1BD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Pr="00B47D63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Pr="00852041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852041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V. 3  Informácie o údajoch na podsúvahových účtoch</w:t>
      </w:r>
    </w:p>
    <w:p w:rsidR="00CE1BD2" w:rsidRPr="00B47D63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606"/>
        <w:gridCol w:w="2303"/>
        <w:gridCol w:w="2303"/>
      </w:tblGrid>
      <w:tr w:rsidR="00CE1BD2" w:rsidRPr="00852041" w:rsidTr="00CE1BD2">
        <w:tc>
          <w:tcPr>
            <w:tcW w:w="460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852041" w:rsidRDefault="00CE1BD2" w:rsidP="00CE1BD2">
            <w:pPr>
              <w:jc w:val="both"/>
              <w:rPr>
                <w:rFonts w:asciiTheme="majorHAnsi" w:hAnsiTheme="majorHAnsi"/>
                <w:b/>
                <w:sz w:val="20"/>
                <w:szCs w:val="20"/>
              </w:rPr>
            </w:pPr>
            <w:r w:rsidRPr="00852041">
              <w:rPr>
                <w:rFonts w:asciiTheme="majorHAnsi" w:hAnsiTheme="majorHAnsi"/>
                <w:b/>
                <w:sz w:val="20"/>
                <w:szCs w:val="20"/>
              </w:rPr>
              <w:t>Názov položky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852041" w:rsidRDefault="00CE1BD2" w:rsidP="00CE1BD2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852041">
              <w:rPr>
                <w:rFonts w:asciiTheme="majorHAnsi" w:hAnsiTheme="majorHAnsi"/>
                <w:b/>
                <w:sz w:val="20"/>
                <w:szCs w:val="20"/>
              </w:rPr>
              <w:t>Bežné obdobie</w:t>
            </w:r>
          </w:p>
        </w:tc>
        <w:tc>
          <w:tcPr>
            <w:tcW w:w="23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BD2" w:rsidRPr="00852041" w:rsidRDefault="00CE1BD2" w:rsidP="00CE1BD2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sz w:val="20"/>
                <w:szCs w:val="20"/>
              </w:rPr>
              <w:t>Bezprostredne predchádzajúce obdobie</w:t>
            </w:r>
          </w:p>
        </w:tc>
      </w:tr>
      <w:tr w:rsidR="00CE1BD2" w:rsidRPr="00B47D63" w:rsidTr="00CE1BD2">
        <w:trPr>
          <w:trHeight w:val="340"/>
        </w:trPr>
        <w:tc>
          <w:tcPr>
            <w:tcW w:w="4606" w:type="dxa"/>
            <w:tcBorders>
              <w:top w:val="single" w:sz="12" w:space="0" w:color="auto"/>
            </w:tcBorders>
            <w:vAlign w:val="center"/>
          </w:tcPr>
          <w:p w:rsidR="00CE1BD2" w:rsidRPr="00852041" w:rsidRDefault="00CE1BD2" w:rsidP="00CE1BD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Prenajatý majetok</w:t>
            </w:r>
          </w:p>
        </w:tc>
        <w:tc>
          <w:tcPr>
            <w:tcW w:w="2303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/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4606" w:type="dxa"/>
            <w:vAlign w:val="center"/>
          </w:tcPr>
          <w:p w:rsidR="00CE1BD2" w:rsidRPr="00852041" w:rsidRDefault="00CE1BD2" w:rsidP="00CE1BD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Majetok v nájme (operatívny prenájom)</w:t>
            </w:r>
          </w:p>
        </w:tc>
        <w:tc>
          <w:tcPr>
            <w:tcW w:w="2303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/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4606" w:type="dxa"/>
            <w:vAlign w:val="center"/>
          </w:tcPr>
          <w:p w:rsidR="00CE1BD2" w:rsidRPr="00852041" w:rsidRDefault="00CE1BD2" w:rsidP="00CE1BD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Majetok prijatý do úschovy</w:t>
            </w:r>
          </w:p>
        </w:tc>
        <w:tc>
          <w:tcPr>
            <w:tcW w:w="2303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/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4606" w:type="dxa"/>
            <w:vAlign w:val="center"/>
          </w:tcPr>
          <w:p w:rsidR="00CE1BD2" w:rsidRPr="00852041" w:rsidRDefault="00CE1BD2" w:rsidP="00CE1BD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Pohľadávky z derivátov</w:t>
            </w:r>
          </w:p>
        </w:tc>
        <w:tc>
          <w:tcPr>
            <w:tcW w:w="2303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/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4606" w:type="dxa"/>
            <w:vAlign w:val="center"/>
          </w:tcPr>
          <w:p w:rsidR="00CE1BD2" w:rsidRPr="00852041" w:rsidRDefault="00CE1BD2" w:rsidP="00CE1BD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Záväzky z opcií derivátov</w:t>
            </w:r>
          </w:p>
        </w:tc>
        <w:tc>
          <w:tcPr>
            <w:tcW w:w="2303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/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4606" w:type="dxa"/>
            <w:vAlign w:val="center"/>
          </w:tcPr>
          <w:p w:rsidR="00CE1BD2" w:rsidRPr="00852041" w:rsidRDefault="00CE1BD2" w:rsidP="00CE1BD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Odpísané pohľadávky</w:t>
            </w:r>
          </w:p>
        </w:tc>
        <w:tc>
          <w:tcPr>
            <w:tcW w:w="2303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/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4606" w:type="dxa"/>
            <w:vAlign w:val="center"/>
          </w:tcPr>
          <w:p w:rsidR="00CE1BD2" w:rsidRPr="00852041" w:rsidRDefault="00CE1BD2" w:rsidP="00CE1BD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Pohľadávky z finančného prenájmu</w:t>
            </w:r>
          </w:p>
        </w:tc>
        <w:tc>
          <w:tcPr>
            <w:tcW w:w="2303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/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4606" w:type="dxa"/>
            <w:vAlign w:val="center"/>
          </w:tcPr>
          <w:p w:rsidR="00CE1BD2" w:rsidRPr="00852041" w:rsidRDefault="00CE1BD2" w:rsidP="00CE1BD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Záväzky z finančného prenájmu</w:t>
            </w:r>
          </w:p>
        </w:tc>
        <w:tc>
          <w:tcPr>
            <w:tcW w:w="2303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/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4606" w:type="dxa"/>
            <w:vAlign w:val="center"/>
          </w:tcPr>
          <w:p w:rsidR="00CE1BD2" w:rsidRPr="00852041" w:rsidRDefault="00CE1BD2" w:rsidP="00CE1BD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Bankové ručenia, vecné bremená</w:t>
            </w:r>
          </w:p>
        </w:tc>
        <w:tc>
          <w:tcPr>
            <w:tcW w:w="2303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/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4606" w:type="dxa"/>
            <w:vAlign w:val="center"/>
          </w:tcPr>
          <w:p w:rsidR="00CE1BD2" w:rsidRPr="00852041" w:rsidRDefault="00CE1BD2" w:rsidP="00CE1BD2">
            <w:pPr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852041">
              <w:rPr>
                <w:rFonts w:asciiTheme="majorHAnsi" w:hAnsiTheme="majorHAnsi"/>
                <w:sz w:val="20"/>
                <w:szCs w:val="20"/>
              </w:rPr>
              <w:t>Iné</w:t>
            </w:r>
          </w:p>
        </w:tc>
        <w:tc>
          <w:tcPr>
            <w:tcW w:w="2303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/>
              </w:rPr>
            </w:pPr>
          </w:p>
        </w:tc>
        <w:tc>
          <w:tcPr>
            <w:tcW w:w="2303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/>
              </w:rPr>
            </w:pPr>
          </w:p>
        </w:tc>
      </w:tr>
    </w:tbl>
    <w:p w:rsidR="00CE1BD2" w:rsidRPr="00B47D63" w:rsidRDefault="00CE1BD2" w:rsidP="00CE1BD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Dodatočné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informácie o sumách na podsúvahových účtoch: </w:t>
      </w:r>
    </w:p>
    <w:p w:rsidR="008E6698" w:rsidRDefault="008E6698" w:rsidP="008E6698">
      <w:pPr>
        <w:spacing w:before="24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1E0710">
        <w:rPr>
          <w:rFonts w:ascii="Cambria" w:hAnsi="Cambria" w:cs="Arial"/>
          <w:b/>
        </w:rPr>
        <w:t>Pre danú oblasť nemá účtovná jednotka obsahovú náplň.</w:t>
      </w:r>
    </w:p>
    <w:p w:rsidR="00CE1BD2" w:rsidRDefault="00CE1BD2" w:rsidP="00CE1BD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8E6698" w:rsidRDefault="008E6698" w:rsidP="00CE1BD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8E6698" w:rsidRDefault="008E6698" w:rsidP="00CE1BD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8E6698" w:rsidRDefault="008E6698" w:rsidP="00CE1BD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8E6698" w:rsidRDefault="008E6698" w:rsidP="00CE1BD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8E6698" w:rsidRDefault="008E6698" w:rsidP="00CE1BD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8E6698" w:rsidRPr="00B47D63" w:rsidRDefault="008E6698" w:rsidP="00CE1BD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Default="00CE1BD2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Default="00CE1BD2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Pr="00B47D63" w:rsidRDefault="00CE1BD2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Pr="00B47D63" w:rsidRDefault="00CE1BD2" w:rsidP="00CE1BD2">
      <w:pPr>
        <w:jc w:val="both"/>
        <w:rPr>
          <w:rFonts w:asciiTheme="majorHAnsi" w:hAnsiTheme="majorHAnsi" w:cs="Arial"/>
          <w:b/>
          <w:sz w:val="24"/>
          <w:szCs w:val="24"/>
        </w:rPr>
      </w:pPr>
      <w:r w:rsidRPr="00B47D63">
        <w:rPr>
          <w:rFonts w:asciiTheme="majorHAnsi" w:hAnsiTheme="majorHAnsi" w:cs="Arial"/>
          <w:b/>
          <w:sz w:val="24"/>
          <w:szCs w:val="24"/>
        </w:rPr>
        <w:t>Článok VI</w:t>
      </w:r>
      <w:r>
        <w:rPr>
          <w:rFonts w:asciiTheme="majorHAnsi" w:hAnsiTheme="majorHAnsi" w:cs="Arial"/>
          <w:b/>
          <w:sz w:val="24"/>
          <w:szCs w:val="24"/>
        </w:rPr>
        <w:t xml:space="preserve"> - </w:t>
      </w:r>
      <w:r w:rsidRPr="00B47D63">
        <w:rPr>
          <w:rFonts w:asciiTheme="majorHAnsi" w:hAnsiTheme="majorHAnsi" w:cs="Arial"/>
          <w:b/>
          <w:sz w:val="24"/>
          <w:szCs w:val="24"/>
        </w:rPr>
        <w:t>Udalosti, ktoré nastali po dni, ku ktorému sa zostavuje účtovná závierka</w:t>
      </w:r>
    </w:p>
    <w:tbl>
      <w:tblPr>
        <w:tblStyle w:val="Mriekatabu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1701"/>
        <w:gridCol w:w="1701"/>
        <w:gridCol w:w="1701"/>
      </w:tblGrid>
      <w:tr w:rsidR="00CE1BD2" w:rsidRPr="00B47D63" w:rsidTr="00CE1BD2">
        <w:tc>
          <w:tcPr>
            <w:tcW w:w="3969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Zoznam udalostí, ktoré nastali alebo sú</w:t>
            </w:r>
          </w:p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dôsledkom okolností po dni, ku ktorému sa zostavuje účtovná závierka</w:t>
            </w:r>
          </w:p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do dňa zostavenia účtovnej závierky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Dôvod</w:t>
            </w:r>
          </w:p>
        </w:tc>
        <w:tc>
          <w:tcPr>
            <w:tcW w:w="34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Hodnota</w:t>
            </w:r>
          </w:p>
        </w:tc>
      </w:tr>
      <w:tr w:rsidR="00CE1BD2" w:rsidRPr="00B47D63" w:rsidTr="00CE1BD2">
        <w:tc>
          <w:tcPr>
            <w:tcW w:w="3969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Bežné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obdobie</w:t>
            </w:r>
          </w:p>
        </w:tc>
      </w:tr>
      <w:tr w:rsidR="00CE1BD2" w:rsidRPr="00B47D63" w:rsidTr="00CE1BD2">
        <w:tc>
          <w:tcPr>
            <w:tcW w:w="3969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Pokles alebo zvýšenie trhovej ceny</w:t>
            </w:r>
          </w:p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finančného majetku ako dôsledku udalostí, ktoré nastali po dni, ku ktorému sa zostavuje účtovná závierka do dňa zostavenia účtovnej závierky, s uvedením dôvodu týchto zmien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CE1BD2" w:rsidRPr="00B47D63" w:rsidTr="00CE1BD2">
        <w:tc>
          <w:tcPr>
            <w:tcW w:w="3969" w:type="dxa"/>
            <w:vAlign w:val="center"/>
          </w:tcPr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Zmena výšky rezerv a opravných položiek, o ktorých sa účtovná jednotka dozvedela v hore uvedenom období</w:t>
            </w:r>
          </w:p>
        </w:tc>
        <w:tc>
          <w:tcPr>
            <w:tcW w:w="1701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3969" w:type="dxa"/>
            <w:vAlign w:val="center"/>
          </w:tcPr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Zmena spoločníkov účtovnej jednotky</w:t>
            </w:r>
          </w:p>
        </w:tc>
        <w:tc>
          <w:tcPr>
            <w:tcW w:w="1701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CE1BD2" w:rsidRPr="00B47D63" w:rsidTr="00CE1BD2">
        <w:tc>
          <w:tcPr>
            <w:tcW w:w="3969" w:type="dxa"/>
            <w:vAlign w:val="center"/>
          </w:tcPr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Prijatie rozhodnutia o predaji účtovnej jednotky, alebo jej časti</w:t>
            </w:r>
          </w:p>
        </w:tc>
        <w:tc>
          <w:tcPr>
            <w:tcW w:w="1701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CE1BD2" w:rsidRPr="00B47D63" w:rsidTr="00CE1BD2">
        <w:tc>
          <w:tcPr>
            <w:tcW w:w="3969" w:type="dxa"/>
            <w:vAlign w:val="center"/>
          </w:tcPr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Zmeny významných položiek dlhodobého</w:t>
            </w:r>
          </w:p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finančného majetku</w:t>
            </w:r>
          </w:p>
        </w:tc>
        <w:tc>
          <w:tcPr>
            <w:tcW w:w="1701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CE1BD2" w:rsidRPr="00B47D63" w:rsidTr="00CE1BD2">
        <w:tc>
          <w:tcPr>
            <w:tcW w:w="3969" w:type="dxa"/>
            <w:vAlign w:val="center"/>
          </w:tcPr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Začatie alebo ukončenie činnosti časti účtovnej jednotky (napr. prevádzkarne)</w:t>
            </w:r>
          </w:p>
        </w:tc>
        <w:tc>
          <w:tcPr>
            <w:tcW w:w="1701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CE1BD2" w:rsidRPr="00B47D63" w:rsidTr="00CE1BD2">
        <w:tc>
          <w:tcPr>
            <w:tcW w:w="3969" w:type="dxa"/>
            <w:vAlign w:val="center"/>
          </w:tcPr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Vydanie dlhopisov a iných cenných papierov</w:t>
            </w:r>
          </w:p>
        </w:tc>
        <w:tc>
          <w:tcPr>
            <w:tcW w:w="1701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CE1BD2" w:rsidRPr="00B47D63" w:rsidTr="00CE1BD2">
        <w:tc>
          <w:tcPr>
            <w:tcW w:w="3969" w:type="dxa"/>
            <w:vAlign w:val="center"/>
          </w:tcPr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Zlúčenie, splynutie, rozdelenie a zmena právnej formy</w:t>
            </w:r>
          </w:p>
        </w:tc>
        <w:tc>
          <w:tcPr>
            <w:tcW w:w="1701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CE1BD2" w:rsidRPr="00B47D63" w:rsidTr="00CE1BD2">
        <w:tc>
          <w:tcPr>
            <w:tcW w:w="3969" w:type="dxa"/>
            <w:vAlign w:val="center"/>
          </w:tcPr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Mimoriadne udalosti (napr. živelné pohromy)</w:t>
            </w:r>
          </w:p>
        </w:tc>
        <w:tc>
          <w:tcPr>
            <w:tcW w:w="1701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  <w:tr w:rsidR="00CE1BD2" w:rsidRPr="00B47D63" w:rsidTr="00CE1BD2">
        <w:tc>
          <w:tcPr>
            <w:tcW w:w="3969" w:type="dxa"/>
            <w:vAlign w:val="center"/>
          </w:tcPr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Získanie, alebo odobratie licencie alebo iného povolenia významného pre činnosť</w:t>
            </w:r>
          </w:p>
        </w:tc>
        <w:tc>
          <w:tcPr>
            <w:tcW w:w="1701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</w:tr>
    </w:tbl>
    <w:p w:rsidR="00CE1BD2" w:rsidRPr="00B47D63" w:rsidRDefault="00CE1BD2" w:rsidP="00CE1BD2">
      <w:pPr>
        <w:spacing w:line="240" w:lineRule="auto"/>
        <w:jc w:val="both"/>
        <w:rPr>
          <w:rFonts w:asciiTheme="majorHAnsi" w:hAnsiTheme="majorHAnsi" w:cs="Arial"/>
          <w:b/>
          <w:sz w:val="24"/>
          <w:szCs w:val="24"/>
        </w:rPr>
      </w:pPr>
    </w:p>
    <w:p w:rsidR="00CE1BD2" w:rsidRPr="00B47D63" w:rsidRDefault="00CE1BD2" w:rsidP="00CE1BD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Dodatočné 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skutočnostiach, ktoré nastali po dni, ku ktorému sa zostavuje účtovná závierka do dňa zostavenia účtovnej závierky: </w:t>
      </w:r>
    </w:p>
    <w:p w:rsidR="008E6698" w:rsidRDefault="008E6698" w:rsidP="008E6698">
      <w:pPr>
        <w:spacing w:before="24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1E0710">
        <w:rPr>
          <w:rFonts w:ascii="Cambria" w:hAnsi="Cambria" w:cs="Arial"/>
          <w:b/>
        </w:rPr>
        <w:t>Pre danú oblasť nemá účtovná jednotka obsahovú náplň.</w:t>
      </w:r>
    </w:p>
    <w:p w:rsidR="00CE1BD2" w:rsidRPr="00B47D63" w:rsidRDefault="00CE1BD2" w:rsidP="00CE1BD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Pr="00852041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852041">
        <w:rPr>
          <w:rFonts w:asciiTheme="majorHAnsi" w:eastAsia="MS Gothic" w:hAnsiTheme="majorHAnsi" w:cs="Arial"/>
          <w:b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Ak žiadne z</w:t>
      </w:r>
      <w:r>
        <w:rPr>
          <w:rFonts w:asciiTheme="majorHAnsi" w:eastAsia="MS Gothic" w:hAnsiTheme="majorHAnsi" w:cs="Arial"/>
          <w:b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 </w:t>
      </w:r>
      <w:r w:rsidRPr="00852041">
        <w:rPr>
          <w:rFonts w:asciiTheme="majorHAnsi" w:eastAsia="MS Gothic" w:hAnsiTheme="majorHAnsi" w:cs="Arial"/>
          <w:b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uvedených</w:t>
      </w:r>
      <w:r>
        <w:rPr>
          <w:rFonts w:asciiTheme="majorHAnsi" w:eastAsia="MS Gothic" w:hAnsiTheme="majorHAnsi" w:cs="Arial"/>
          <w:b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ani obdobných udalostí</w:t>
      </w:r>
      <w:r w:rsidRPr="00852041">
        <w:rPr>
          <w:rFonts w:asciiTheme="majorHAnsi" w:eastAsia="MS Gothic" w:hAnsiTheme="majorHAnsi" w:cs="Arial"/>
          <w:b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s rovnakým účinkom</w:t>
      </w:r>
      <w:r>
        <w:rPr>
          <w:rFonts w:asciiTheme="majorHAnsi" w:eastAsia="MS Gothic" w:hAnsiTheme="majorHAnsi" w:cs="Arial"/>
          <w:b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na účtovnú závierku</w:t>
      </w:r>
      <w:r w:rsidRPr="00852041">
        <w:rPr>
          <w:rFonts w:asciiTheme="majorHAnsi" w:eastAsia="MS Gothic" w:hAnsiTheme="majorHAnsi" w:cs="Arial"/>
          <w:b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nenastali, účtovná jednotka uvedie informáciu:</w:t>
      </w:r>
    </w:p>
    <w:p w:rsidR="00CE1BD2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V období medzi dňom, ku ktorému sa zostavuje účtovná závierka a dňom jej zostavenia</w:t>
      </w:r>
      <w:r w:rsidRPr="00852041">
        <w:rPr>
          <w:rFonts w:asciiTheme="majorHAnsi" w:eastAsia="MS Gothic" w:hAnsiTheme="majorHAnsi" w:cs="Arial"/>
          <w:b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nenastali žiadne udalosti, ktoré by mali významný vplyv na verné zobrazenie skutočností, ktoré sú predmetom účtovníctva.</w:t>
      </w:r>
    </w:p>
    <w:p w:rsidR="00CE1BD2" w:rsidRPr="002C2434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i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Zoznam udalostí (viď vyššie) je potom potrebné odstrániť.</w:t>
      </w:r>
    </w:p>
    <w:p w:rsidR="00CE1BD2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Pr="00B47D63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Pr="00B47D63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Default="00CE1BD2" w:rsidP="00CE1BD2">
      <w:pPr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 w:cs="Arial"/>
          <w:b/>
          <w:sz w:val="24"/>
          <w:szCs w:val="24"/>
        </w:rPr>
        <w:t xml:space="preserve">Článok VII - </w:t>
      </w:r>
      <w:r w:rsidRPr="00B47D63">
        <w:rPr>
          <w:rFonts w:asciiTheme="majorHAnsi" w:hAnsiTheme="majorHAnsi" w:cs="Arial"/>
          <w:b/>
          <w:sz w:val="24"/>
          <w:szCs w:val="24"/>
        </w:rPr>
        <w:t>Ostatné informácie</w:t>
      </w:r>
    </w:p>
    <w:p w:rsidR="00CE1BD2" w:rsidRPr="00BF4868" w:rsidRDefault="00CE1BD2" w:rsidP="00CE1BD2">
      <w:pPr>
        <w:jc w:val="both"/>
        <w:rPr>
          <w:rFonts w:asciiTheme="majorHAnsi" w:hAnsiTheme="majorHAnsi" w:cs="Arial"/>
          <w:b/>
        </w:rPr>
      </w:pPr>
      <w:r>
        <w:rPr>
          <w:rFonts w:asciiTheme="majorHAnsi" w:hAnsiTheme="majorHAnsi" w:cs="Arial"/>
          <w:b/>
        </w:rPr>
        <w:t>VI</w:t>
      </w:r>
      <w:r w:rsidRPr="00BF4868">
        <w:rPr>
          <w:rFonts w:asciiTheme="majorHAnsi" w:hAnsiTheme="majorHAnsi" w:cs="Arial"/>
          <w:b/>
        </w:rPr>
        <w:t>I. 1</w:t>
      </w:r>
      <w:r>
        <w:rPr>
          <w:rFonts w:asciiTheme="majorHAnsi" w:hAnsiTheme="majorHAnsi" w:cs="Arial"/>
          <w:b/>
        </w:rPr>
        <w:t xml:space="preserve"> a) – c) </w:t>
      </w:r>
      <w:r w:rsidRPr="00BF4868">
        <w:rPr>
          <w:rFonts w:asciiTheme="majorHAnsi" w:hAnsiTheme="majorHAnsi" w:cs="Arial"/>
          <w:b/>
        </w:rPr>
        <w:t xml:space="preserve"> </w:t>
      </w:r>
      <w:r w:rsidRPr="00BF4868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</w:t>
      </w:r>
      <w:r w:rsidRPr="00BF4868">
        <w:rPr>
          <w:rFonts w:asciiTheme="majorHAnsi" w:hAnsiTheme="majorHAnsi" w:cs="Arial"/>
          <w:b/>
        </w:rPr>
        <w:t>o výlučných právach alebo osobitných právach udelených účtovnej jednotke</w:t>
      </w:r>
    </w:p>
    <w:p w:rsidR="00CE1BD2" w:rsidRPr="000F1CED" w:rsidRDefault="00CE1BD2" w:rsidP="00CE1BD2">
      <w:p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0F1CED">
        <w:rPr>
          <w:rFonts w:asciiTheme="majorHAnsi" w:hAnsiTheme="majorHAnsi" w:cs="Arial"/>
          <w:sz w:val="20"/>
          <w:szCs w:val="20"/>
        </w:rPr>
        <w:t>Účtovná jednotka uvedie informácie o udelení výlučného alebo osobitného práva na poskytovanie služieb vo verejnom záujme, pričom uvedie aj náhradu za túto činnosť v akejkoľvek forme. Ak účtovná jednotka vykonáva aj iné činnosti, uvádzajú sa aj informácie o:</w:t>
      </w:r>
    </w:p>
    <w:p w:rsidR="00CE1BD2" w:rsidRPr="000F1CED" w:rsidRDefault="00CE1BD2" w:rsidP="00CE1BD2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0F1CED">
        <w:rPr>
          <w:rFonts w:asciiTheme="majorHAnsi" w:hAnsiTheme="majorHAnsi" w:cs="Arial"/>
          <w:sz w:val="20"/>
          <w:szCs w:val="20"/>
        </w:rPr>
        <w:t>všetkých formách prijatej náhrady</w:t>
      </w:r>
    </w:p>
    <w:p w:rsidR="00CE1BD2" w:rsidRPr="000F1CED" w:rsidRDefault="00CE1BD2" w:rsidP="00CE1BD2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0F1CED">
        <w:rPr>
          <w:rFonts w:asciiTheme="majorHAnsi" w:hAnsiTheme="majorHAnsi" w:cs="Arial"/>
          <w:sz w:val="20"/>
          <w:szCs w:val="20"/>
        </w:rPr>
        <w:t>účtovných zásadách použitých pri prideľovaní nákladov a výnosov a</w:t>
      </w:r>
    </w:p>
    <w:p w:rsidR="00CE1BD2" w:rsidRPr="000F1CED" w:rsidRDefault="00CE1BD2" w:rsidP="00CE1BD2">
      <w:pPr>
        <w:pStyle w:val="Odsekzoznamu"/>
        <w:numPr>
          <w:ilvl w:val="0"/>
          <w:numId w:val="18"/>
        </w:numPr>
        <w:spacing w:after="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0F1CED">
        <w:rPr>
          <w:rFonts w:asciiTheme="majorHAnsi" w:hAnsiTheme="majorHAnsi" w:cs="Arial"/>
          <w:sz w:val="20"/>
          <w:szCs w:val="20"/>
        </w:rPr>
        <w:t>všetkých druhoch činnosti účtovnej jednotky.</w:t>
      </w:r>
    </w:p>
    <w:p w:rsidR="00CE1BD2" w:rsidRDefault="00CE1BD2" w:rsidP="00CE1BD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8E6698" w:rsidRPr="008E6698" w:rsidRDefault="008E6698" w:rsidP="00CE1BD2">
      <w:pPr>
        <w:spacing w:before="24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1E0710">
        <w:rPr>
          <w:rFonts w:ascii="Cambria" w:hAnsi="Cambria" w:cs="Arial"/>
          <w:b/>
        </w:rPr>
        <w:t>Pre danú oblasť nemá účtovná jednotka obsahovú náplň.</w:t>
      </w:r>
    </w:p>
    <w:p w:rsidR="00CE1BD2" w:rsidRPr="00FA7671" w:rsidRDefault="00CE1BD2" w:rsidP="00CE1BD2">
      <w:pPr>
        <w:spacing w:before="240" w:line="240" w:lineRule="auto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VII. 2 a) a b) </w:t>
      </w:r>
      <w:r w:rsidRPr="00FA7671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týkajúce sa účtovnej jednotky, na ktorú sa vzťahuje § 23d ods. 6 </w:t>
      </w:r>
      <w:proofErr w:type="spellStart"/>
      <w:r w:rsidRPr="00FA7671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FA7671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, jej činnosť   je zaradená do kategórie priemyselnej výroby a jej čistý obrat za</w:t>
      </w:r>
      <w:r w:rsidRPr="00FA7671">
        <w:rPr>
          <w:rFonts w:asciiTheme="majorHAnsi" w:hAnsiTheme="majorHAnsi" w:cs="Arial"/>
        </w:rPr>
        <w:t xml:space="preserve"> </w:t>
      </w:r>
      <w:r w:rsidRPr="00FA7671"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bezprostredne predchádzajúce účtovné obdobie bol väčší ako 250 000 000 €:</w:t>
      </w:r>
    </w:p>
    <w:p w:rsidR="00CE1BD2" w:rsidRPr="00B47D63" w:rsidRDefault="00CE1BD2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1843"/>
        <w:gridCol w:w="1843"/>
      </w:tblGrid>
      <w:tr w:rsidR="00CE1BD2" w:rsidRPr="00B47D63" w:rsidTr="00CE1BD2">
        <w:tc>
          <w:tcPr>
            <w:tcW w:w="1842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Informácie o</w:t>
            </w:r>
          </w:p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</w:p>
        </w:tc>
        <w:tc>
          <w:tcPr>
            <w:tcW w:w="36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CE1BD2" w:rsidRPr="00B47D63" w:rsidTr="00CE1BD2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68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Vlastníctvo pripadajúce na:</w:t>
            </w:r>
          </w:p>
        </w:tc>
        <w:tc>
          <w:tcPr>
            <w:tcW w:w="36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Vlastníctvo pripadajúce na:</w:t>
            </w:r>
          </w:p>
        </w:tc>
      </w:tr>
      <w:tr w:rsidR="00CE1BD2" w:rsidRPr="00B47D63" w:rsidTr="00CE1BD2">
        <w:tc>
          <w:tcPr>
            <w:tcW w:w="1842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orgány verejnej              moci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iné osoby,</w:t>
            </w:r>
          </w:p>
          <w:p w:rsidR="00CE1BD2" w:rsidRPr="00B47D63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 ktorých má orgán verejnej moci väčšinový podiel na hlasovacích právach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orgány verejnej moci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iné osoby,</w:t>
            </w:r>
          </w:p>
          <w:p w:rsidR="00CE1BD2" w:rsidRPr="00B47D63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 ktorých má orgán verejnej moci väčšinový podiel na hlasovacích právach</w:t>
            </w:r>
          </w:p>
        </w:tc>
      </w:tr>
      <w:tr w:rsidR="00CE1BD2" w:rsidRPr="00B47D63" w:rsidTr="00CE1BD2">
        <w:trPr>
          <w:trHeight w:val="340"/>
        </w:trPr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Výška ZI</w:t>
            </w: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1842" w:type="dxa"/>
            <w:vAlign w:val="center"/>
          </w:tcPr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akcií</w:t>
            </w:r>
            <w:r>
              <w:rPr>
                <w:rFonts w:asciiTheme="majorHAnsi" w:hAnsiTheme="majorHAnsi" w:cs="Arial"/>
                <w:sz w:val="20"/>
                <w:szCs w:val="20"/>
              </w:rPr>
              <w:t>/CP</w:t>
            </w:r>
          </w:p>
        </w:tc>
        <w:tc>
          <w:tcPr>
            <w:tcW w:w="1842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E1BD2" w:rsidRPr="00B47D63" w:rsidTr="00CE1BD2">
        <w:tc>
          <w:tcPr>
            <w:tcW w:w="1842" w:type="dxa"/>
            <w:vAlign w:val="center"/>
          </w:tcPr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lastRenderedPageBreak/>
              <w:t>Opis práv a povinností s nimi spojených</w:t>
            </w:r>
          </w:p>
        </w:tc>
        <w:tc>
          <w:tcPr>
            <w:tcW w:w="1842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E1BD2" w:rsidRPr="00B47D63" w:rsidTr="00CE1BD2">
        <w:tc>
          <w:tcPr>
            <w:tcW w:w="1842" w:type="dxa"/>
            <w:vAlign w:val="center"/>
          </w:tcPr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Percentuálny podiel na celkovom ZI alebo hodnote</w:t>
            </w:r>
          </w:p>
        </w:tc>
        <w:tc>
          <w:tcPr>
            <w:tcW w:w="1842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E1BD2" w:rsidRPr="00B47D63" w:rsidTr="00CE1BD2">
        <w:tc>
          <w:tcPr>
            <w:tcW w:w="1842" w:type="dxa"/>
            <w:vAlign w:val="center"/>
          </w:tcPr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Percentuálna výška podielu na ZI</w:t>
            </w:r>
          </w:p>
        </w:tc>
        <w:tc>
          <w:tcPr>
            <w:tcW w:w="1842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E1BD2" w:rsidRPr="00B47D63" w:rsidTr="00CE1BD2">
        <w:tc>
          <w:tcPr>
            <w:tcW w:w="1842" w:type="dxa"/>
            <w:vAlign w:val="center"/>
          </w:tcPr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Hlasovacie práva spojené s vlastníctvom podielov</w:t>
            </w:r>
          </w:p>
        </w:tc>
        <w:tc>
          <w:tcPr>
            <w:tcW w:w="1842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E1BD2" w:rsidRPr="00B47D63" w:rsidTr="00CE1BD2">
        <w:tc>
          <w:tcPr>
            <w:tcW w:w="1842" w:type="dxa"/>
            <w:shd w:val="clear" w:color="auto" w:fill="DEEAF6" w:themeFill="accent5" w:themeFillTint="33"/>
            <w:vAlign w:val="center"/>
          </w:tcPr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Druh akcií</w:t>
            </w:r>
            <w:r>
              <w:rPr>
                <w:rFonts w:asciiTheme="majorHAnsi" w:hAnsiTheme="majorHAnsi" w:cs="Arial"/>
                <w:sz w:val="20"/>
                <w:szCs w:val="20"/>
              </w:rPr>
              <w:t>/CP</w:t>
            </w:r>
          </w:p>
        </w:tc>
        <w:tc>
          <w:tcPr>
            <w:tcW w:w="1842" w:type="dxa"/>
            <w:shd w:val="clear" w:color="auto" w:fill="DEEAF6" w:themeFill="accent5" w:themeFillTint="33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shd w:val="clear" w:color="auto" w:fill="DEEAF6" w:themeFill="accent5" w:themeFillTint="33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shd w:val="clear" w:color="auto" w:fill="DEEAF6" w:themeFill="accent5" w:themeFillTint="33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shd w:val="clear" w:color="auto" w:fill="DEEAF6" w:themeFill="accent5" w:themeFillTint="33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E1BD2" w:rsidRPr="00B47D63" w:rsidTr="00CE1BD2">
        <w:tc>
          <w:tcPr>
            <w:tcW w:w="1842" w:type="dxa"/>
            <w:shd w:val="clear" w:color="auto" w:fill="DEEAF6" w:themeFill="accent5" w:themeFillTint="33"/>
            <w:vAlign w:val="center"/>
          </w:tcPr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Opis práv a povinností s nimi spojených</w:t>
            </w:r>
          </w:p>
        </w:tc>
        <w:tc>
          <w:tcPr>
            <w:tcW w:w="1842" w:type="dxa"/>
            <w:shd w:val="clear" w:color="auto" w:fill="DEEAF6" w:themeFill="accent5" w:themeFillTint="33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shd w:val="clear" w:color="auto" w:fill="DEEAF6" w:themeFill="accent5" w:themeFillTint="33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shd w:val="clear" w:color="auto" w:fill="DEEAF6" w:themeFill="accent5" w:themeFillTint="33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shd w:val="clear" w:color="auto" w:fill="DEEAF6" w:themeFill="accent5" w:themeFillTint="33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E1BD2" w:rsidRPr="00B47D63" w:rsidTr="00CE1BD2">
        <w:tc>
          <w:tcPr>
            <w:tcW w:w="1842" w:type="dxa"/>
            <w:shd w:val="clear" w:color="auto" w:fill="DEEAF6" w:themeFill="accent5" w:themeFillTint="33"/>
            <w:vAlign w:val="center"/>
          </w:tcPr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Percentuálny podiel na celkovom ZI alebo hodnote</w:t>
            </w:r>
          </w:p>
        </w:tc>
        <w:tc>
          <w:tcPr>
            <w:tcW w:w="1842" w:type="dxa"/>
            <w:shd w:val="clear" w:color="auto" w:fill="DEEAF6" w:themeFill="accent5" w:themeFillTint="33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shd w:val="clear" w:color="auto" w:fill="DEEAF6" w:themeFill="accent5" w:themeFillTint="33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shd w:val="clear" w:color="auto" w:fill="DEEAF6" w:themeFill="accent5" w:themeFillTint="33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shd w:val="clear" w:color="auto" w:fill="DEEAF6" w:themeFill="accent5" w:themeFillTint="33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E1BD2" w:rsidRPr="00B47D63" w:rsidTr="00CE1BD2">
        <w:tc>
          <w:tcPr>
            <w:tcW w:w="1842" w:type="dxa"/>
            <w:shd w:val="clear" w:color="auto" w:fill="DEEAF6" w:themeFill="accent5" w:themeFillTint="33"/>
            <w:vAlign w:val="center"/>
          </w:tcPr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Percentuálna výška podielu na ZI</w:t>
            </w:r>
          </w:p>
        </w:tc>
        <w:tc>
          <w:tcPr>
            <w:tcW w:w="1842" w:type="dxa"/>
            <w:shd w:val="clear" w:color="auto" w:fill="DEEAF6" w:themeFill="accent5" w:themeFillTint="33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shd w:val="clear" w:color="auto" w:fill="DEEAF6" w:themeFill="accent5" w:themeFillTint="33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shd w:val="clear" w:color="auto" w:fill="DEEAF6" w:themeFill="accent5" w:themeFillTint="33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shd w:val="clear" w:color="auto" w:fill="DEEAF6" w:themeFill="accent5" w:themeFillTint="33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E1BD2" w:rsidRPr="00B47D63" w:rsidTr="00CE1BD2">
        <w:tc>
          <w:tcPr>
            <w:tcW w:w="1842" w:type="dxa"/>
            <w:shd w:val="clear" w:color="auto" w:fill="DEEAF6" w:themeFill="accent5" w:themeFillTint="33"/>
            <w:vAlign w:val="center"/>
          </w:tcPr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Hlasovacie práva spojené s vlastníctvom podielov</w:t>
            </w:r>
          </w:p>
        </w:tc>
        <w:tc>
          <w:tcPr>
            <w:tcW w:w="1842" w:type="dxa"/>
            <w:shd w:val="clear" w:color="auto" w:fill="DEEAF6" w:themeFill="accent5" w:themeFillTint="33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2" w:type="dxa"/>
            <w:shd w:val="clear" w:color="auto" w:fill="DEEAF6" w:themeFill="accent5" w:themeFillTint="33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shd w:val="clear" w:color="auto" w:fill="DEEAF6" w:themeFill="accent5" w:themeFillTint="33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843" w:type="dxa"/>
            <w:shd w:val="clear" w:color="auto" w:fill="DEEAF6" w:themeFill="accent5" w:themeFillTint="33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E1BD2" w:rsidRDefault="00CE1BD2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8E6698" w:rsidRDefault="008E6698" w:rsidP="008E6698">
      <w:pPr>
        <w:spacing w:before="24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1E0710">
        <w:rPr>
          <w:rFonts w:ascii="Cambria" w:hAnsi="Cambria" w:cs="Arial"/>
          <w:b/>
        </w:rPr>
        <w:t>Pre danú oblasť nemá účtovná jednotka obsahovú náplň.</w:t>
      </w:r>
    </w:p>
    <w:p w:rsidR="00CE1BD2" w:rsidRDefault="00CE1BD2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8E6698" w:rsidRDefault="008E6698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8E6698" w:rsidRDefault="008E6698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8E6698" w:rsidRDefault="008E6698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8E6698" w:rsidRDefault="008E6698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8E6698" w:rsidRDefault="008E6698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8E6698" w:rsidRDefault="008E6698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8E6698" w:rsidRDefault="008E6698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Pr="0030581B" w:rsidRDefault="00CE1BD2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VII. 2 c) – g)  I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nformácie týkajúce sa účtovnej jednotky, na ktorú sa vzťahuje § 23d ods. 6 </w:t>
      </w:r>
      <w:proofErr w:type="spellStart"/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, jej činnosť je zaradená do kategórie priemyselnej výroby a jej čistý obrat za</w:t>
      </w:r>
      <w:r w:rsidRPr="00B47D63">
        <w:rPr>
          <w:rFonts w:asciiTheme="majorHAnsi" w:hAnsiTheme="majorHAnsi" w:cs="Arial"/>
          <w:sz w:val="20"/>
          <w:szCs w:val="20"/>
        </w:rPr>
        <w:t xml:space="preserve"> </w:t>
      </w:r>
      <w:r w:rsidRPr="00B47D63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bezprostredne predchádzajúce účtovné obdobie bol väčší ako 250 000 000 €:</w:t>
      </w:r>
    </w:p>
    <w:p w:rsidR="00CE1BD2" w:rsidRPr="00B47D63" w:rsidRDefault="00CE1BD2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454"/>
        <w:gridCol w:w="2879"/>
        <w:gridCol w:w="2879"/>
      </w:tblGrid>
      <w:tr w:rsidR="00CE1BD2" w:rsidRPr="00B47D63" w:rsidTr="00CE1BD2">
        <w:tc>
          <w:tcPr>
            <w:tcW w:w="345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Informácie o</w:t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t> výške</w:t>
            </w:r>
          </w:p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nasledovných položiek</w:t>
            </w:r>
          </w:p>
        </w:tc>
        <w:tc>
          <w:tcPr>
            <w:tcW w:w="57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Suma</w:t>
            </w:r>
          </w:p>
        </w:tc>
      </w:tr>
      <w:tr w:rsidR="00CE1BD2" w:rsidRPr="00B47D63" w:rsidTr="00CE1BD2">
        <w:tc>
          <w:tcPr>
            <w:tcW w:w="3454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CE1BD2" w:rsidRPr="00B47D63" w:rsidTr="00CE1BD2">
        <w:trPr>
          <w:trHeight w:val="340"/>
        </w:trPr>
        <w:tc>
          <w:tcPr>
            <w:tcW w:w="3454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Dotácie</w:t>
            </w: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3454" w:type="dxa"/>
            <w:vAlign w:val="center"/>
          </w:tcPr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Návratné finančné výpomoci</w:t>
            </w:r>
          </w:p>
        </w:tc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3454" w:type="dxa"/>
            <w:vAlign w:val="center"/>
          </w:tcPr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Prijaté úvery</w:t>
            </w:r>
          </w:p>
        </w:tc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3454" w:type="dxa"/>
            <w:vAlign w:val="center"/>
          </w:tcPr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Poskytnut</w:t>
            </w:r>
            <w:r>
              <w:rPr>
                <w:rFonts w:asciiTheme="majorHAnsi" w:hAnsiTheme="majorHAnsi" w:cs="Arial"/>
                <w:sz w:val="20"/>
                <w:szCs w:val="20"/>
              </w:rPr>
              <w:t>é</w:t>
            </w:r>
            <w:r w:rsidRPr="00B47D63">
              <w:rPr>
                <w:rFonts w:asciiTheme="majorHAnsi" w:hAnsiTheme="majorHAnsi" w:cs="Arial"/>
                <w:sz w:val="20"/>
                <w:szCs w:val="20"/>
              </w:rPr>
              <w:t xml:space="preserve"> prečerpania úverov</w:t>
            </w:r>
          </w:p>
        </w:tc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3454" w:type="dxa"/>
            <w:vAlign w:val="center"/>
          </w:tcPr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Prijaté kapitálové príspevky s uvedením úrokových sadzieb</w:t>
            </w:r>
          </w:p>
        </w:tc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3454" w:type="dxa"/>
            <w:vAlign w:val="center"/>
          </w:tcPr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Podmienky poskytnutia úveru</w:t>
            </w:r>
          </w:p>
        </w:tc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3454" w:type="dxa"/>
            <w:vAlign w:val="center"/>
          </w:tcPr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Záruky poskytnuté účtovnou jednotkou</w:t>
            </w:r>
          </w:p>
        </w:tc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3454" w:type="dxa"/>
            <w:vAlign w:val="center"/>
          </w:tcPr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Záruky poskytnuté orgánom verejnej správy</w:t>
            </w:r>
          </w:p>
        </w:tc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3454" w:type="dxa"/>
            <w:vAlign w:val="center"/>
          </w:tcPr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Záruky poskytnuté inou účtovnou jednotkou, v ktorej má orgán verejnej moci väčšinový podiel na hlasovacích právach</w:t>
            </w:r>
          </w:p>
        </w:tc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3454" w:type="dxa"/>
            <w:vAlign w:val="center"/>
          </w:tcPr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Vyplatené dividendy</w:t>
            </w:r>
          </w:p>
        </w:tc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3454" w:type="dxa"/>
            <w:vAlign w:val="center"/>
          </w:tcPr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Výška nerozdeleného zisku</w:t>
            </w:r>
          </w:p>
        </w:tc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3454" w:type="dxa"/>
            <w:vAlign w:val="center"/>
          </w:tcPr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Iné formy prijatej štátnej pomoci</w:t>
            </w:r>
          </w:p>
        </w:tc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E1BD2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8E6698" w:rsidRDefault="008E6698" w:rsidP="008E6698">
      <w:pPr>
        <w:spacing w:before="24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1E0710">
        <w:rPr>
          <w:rFonts w:ascii="Cambria" w:hAnsi="Cambria" w:cs="Arial"/>
          <w:b/>
        </w:rPr>
        <w:t>Pre danú oblasť nemá účtovná jednotka obsahovú náplň.</w:t>
      </w:r>
    </w:p>
    <w:p w:rsidR="00CE1BD2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Pr="00EF1769" w:rsidRDefault="00CE1BD2" w:rsidP="00CE1BD2">
      <w:pPr>
        <w:pStyle w:val="Odsekzoznamu"/>
        <w:spacing w:after="0" w:line="240" w:lineRule="auto"/>
        <w:ind w:left="0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EF1769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VII. 3  Informácie týkajúce sa účtovnej jednotky, na ktorú sa vzťahuje § 23d ods. 6 </w:t>
      </w:r>
      <w:proofErr w:type="spellStart"/>
      <w:r w:rsidRPr="00EF1769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ZoÚ</w:t>
      </w:r>
      <w:proofErr w:type="spellEnd"/>
      <w:r w:rsidRPr="00EF1769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, jej činnosť je zaradená do kategórie priemyselnej výroby a jej čistý obrat za bezprostredne predchádzajúce účtovné obdobie bol väčší ako 250 000 000 € -  finančné vzťahy  medzi orgánom verejnej moci a účtovnou jednotkou:</w:t>
      </w:r>
    </w:p>
    <w:p w:rsidR="00CE1BD2" w:rsidRPr="00B47D63" w:rsidRDefault="00CE1BD2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tbl>
      <w:tblPr>
        <w:tblStyle w:val="Mriekatabuky"/>
        <w:tblW w:w="921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454"/>
        <w:gridCol w:w="2879"/>
        <w:gridCol w:w="2879"/>
      </w:tblGrid>
      <w:tr w:rsidR="00CE1BD2" w:rsidRPr="00B47D63" w:rsidTr="00CE1BD2">
        <w:tc>
          <w:tcPr>
            <w:tcW w:w="3454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Informácie o</w:t>
            </w:r>
          </w:p>
        </w:tc>
        <w:tc>
          <w:tcPr>
            <w:tcW w:w="57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Suma</w:t>
            </w:r>
          </w:p>
        </w:tc>
      </w:tr>
      <w:tr w:rsidR="00CE1BD2" w:rsidRPr="00B47D63" w:rsidTr="00CE1BD2">
        <w:tc>
          <w:tcPr>
            <w:tcW w:w="3454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Bežné účtovné obdobie</w:t>
            </w:r>
          </w:p>
        </w:tc>
        <w:tc>
          <w:tcPr>
            <w:tcW w:w="28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b/>
                <w:sz w:val="20"/>
                <w:szCs w:val="20"/>
              </w:rPr>
              <w:t>Bezprostredne predchádzajúce účtovné obdobie</w:t>
            </w:r>
          </w:p>
        </w:tc>
      </w:tr>
      <w:tr w:rsidR="00CE1BD2" w:rsidRPr="00B47D63" w:rsidTr="00CE1BD2">
        <w:trPr>
          <w:trHeight w:val="340"/>
        </w:trPr>
        <w:tc>
          <w:tcPr>
            <w:tcW w:w="3454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Náhrady strát z hospodárskej činnosti</w:t>
            </w: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tcBorders>
              <w:top w:val="single" w:sz="12" w:space="0" w:color="auto"/>
            </w:tcBorders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3454" w:type="dxa"/>
            <w:vAlign w:val="center"/>
          </w:tcPr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Peňažné vklady</w:t>
            </w:r>
          </w:p>
        </w:tc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3454" w:type="dxa"/>
            <w:vAlign w:val="center"/>
          </w:tcPr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Nepeňažné vklady</w:t>
            </w:r>
          </w:p>
        </w:tc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3454" w:type="dxa"/>
            <w:vAlign w:val="center"/>
          </w:tcPr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Nenávratné finančné príspevky</w:t>
            </w:r>
          </w:p>
        </w:tc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3454" w:type="dxa"/>
            <w:vAlign w:val="center"/>
          </w:tcPr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Pôžičky za zvýhodnených podmienok</w:t>
            </w:r>
          </w:p>
        </w:tc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3454" w:type="dxa"/>
            <w:vAlign w:val="center"/>
          </w:tcPr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Finančné výhody (napr. nevymáhanie pohľadávky voči účtovnej jednotke)</w:t>
            </w:r>
          </w:p>
        </w:tc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3454" w:type="dxa"/>
            <w:vAlign w:val="center"/>
          </w:tcPr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Vzdanie sa dividend alebo podielov na zisku</w:t>
            </w:r>
          </w:p>
        </w:tc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E1BD2" w:rsidRPr="00B47D63" w:rsidTr="00CE1BD2">
        <w:trPr>
          <w:trHeight w:val="340"/>
        </w:trPr>
        <w:tc>
          <w:tcPr>
            <w:tcW w:w="3454" w:type="dxa"/>
            <w:vAlign w:val="center"/>
          </w:tcPr>
          <w:p w:rsidR="00CE1BD2" w:rsidRPr="00B47D63" w:rsidRDefault="00CE1BD2" w:rsidP="00CE1BD2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47D63">
              <w:rPr>
                <w:rFonts w:asciiTheme="majorHAnsi" w:hAnsiTheme="majorHAnsi" w:cs="Arial"/>
                <w:sz w:val="20"/>
                <w:szCs w:val="20"/>
              </w:rPr>
              <w:t>Poskytnuté náhrady za finančné povinnosti uložené orgánom verejnej moci</w:t>
            </w:r>
          </w:p>
        </w:tc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79" w:type="dxa"/>
            <w:vAlign w:val="center"/>
          </w:tcPr>
          <w:p w:rsidR="00CE1BD2" w:rsidRPr="00B47D63" w:rsidRDefault="00CE1BD2" w:rsidP="00CE1BD2">
            <w:pPr>
              <w:jc w:val="both"/>
              <w:rPr>
                <w:rFonts w:asciiTheme="majorHAnsi" w:eastAsia="MS Gothic" w:hAnsiTheme="majorHAnsi" w:cs="Arial"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:rsidR="00CE1BD2" w:rsidRPr="00B47D63" w:rsidRDefault="00CE1BD2" w:rsidP="00CE1BD2">
      <w:pPr>
        <w:spacing w:after="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8E6698" w:rsidRDefault="008E6698" w:rsidP="008E6698">
      <w:pPr>
        <w:spacing w:before="240" w:line="240" w:lineRule="auto"/>
        <w:jc w:val="both"/>
        <w:rPr>
          <w:rFonts w:asciiTheme="majorHAnsi" w:hAnsiTheme="majorHAnsi" w:cs="Arial"/>
          <w:sz w:val="20"/>
          <w:szCs w:val="20"/>
        </w:rPr>
      </w:pPr>
      <w:r w:rsidRPr="001E0710">
        <w:rPr>
          <w:rFonts w:ascii="Cambria" w:hAnsi="Cambria" w:cs="Arial"/>
          <w:b/>
        </w:rPr>
        <w:t>Pre danú oblasť nemá účtovná jednotka obsahovú náplň.</w:t>
      </w:r>
    </w:p>
    <w:p w:rsidR="00CE1BD2" w:rsidRDefault="00CE1BD2" w:rsidP="00CE1BD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bookmarkStart w:id="1" w:name="_GoBack"/>
      <w:bookmarkEnd w:id="1"/>
    </w:p>
    <w:p w:rsidR="00CE1BD2" w:rsidRDefault="00CE1BD2" w:rsidP="00CE1BD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Nitra , </w:t>
      </w:r>
      <w:r w:rsidR="008E6698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13</w:t>
      </w:r>
      <w:r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.06.201</w:t>
      </w:r>
      <w:r w:rsidR="008E6698"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9</w:t>
      </w:r>
    </w:p>
    <w:p w:rsidR="00CE1BD2" w:rsidRDefault="00CE1BD2" w:rsidP="00CE1BD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CE1BD2" w:rsidRDefault="00CE1BD2" w:rsidP="00CE1BD2">
      <w:pPr>
        <w:spacing w:before="240" w:line="240" w:lineRule="auto"/>
        <w:jc w:val="both"/>
        <w:rPr>
          <w:rFonts w:asciiTheme="majorHAnsi" w:eastAsia="MS Gothic" w:hAnsiTheme="majorHAnsi" w:cs="Arial"/>
          <w:b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:rsidR="00034182" w:rsidRDefault="00034182"/>
    <w:sectPr w:rsidR="0003418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6AA2" w:rsidRDefault="003E6AA2" w:rsidP="00CE1BD2">
      <w:pPr>
        <w:spacing w:after="0" w:line="240" w:lineRule="auto"/>
      </w:pPr>
      <w:r>
        <w:separator/>
      </w:r>
    </w:p>
  </w:endnote>
  <w:endnote w:type="continuationSeparator" w:id="0">
    <w:p w:rsidR="003E6AA2" w:rsidRDefault="003E6AA2" w:rsidP="00CE1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6AA2" w:rsidRDefault="003E6AA2" w:rsidP="00CE1BD2">
      <w:pPr>
        <w:spacing w:after="0" w:line="240" w:lineRule="auto"/>
      </w:pPr>
      <w:r>
        <w:separator/>
      </w:r>
    </w:p>
  </w:footnote>
  <w:footnote w:type="continuationSeparator" w:id="0">
    <w:p w:rsidR="003E6AA2" w:rsidRDefault="003E6AA2" w:rsidP="00CE1B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E1BD2" w:rsidRDefault="00CE1BD2" w:rsidP="00CE1BD2">
    <w:pPr>
      <w:pStyle w:val="Hlavika"/>
      <w:rPr>
        <w:rFonts w:asciiTheme="majorHAnsi" w:hAnsiTheme="majorHAnsi"/>
      </w:rPr>
    </w:pPr>
  </w:p>
  <w:p w:rsidR="00CE1BD2" w:rsidRPr="006A6ED1" w:rsidRDefault="00CE1BD2" w:rsidP="00CE1BD2">
    <w:pPr>
      <w:pStyle w:val="Hlavika"/>
      <w:jc w:val="right"/>
      <w:rPr>
        <w:color w:val="2F5496" w:themeColor="accent1" w:themeShade="BF"/>
        <w:sz w:val="36"/>
        <w:szCs w:val="36"/>
      </w:rPr>
    </w:pPr>
    <w:r>
      <w:rPr>
        <w:noProof/>
        <w:color w:val="4472C4" w:themeColor="accent1"/>
        <w:lang w:eastAsia="sk-SK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92592C5" wp14:editId="517C443E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4041530" cy="1003564"/>
              <wp:effectExtent l="0" t="57150" r="35170" b="25136"/>
              <wp:wrapNone/>
              <wp:docPr id="63" name="Group 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41530" cy="1003564"/>
                        <a:chOff x="0" y="-40192"/>
                        <a:chExt cx="4041530" cy="1003564"/>
                      </a:xfrm>
                    </wpg:grpSpPr>
                    <wps:wsp>
                      <wps:cNvPr id="57" name="Straight Connector 57"/>
                      <wps:cNvCnPr/>
                      <wps:spPr>
                        <a:xfrm flipV="1">
                          <a:off x="459084" y="-40192"/>
                          <a:ext cx="3582446" cy="969053"/>
                        </a:xfrm>
                        <a:prstGeom prst="lin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solidFill>
                            <a:schemeClr val="accent1">
                              <a:lumMod val="60000"/>
                              <a:lumOff val="40000"/>
                            </a:schemeClr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2" name="Oval 62"/>
                      <wps:cNvSpPr/>
                      <wps:spPr>
                        <a:xfrm>
                          <a:off x="0" y="50242"/>
                          <a:ext cx="1014730" cy="913130"/>
                        </a:xfrm>
                        <a:prstGeom prst="ellipse">
                          <a:avLst/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tint val="23500"/>
                                <a:satMod val="16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  <a:scene3d>
                          <a:camera prst="perspectiveContrastingRightFacing"/>
                          <a:lightRig rig="twoPt" dir="t"/>
                        </a:scene3d>
                        <a:sp3d>
                          <a:bevelT w="101600" prst="riblet"/>
                        </a:sp3d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50000</wp14:pctWidth>
              </wp14:sizeRelH>
              <wp14:sizeRelV relativeFrom="topMargin">
                <wp14:pctHeight>100000</wp14:pctHeight>
              </wp14:sizeRelV>
            </wp:anchor>
          </w:drawing>
        </mc:Choice>
        <mc:Fallback>
          <w:pict>
            <v:group w14:anchorId="51B09E66" id="Group 63" o:spid="_x0000_s1026" style="position:absolute;margin-left:0;margin-top:0;width:318.25pt;height:79pt;z-index:251659264;mso-width-percent:500;mso-height-percent:1000;mso-position-horizontal:left;mso-position-horizontal-relative:page;mso-position-vertical:top;mso-position-vertical-relative:page;mso-width-percent:500;mso-height-percent:1000;mso-width-relative:margin;mso-height-relative:top-margin-area" coordorigin=",-401" coordsize="40415,10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">
              <v:line id="Straight Connector 57" o:spid="_x0000_s1027" style="position:absolute;flip:y;visibility:visible;mso-wrap-style:square" from="4590,-401" to="40415,92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" filled="t" fillcolor="#8eaadb [1940]" strokecolor="#8eaadb [1940]" strokeweight=".5pt">
                <v:fill color2="#8eaadb [1940]" rotate="t" focusposition=".5,.5" focussize="" colors="0 #b3c8f5;.5 #cfdcf8;1 #e7edfb" focus="100%" type="gradientRadial"/>
                <v:stroke joinstyle="miter"/>
              </v:line>
              <v:oval id="Oval 62" o:spid="_x0000_s1028" style="position:absolute;top:502;width:10147;height:91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" fillcolor="#8eaadb [1940]" stroked="f" strokeweight="1pt">
                <v:fill color2="#8eaadb [1940]" rotate="t" focusposition=".5,.5" focussize="" colors="0 #b3c8f5;.5 #cfdcf8;1 #e7edfb" focus="100%" type="gradientRadial"/>
                <v:stroke joinstyle="miter"/>
              </v:oval>
              <w10:wrap anchorx="page" anchory="page"/>
            </v:group>
          </w:pict>
        </mc:Fallback>
      </mc:AlternateContent>
    </w:r>
    <w:sdt>
      <w:sdtPr>
        <w:rPr>
          <w:rFonts w:asciiTheme="majorHAnsi" w:hAnsiTheme="majorHAnsi"/>
          <w:sz w:val="36"/>
          <w:szCs w:val="36"/>
        </w:rPr>
        <w:alias w:val="Title"/>
        <w:id w:val="-393657504"/>
        <w:showingPlcHdr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>
          <w:rPr>
            <w:rFonts w:asciiTheme="majorHAnsi" w:hAnsiTheme="majorHAnsi"/>
            <w:sz w:val="36"/>
            <w:szCs w:val="36"/>
          </w:rPr>
          <w:t xml:space="preserve">     </w:t>
        </w:r>
      </w:sdtContent>
    </w:sdt>
  </w:p>
  <w:p w:rsidR="00CE1BD2" w:rsidRDefault="00CE1BD2" w:rsidP="00CE1BD2">
    <w:pPr>
      <w:pStyle w:val="Hlavika"/>
      <w:rPr>
        <w:rFonts w:asciiTheme="majorHAnsi" w:hAnsiTheme="majorHAnsi"/>
      </w:rPr>
    </w:pPr>
  </w:p>
  <w:p w:rsidR="00CE1BD2" w:rsidRDefault="00CE1BD2" w:rsidP="00CE1BD2">
    <w:pPr>
      <w:pStyle w:val="Hlavika"/>
      <w:rPr>
        <w:rFonts w:asciiTheme="majorHAnsi" w:hAnsiTheme="majorHAnsi"/>
      </w:rPr>
    </w:pPr>
  </w:p>
  <w:tbl>
    <w:tblPr>
      <w:tblStyle w:val="Mriekatabuky"/>
      <w:tblW w:w="0" w:type="auto"/>
      <w:jc w:val="right"/>
      <w:tblLook w:val="04A0" w:firstRow="1" w:lastRow="0" w:firstColumn="1" w:lastColumn="0" w:noHBand="0" w:noVBand="1"/>
    </w:tblPr>
    <w:tblGrid>
      <w:gridCol w:w="624"/>
      <w:gridCol w:w="318"/>
      <w:gridCol w:w="318"/>
      <w:gridCol w:w="318"/>
      <w:gridCol w:w="318"/>
      <w:gridCol w:w="318"/>
      <w:gridCol w:w="318"/>
      <w:gridCol w:w="318"/>
      <w:gridCol w:w="318"/>
      <w:gridCol w:w="851"/>
      <w:gridCol w:w="624"/>
      <w:gridCol w:w="318"/>
      <w:gridCol w:w="318"/>
      <w:gridCol w:w="318"/>
      <w:gridCol w:w="318"/>
      <w:gridCol w:w="318"/>
      <w:gridCol w:w="318"/>
      <w:gridCol w:w="318"/>
      <w:gridCol w:w="318"/>
      <w:gridCol w:w="318"/>
      <w:gridCol w:w="318"/>
    </w:tblGrid>
    <w:tr w:rsidR="00CE1BD2" w:rsidTr="00CE1BD2">
      <w:trPr>
        <w:trHeight w:val="340"/>
        <w:jc w:val="right"/>
      </w:trPr>
      <w:tc>
        <w:tcPr>
          <w:tcW w:w="624" w:type="dxa"/>
          <w:vAlign w:val="center"/>
        </w:tcPr>
        <w:p w:rsidR="00CE1BD2" w:rsidRPr="006A6ED1" w:rsidRDefault="00CE1BD2" w:rsidP="00CE1BD2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IČO:</w:t>
          </w:r>
        </w:p>
      </w:tc>
      <w:tc>
        <w:tcPr>
          <w:tcW w:w="284" w:type="dxa"/>
          <w:vAlign w:val="center"/>
        </w:tcPr>
        <w:p w:rsidR="00CE1BD2" w:rsidRPr="006A6ED1" w:rsidRDefault="00CE1BD2" w:rsidP="00CE1BD2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4</w:t>
          </w:r>
        </w:p>
      </w:tc>
      <w:tc>
        <w:tcPr>
          <w:tcW w:w="284" w:type="dxa"/>
          <w:vAlign w:val="center"/>
        </w:tcPr>
        <w:p w:rsidR="00CE1BD2" w:rsidRPr="006A6ED1" w:rsidRDefault="00CE1BD2" w:rsidP="00CE1BD2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:rsidR="00CE1BD2" w:rsidRPr="006A6ED1" w:rsidRDefault="00CE1BD2" w:rsidP="00CE1BD2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5</w:t>
          </w:r>
        </w:p>
      </w:tc>
      <w:tc>
        <w:tcPr>
          <w:tcW w:w="284" w:type="dxa"/>
          <w:vAlign w:val="center"/>
        </w:tcPr>
        <w:p w:rsidR="00CE1BD2" w:rsidRPr="006A6ED1" w:rsidRDefault="00CE1BD2" w:rsidP="00CE1BD2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vAlign w:val="center"/>
        </w:tcPr>
        <w:p w:rsidR="00CE1BD2" w:rsidRPr="006A6ED1" w:rsidRDefault="00CE1BD2" w:rsidP="00CE1BD2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:rsidR="00CE1BD2" w:rsidRPr="006A6ED1" w:rsidRDefault="00CE1BD2" w:rsidP="00CE1BD2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CE1BD2" w:rsidRPr="006A6ED1" w:rsidRDefault="00CE1BD2" w:rsidP="00CE1BD2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1</w:t>
          </w:r>
        </w:p>
      </w:tc>
      <w:tc>
        <w:tcPr>
          <w:tcW w:w="284" w:type="dxa"/>
          <w:vAlign w:val="center"/>
        </w:tcPr>
        <w:p w:rsidR="00CE1BD2" w:rsidRPr="006A6ED1" w:rsidRDefault="00CE1BD2" w:rsidP="00CE1BD2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8</w:t>
          </w:r>
        </w:p>
      </w:tc>
      <w:tc>
        <w:tcPr>
          <w:tcW w:w="851" w:type="dxa"/>
          <w:tcBorders>
            <w:top w:val="nil"/>
            <w:bottom w:val="nil"/>
          </w:tcBorders>
          <w:vAlign w:val="center"/>
        </w:tcPr>
        <w:p w:rsidR="00CE1BD2" w:rsidRPr="006A6ED1" w:rsidRDefault="00CE1BD2" w:rsidP="00CE1BD2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</w:p>
      </w:tc>
      <w:tc>
        <w:tcPr>
          <w:tcW w:w="624" w:type="dxa"/>
          <w:vAlign w:val="center"/>
        </w:tcPr>
        <w:p w:rsidR="00CE1BD2" w:rsidRPr="006A6ED1" w:rsidRDefault="00CE1BD2" w:rsidP="00CE1BD2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 w:rsidRPr="006A6ED1">
            <w:rPr>
              <w:rFonts w:asciiTheme="majorHAnsi" w:hAnsiTheme="majorHAnsi"/>
              <w:sz w:val="20"/>
              <w:szCs w:val="20"/>
            </w:rPr>
            <w:t>DIČ:</w:t>
          </w:r>
        </w:p>
      </w:tc>
      <w:tc>
        <w:tcPr>
          <w:tcW w:w="284" w:type="dxa"/>
          <w:vAlign w:val="center"/>
        </w:tcPr>
        <w:p w:rsidR="00CE1BD2" w:rsidRPr="006A6ED1" w:rsidRDefault="00CE1BD2" w:rsidP="00CE1BD2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CE1BD2" w:rsidRPr="006A6ED1" w:rsidRDefault="00CE1BD2" w:rsidP="00CE1BD2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CE1BD2" w:rsidRPr="006A6ED1" w:rsidRDefault="00CE1BD2" w:rsidP="00CE1BD2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2</w:t>
          </w:r>
        </w:p>
      </w:tc>
      <w:tc>
        <w:tcPr>
          <w:tcW w:w="284" w:type="dxa"/>
          <w:vAlign w:val="center"/>
        </w:tcPr>
        <w:p w:rsidR="00CE1BD2" w:rsidRPr="006A6ED1" w:rsidRDefault="00CE1BD2" w:rsidP="00CE1BD2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3</w:t>
          </w:r>
        </w:p>
      </w:tc>
      <w:tc>
        <w:tcPr>
          <w:tcW w:w="284" w:type="dxa"/>
          <w:vAlign w:val="center"/>
        </w:tcPr>
        <w:p w:rsidR="00CE1BD2" w:rsidRPr="006A6ED1" w:rsidRDefault="00CE1BD2" w:rsidP="00CE1BD2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0</w:t>
          </w:r>
        </w:p>
      </w:tc>
      <w:tc>
        <w:tcPr>
          <w:tcW w:w="284" w:type="dxa"/>
          <w:vAlign w:val="center"/>
        </w:tcPr>
        <w:p w:rsidR="00CE1BD2" w:rsidRPr="006A6ED1" w:rsidRDefault="00CE1BD2" w:rsidP="00CE1BD2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:rsidR="00CE1BD2" w:rsidRPr="006A6ED1" w:rsidRDefault="00CE1BD2" w:rsidP="00CE1BD2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:rsidR="00CE1BD2" w:rsidRPr="006A6ED1" w:rsidRDefault="00CE1BD2" w:rsidP="00CE1BD2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  <w:tc>
        <w:tcPr>
          <w:tcW w:w="284" w:type="dxa"/>
          <w:vAlign w:val="center"/>
        </w:tcPr>
        <w:p w:rsidR="00CE1BD2" w:rsidRPr="006A6ED1" w:rsidRDefault="00CE1BD2" w:rsidP="00CE1BD2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6</w:t>
          </w:r>
        </w:p>
      </w:tc>
      <w:tc>
        <w:tcPr>
          <w:tcW w:w="284" w:type="dxa"/>
          <w:vAlign w:val="center"/>
        </w:tcPr>
        <w:p w:rsidR="00CE1BD2" w:rsidRPr="006A6ED1" w:rsidRDefault="00CE1BD2" w:rsidP="00CE1BD2">
          <w:pPr>
            <w:pStyle w:val="Hlavika"/>
            <w:jc w:val="center"/>
            <w:rPr>
              <w:rFonts w:asciiTheme="majorHAnsi" w:hAnsiTheme="majorHAnsi"/>
              <w:sz w:val="20"/>
              <w:szCs w:val="20"/>
            </w:rPr>
          </w:pPr>
          <w:r>
            <w:rPr>
              <w:rFonts w:asciiTheme="majorHAnsi" w:hAnsiTheme="majorHAnsi"/>
              <w:sz w:val="20"/>
              <w:szCs w:val="20"/>
            </w:rPr>
            <w:t>9</w:t>
          </w:r>
        </w:p>
      </w:tc>
    </w:tr>
  </w:tbl>
  <w:p w:rsidR="00CE1BD2" w:rsidRDefault="00CE1BD2" w:rsidP="00CE1BD2">
    <w:pPr>
      <w:pStyle w:val="Hlavika"/>
      <w:rPr>
        <w:rFonts w:asciiTheme="majorHAnsi" w:hAnsiTheme="majorHAnsi"/>
      </w:rPr>
    </w:pPr>
  </w:p>
  <w:p w:rsidR="00CE1BD2" w:rsidRDefault="00CE1BD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BE07A7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03E70"/>
    <w:multiLevelType w:val="hybridMultilevel"/>
    <w:tmpl w:val="5D38C470"/>
    <w:lvl w:ilvl="0" w:tplc="DFDA5708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F6958"/>
    <w:multiLevelType w:val="hybridMultilevel"/>
    <w:tmpl w:val="4ACE347C"/>
    <w:lvl w:ilvl="0" w:tplc="B30E96F8">
      <w:start w:val="7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471F7"/>
    <w:multiLevelType w:val="hybridMultilevel"/>
    <w:tmpl w:val="A6327D8A"/>
    <w:lvl w:ilvl="0" w:tplc="CF6015EE">
      <w:start w:val="7"/>
      <w:numFmt w:val="upperRoman"/>
      <w:lvlText w:val="%1."/>
      <w:lvlJc w:val="left"/>
      <w:pPr>
        <w:ind w:left="1080" w:hanging="720"/>
      </w:pPr>
      <w:rPr>
        <w:rFonts w:eastAsia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E1C30"/>
    <w:multiLevelType w:val="hybridMultilevel"/>
    <w:tmpl w:val="7F6A8FB0"/>
    <w:lvl w:ilvl="0" w:tplc="C2B89BF4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737308"/>
    <w:multiLevelType w:val="hybridMultilevel"/>
    <w:tmpl w:val="432A1A52"/>
    <w:lvl w:ilvl="0" w:tplc="1A94F22C">
      <w:start w:val="1"/>
      <w:numFmt w:val="decimal"/>
      <w:lvlText w:val="%1."/>
      <w:lvlJc w:val="left"/>
      <w:pPr>
        <w:ind w:left="360" w:hanging="360"/>
      </w:pPr>
      <w:rPr>
        <w:rFonts w:ascii="Arial" w:eastAsia="MS Gothic" w:hAnsi="Arial" w:cs="Arial"/>
        <w:b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DB10D6"/>
    <w:multiLevelType w:val="hybridMultilevel"/>
    <w:tmpl w:val="5FF6C93C"/>
    <w:lvl w:ilvl="0" w:tplc="C61EEB5A">
      <w:start w:val="2"/>
      <w:numFmt w:val="upperLetter"/>
      <w:lvlText w:val="%1."/>
      <w:lvlJc w:val="left"/>
      <w:pPr>
        <w:ind w:left="720" w:hanging="360"/>
      </w:pPr>
      <w:rPr>
        <w:rFonts w:ascii="Cambria" w:hAnsi="Cambria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C71C09"/>
    <w:multiLevelType w:val="hybridMultilevel"/>
    <w:tmpl w:val="ACC6977A"/>
    <w:lvl w:ilvl="0" w:tplc="E8780AAC">
      <w:start w:val="3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9C4113"/>
    <w:multiLevelType w:val="hybridMultilevel"/>
    <w:tmpl w:val="8092D852"/>
    <w:lvl w:ilvl="0" w:tplc="E48C6934">
      <w:start w:val="1"/>
      <w:numFmt w:val="lowerLetter"/>
      <w:lvlText w:val="%1)"/>
      <w:lvlJc w:val="left"/>
      <w:pPr>
        <w:ind w:left="3276" w:hanging="360"/>
      </w:pPr>
      <w:rPr>
        <w:rFonts w:hint="default"/>
        <w:b/>
      </w:rPr>
    </w:lvl>
    <w:lvl w:ilvl="1" w:tplc="70C223DE">
      <w:start w:val="1"/>
      <w:numFmt w:val="upperLetter"/>
      <w:lvlText w:val="%2."/>
      <w:lvlJc w:val="left"/>
      <w:pPr>
        <w:ind w:left="3996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4716" w:hanging="180"/>
      </w:pPr>
    </w:lvl>
    <w:lvl w:ilvl="3" w:tplc="041B000F" w:tentative="1">
      <w:start w:val="1"/>
      <w:numFmt w:val="decimal"/>
      <w:lvlText w:val="%4."/>
      <w:lvlJc w:val="left"/>
      <w:pPr>
        <w:ind w:left="5436" w:hanging="360"/>
      </w:pPr>
    </w:lvl>
    <w:lvl w:ilvl="4" w:tplc="041B0019" w:tentative="1">
      <w:start w:val="1"/>
      <w:numFmt w:val="lowerLetter"/>
      <w:lvlText w:val="%5."/>
      <w:lvlJc w:val="left"/>
      <w:pPr>
        <w:ind w:left="6156" w:hanging="360"/>
      </w:pPr>
    </w:lvl>
    <w:lvl w:ilvl="5" w:tplc="041B001B" w:tentative="1">
      <w:start w:val="1"/>
      <w:numFmt w:val="lowerRoman"/>
      <w:lvlText w:val="%6."/>
      <w:lvlJc w:val="right"/>
      <w:pPr>
        <w:ind w:left="6876" w:hanging="180"/>
      </w:pPr>
    </w:lvl>
    <w:lvl w:ilvl="6" w:tplc="041B000F" w:tentative="1">
      <w:start w:val="1"/>
      <w:numFmt w:val="decimal"/>
      <w:lvlText w:val="%7."/>
      <w:lvlJc w:val="left"/>
      <w:pPr>
        <w:ind w:left="7596" w:hanging="360"/>
      </w:pPr>
    </w:lvl>
    <w:lvl w:ilvl="7" w:tplc="041B0019" w:tentative="1">
      <w:start w:val="1"/>
      <w:numFmt w:val="lowerLetter"/>
      <w:lvlText w:val="%8."/>
      <w:lvlJc w:val="left"/>
      <w:pPr>
        <w:ind w:left="8316" w:hanging="360"/>
      </w:pPr>
    </w:lvl>
    <w:lvl w:ilvl="8" w:tplc="041B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9" w15:restartNumberingAfterBreak="0">
    <w:nsid w:val="46DD5EA6"/>
    <w:multiLevelType w:val="hybridMultilevel"/>
    <w:tmpl w:val="800CED0A"/>
    <w:lvl w:ilvl="0" w:tplc="2DF21B1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8F6D13"/>
    <w:multiLevelType w:val="hybridMultilevel"/>
    <w:tmpl w:val="810E5B8E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547A4E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DA5D38"/>
    <w:multiLevelType w:val="hybridMultilevel"/>
    <w:tmpl w:val="A044BBC8"/>
    <w:lvl w:ilvl="0" w:tplc="9E26BC0C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314214"/>
    <w:multiLevelType w:val="hybridMultilevel"/>
    <w:tmpl w:val="692AEE6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F395472"/>
    <w:multiLevelType w:val="hybridMultilevel"/>
    <w:tmpl w:val="77821996"/>
    <w:lvl w:ilvl="0" w:tplc="041B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1F34D3"/>
    <w:multiLevelType w:val="hybridMultilevel"/>
    <w:tmpl w:val="8F2898EC"/>
    <w:lvl w:ilvl="0" w:tplc="63461046">
      <w:start w:val="4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785B21"/>
    <w:multiLevelType w:val="hybridMultilevel"/>
    <w:tmpl w:val="807487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A56F11"/>
    <w:multiLevelType w:val="hybridMultilevel"/>
    <w:tmpl w:val="404E7C58"/>
    <w:lvl w:ilvl="0" w:tplc="5C68566A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117FD0"/>
    <w:multiLevelType w:val="hybridMultilevel"/>
    <w:tmpl w:val="23A61FA8"/>
    <w:lvl w:ilvl="0" w:tplc="CC883894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16"/>
  </w:num>
  <w:num w:numId="4">
    <w:abstractNumId w:val="12"/>
  </w:num>
  <w:num w:numId="5">
    <w:abstractNumId w:val="9"/>
  </w:num>
  <w:num w:numId="6">
    <w:abstractNumId w:val="14"/>
  </w:num>
  <w:num w:numId="7">
    <w:abstractNumId w:val="10"/>
  </w:num>
  <w:num w:numId="8">
    <w:abstractNumId w:val="13"/>
  </w:num>
  <w:num w:numId="9">
    <w:abstractNumId w:val="5"/>
  </w:num>
  <w:num w:numId="10">
    <w:abstractNumId w:val="0"/>
  </w:num>
  <w:num w:numId="11">
    <w:abstractNumId w:val="17"/>
  </w:num>
  <w:num w:numId="12">
    <w:abstractNumId w:val="6"/>
  </w:num>
  <w:num w:numId="13">
    <w:abstractNumId w:val="4"/>
  </w:num>
  <w:num w:numId="14">
    <w:abstractNumId w:val="7"/>
  </w:num>
  <w:num w:numId="15">
    <w:abstractNumId w:val="11"/>
  </w:num>
  <w:num w:numId="16">
    <w:abstractNumId w:val="1"/>
  </w:num>
  <w:num w:numId="17">
    <w:abstractNumId w:val="3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BD2"/>
    <w:rsid w:val="00034182"/>
    <w:rsid w:val="001E0710"/>
    <w:rsid w:val="00297EDC"/>
    <w:rsid w:val="003E6AA2"/>
    <w:rsid w:val="008E6698"/>
    <w:rsid w:val="00B50FFC"/>
    <w:rsid w:val="00CE1BD2"/>
    <w:rsid w:val="00D34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A9E9E"/>
  <w15:chartTrackingRefBased/>
  <w15:docId w15:val="{8BA24DB8-3241-4D12-B4FA-0D8EEFDB2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E1BD2"/>
    <w:pPr>
      <w:spacing w:after="200" w:line="276" w:lineRule="auto"/>
    </w:pPr>
  </w:style>
  <w:style w:type="paragraph" w:styleId="Nadpis1">
    <w:name w:val="heading 1"/>
    <w:basedOn w:val="Normlny"/>
    <w:next w:val="Normlny"/>
    <w:link w:val="Nadpis1Char"/>
    <w:uiPriority w:val="9"/>
    <w:qFormat/>
    <w:rsid w:val="00CE1BD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CE1BD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E1B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CE1B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lavika">
    <w:name w:val="header"/>
    <w:basedOn w:val="Normlny"/>
    <w:link w:val="HlavikaChar"/>
    <w:uiPriority w:val="99"/>
    <w:unhideWhenUsed/>
    <w:rsid w:val="00CE1B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1BD2"/>
  </w:style>
  <w:style w:type="paragraph" w:styleId="Pta">
    <w:name w:val="footer"/>
    <w:basedOn w:val="Normlny"/>
    <w:link w:val="PtaChar"/>
    <w:uiPriority w:val="99"/>
    <w:unhideWhenUsed/>
    <w:rsid w:val="00CE1B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1BD2"/>
  </w:style>
  <w:style w:type="paragraph" w:styleId="Textbubliny">
    <w:name w:val="Balloon Text"/>
    <w:basedOn w:val="Normlny"/>
    <w:link w:val="TextbublinyChar"/>
    <w:uiPriority w:val="99"/>
    <w:semiHidden/>
    <w:unhideWhenUsed/>
    <w:rsid w:val="00CE1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1BD2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CE1B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CE1BD2"/>
    <w:rPr>
      <w:color w:val="808080"/>
    </w:rPr>
  </w:style>
  <w:style w:type="paragraph" w:styleId="Odsekzoznamu">
    <w:name w:val="List Paragraph"/>
    <w:basedOn w:val="Normlny"/>
    <w:uiPriority w:val="34"/>
    <w:qFormat/>
    <w:rsid w:val="00CE1BD2"/>
    <w:pPr>
      <w:ind w:left="720"/>
      <w:contextualSpacing/>
    </w:pPr>
  </w:style>
  <w:style w:type="paragraph" w:styleId="z-Hornokrajformulra">
    <w:name w:val="HTML Top of Form"/>
    <w:basedOn w:val="Normlny"/>
    <w:next w:val="Normlny"/>
    <w:link w:val="z-HornokrajformulraChar"/>
    <w:hidden/>
    <w:uiPriority w:val="99"/>
    <w:semiHidden/>
    <w:unhideWhenUsed/>
    <w:rsid w:val="00CE1BD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HornokrajformulraChar">
    <w:name w:val="z-Horný okraj formulára Char"/>
    <w:basedOn w:val="Predvolenpsmoodseku"/>
    <w:link w:val="z-Hornokrajformulra"/>
    <w:uiPriority w:val="99"/>
    <w:semiHidden/>
    <w:rsid w:val="00CE1BD2"/>
    <w:rPr>
      <w:rFonts w:ascii="Arial" w:hAnsi="Arial" w:cs="Arial"/>
      <w:vanish/>
      <w:sz w:val="16"/>
      <w:szCs w:val="16"/>
    </w:rPr>
  </w:style>
  <w:style w:type="paragraph" w:styleId="z-Spodnokrajformulra">
    <w:name w:val="HTML Bottom of Form"/>
    <w:basedOn w:val="Normlny"/>
    <w:next w:val="Normlny"/>
    <w:link w:val="z-SpodnokrajformulraChar"/>
    <w:hidden/>
    <w:uiPriority w:val="99"/>
    <w:semiHidden/>
    <w:unhideWhenUsed/>
    <w:rsid w:val="00CE1BD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SpodnokrajformulraChar">
    <w:name w:val="z-Spodný okraj formulára Char"/>
    <w:basedOn w:val="Predvolenpsmoodseku"/>
    <w:link w:val="z-Spodnokrajformulra"/>
    <w:uiPriority w:val="99"/>
    <w:semiHidden/>
    <w:rsid w:val="00CE1BD2"/>
    <w:rPr>
      <w:rFonts w:ascii="Arial" w:hAnsi="Arial" w:cs="Arial"/>
      <w:vanish/>
      <w:sz w:val="16"/>
      <w:szCs w:val="16"/>
    </w:rPr>
  </w:style>
  <w:style w:type="paragraph" w:styleId="Bezriadkovania">
    <w:name w:val="No Spacing"/>
    <w:uiPriority w:val="1"/>
    <w:qFormat/>
    <w:rsid w:val="00CE1BD2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CE1BD2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E1BD2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E1BD2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E1BD2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E1BD2"/>
    <w:rPr>
      <w:b/>
      <w:bCs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CE1BD2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CE1BD2"/>
    <w:rPr>
      <w:i/>
      <w:iCs/>
      <w:color w:val="000000" w:themeColor="text1"/>
    </w:rPr>
  </w:style>
  <w:style w:type="character" w:styleId="Jemnodkaz">
    <w:name w:val="Subtle Reference"/>
    <w:basedOn w:val="Predvolenpsmoodseku"/>
    <w:uiPriority w:val="31"/>
    <w:qFormat/>
    <w:rsid w:val="00CE1BD2"/>
    <w:rPr>
      <w:smallCaps/>
      <w:color w:val="ED7D31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322E1EDDBB6D4FA382621D9E5F8144C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F2E4DBE-03AE-4D56-A248-E0A377A8B0E6}"/>
      </w:docPartPr>
      <w:docPartBody>
        <w:p w:rsidR="0085291E" w:rsidRDefault="0085291E" w:rsidP="0085291E">
          <w:pPr>
            <w:pStyle w:val="322E1EDDBB6D4FA382621D9E5F8144CB"/>
          </w:pPr>
          <w:r w:rsidRPr="00382CB3">
            <w:rPr>
              <w:rStyle w:val="Zstupntext"/>
            </w:rPr>
            <w:t>Choose an item.</w:t>
          </w:r>
        </w:p>
      </w:docPartBody>
    </w:docPart>
    <w:docPart>
      <w:docPartPr>
        <w:name w:val="52F9B99EE5DC46C98D6C185D637D0D6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1A0D414-9109-4B30-A143-80638AF4634D}"/>
      </w:docPartPr>
      <w:docPartBody>
        <w:p w:rsidR="0085291E" w:rsidRDefault="0085291E" w:rsidP="0085291E">
          <w:pPr>
            <w:pStyle w:val="52F9B99EE5DC46C98D6C185D637D0D6D"/>
          </w:pPr>
          <w:r w:rsidRPr="00382CB3">
            <w:rPr>
              <w:rStyle w:val="Zstupn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91E"/>
    <w:rsid w:val="00852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85291E"/>
    <w:rPr>
      <w:color w:val="808080"/>
    </w:rPr>
  </w:style>
  <w:style w:type="paragraph" w:customStyle="1" w:styleId="322E1EDDBB6D4FA382621D9E5F8144CB">
    <w:name w:val="322E1EDDBB6D4FA382621D9E5F8144CB"/>
    <w:rsid w:val="0085291E"/>
  </w:style>
  <w:style w:type="paragraph" w:customStyle="1" w:styleId="52F9B99EE5DC46C98D6C185D637D0D6D">
    <w:name w:val="52F9B99EE5DC46C98D6C185D637D0D6D"/>
    <w:rsid w:val="0085291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24</Pages>
  <Words>3498</Words>
  <Characters>19945</Characters>
  <Application>Microsoft Office Word</Application>
  <DocSecurity>0</DocSecurity>
  <Lines>166</Lines>
  <Paragraphs>46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</cp:revision>
  <dcterms:created xsi:type="dcterms:W3CDTF">2019-06-13T07:04:00Z</dcterms:created>
  <dcterms:modified xsi:type="dcterms:W3CDTF">2019-06-13T07:50:00Z</dcterms:modified>
</cp:coreProperties>
</file>