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u w:val="single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36"/>
          <w:shd w:fill="auto" w:val="clear"/>
        </w:rPr>
        <w:t xml:space="preserve">Poznámky k 31.12.201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36"/>
          <w:shd w:fill="auto" w:val="clear"/>
        </w:rPr>
        <w:t xml:space="preserve">8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36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Čl. I</w:t>
      </w: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Všeobecné údaje</w:t>
      </w: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4"/>
        </w:numPr>
        <w:tabs>
          <w:tab w:val="left" w:pos="284" w:leader="none"/>
        </w:tabs>
        <w:suppressAutoHyphens w:val="true"/>
        <w:spacing w:before="0" w:after="0" w:line="240"/>
        <w:ind w:right="0" w:left="284" w:hanging="284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Identifika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čné údaje účtovnej jednotky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tbl>
      <w:tblPr>
        <w:tblInd w:w="108" w:type="dxa"/>
      </w:tblPr>
      <w:tblGrid>
        <w:gridCol w:w="4781"/>
        <w:gridCol w:w="5489"/>
      </w:tblGrid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Názov ú</w:t>
            </w: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čtovnej jednotky</w:t>
            </w:r>
          </w:p>
        </w:tc>
        <w:tc>
          <w:tcPr>
            <w:tcW w:w="54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MIKO – TRANS   s.r.o.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Sídlo ú</w:t>
            </w: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čtovnej jednotky</w:t>
            </w:r>
          </w:p>
        </w:tc>
        <w:tc>
          <w:tcPr>
            <w:tcW w:w="54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Po</w:t>
            </w: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ľanovce 107 053 05</w:t>
            </w:r>
          </w:p>
        </w:tc>
      </w:tr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I</w:t>
            </w: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ČO</w:t>
            </w:r>
          </w:p>
        </w:tc>
        <w:tc>
          <w:tcPr>
            <w:tcW w:w="54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48122301</w:t>
            </w:r>
          </w:p>
        </w:tc>
      </w:tr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DI</w:t>
            </w: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Č</w:t>
            </w:r>
          </w:p>
        </w:tc>
        <w:tc>
          <w:tcPr>
            <w:tcW w:w="54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2120056092</w:t>
            </w:r>
          </w:p>
        </w:tc>
      </w:tr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DI</w:t>
            </w: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Č DPH</w:t>
            </w:r>
          </w:p>
        </w:tc>
        <w:tc>
          <w:tcPr>
            <w:tcW w:w="54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Právny dôvod na zostavenie ú</w:t>
            </w: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čtovnej závierky </w:t>
            </w:r>
          </w:p>
        </w:tc>
        <w:tc>
          <w:tcPr>
            <w:tcW w:w="54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ourier New" w:hAnsi="Courier New" w:cs="Courier New" w:eastAsia="Courier New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X     </w:t>
            </w: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riadna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    mimoriadna </w:t>
            </w:r>
          </w:p>
        </w:tc>
      </w:tr>
    </w:tbl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21"/>
        </w:numPr>
        <w:tabs>
          <w:tab w:val="left" w:pos="284" w:leader="none"/>
        </w:tabs>
        <w:suppressAutoHyphens w:val="true"/>
        <w:spacing w:before="0" w:after="0" w:line="240"/>
        <w:ind w:right="0" w:left="284" w:hanging="284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Opis 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činnosti účtovnej jednotky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tbl>
      <w:tblPr>
        <w:tblInd w:w="108" w:type="dxa"/>
      </w:tblPr>
      <w:tblGrid>
        <w:gridCol w:w="4781"/>
        <w:gridCol w:w="5489"/>
      </w:tblGrid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Hlavná </w:t>
            </w: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činnosť účtovnej jednotky</w:t>
            </w:r>
          </w:p>
        </w:tc>
        <w:tc>
          <w:tcPr>
            <w:tcW w:w="54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Nákladná cestná doprava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28"/>
        </w:numPr>
        <w:tabs>
          <w:tab w:val="left" w:pos="284" w:leader="none"/>
        </w:tabs>
        <w:suppressAutoHyphens w:val="true"/>
        <w:spacing w:before="0" w:after="0" w:line="240"/>
        <w:ind w:right="0" w:left="284" w:hanging="284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Informácie o štatutárnych zástupcoch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tbl>
      <w:tblPr>
        <w:tblInd w:w="108" w:type="dxa"/>
      </w:tblPr>
      <w:tblGrid>
        <w:gridCol w:w="4781"/>
        <w:gridCol w:w="5489"/>
      </w:tblGrid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Štatutárny zástupca (meno a priezvisko)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funkcia</w:t>
            </w:r>
          </w:p>
        </w:tc>
        <w:tc>
          <w:tcPr>
            <w:tcW w:w="54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Kolcun  Michal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Konate</w:t>
            </w: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ľ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  MIKO – TRANS  s.r.o,  Po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ľanovce  107, vznikla zápisom do Obchodného registra dňa 18.4.2015 podľa § 8 odst. 1 zákona č.530/2003 Z.z. o Obchodnom registri a o zmene a doplnení niektorých zákonov.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  Spolo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čnosť podľa tohto zákona vznikla ako spoločnosť s právnou subjektivitou a v roku 2015 začala evidenciu účtovníctva v sústave podvojného účtovníctva.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Otvorenie ú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čtovných kníh a jeho účtovanie bolo vedené podľa  zákona o účtovnícve  431/2002  Z.z.  v sústave podvojného účtovníctva.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čtovná jednotka, ktorá vznikne v roku 2015, ako  MIKO-TRANS s.r.o., sa zatriedi do veľkostnej skupiny podľa vlastného rozhodnutia a zostáva v tejto veľkostnej skupine aj v bezprostredne nasledujúcom účtovnom období.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Zatriedenie:  ako  MIKRO  ú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čtovná jednotka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pageBreakBefore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Čl.II   Informácie o účtovných zásadách a účtovných metódach </w:t>
      </w: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100" w:after="100" w:line="240"/>
        <w:ind w:right="0" w:left="0" w:firstLine="72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čtovná jednotka účtuje v sústave podvojného účtovníctva podľa platných predpisov. Predmetom účtovníctva je účtovanie skutočností o:  </w:t>
        <w:br/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- stave a pohybe majetku,  </w:t>
        <w:br/>
        <w:t xml:space="preserve">- stave a pohybe záväzkov,  </w:t>
        <w:br/>
        <w:t xml:space="preserve">- rozdiele majetku a záväzkov,  </w:t>
        <w:br/>
        <w:t xml:space="preserve">- výnosoch,  </w:t>
        <w:br/>
        <w:t xml:space="preserve">- nákladoch,  </w:t>
        <w:br/>
        <w:t xml:space="preserve">- výsledku hospodárenia  </w:t>
      </w:r>
    </w:p>
    <w:p>
      <w:pPr>
        <w:spacing w:before="0" w:after="0" w:line="240"/>
        <w:ind w:right="0" w:left="0" w:firstLine="72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Čl. III</w:t>
      </w: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Informácie o údajoch na strane aktív súvahy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u w:val="single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u w:val="single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1. Spolu majetok</w:t>
        <w:tab/>
        <w:tab/>
        <w:tab/>
        <w:tab/>
        <w:tab/>
        <w:tab/>
        <w:t xml:space="preserve">  0.-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2. Obežný majetok</w:t>
        <w:tab/>
        <w:tab/>
        <w:tab/>
        <w:tab/>
        <w:tab/>
        <w:tab/>
        <w:t xml:space="preserve">  0.-€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3. Krátkodobé poh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ľadávky</w:t>
        <w:tab/>
        <w:tab/>
        <w:tab/>
        <w:tab/>
        <w:t xml:space="preserve">  0.-€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- poh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ľadávky z obchodného styku</w:t>
        <w:tab/>
        <w:tab/>
        <w:t xml:space="preserve">       0.-€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4. Finan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čné účty súčet</w:t>
        <w:tab/>
        <w:tab/>
        <w:tab/>
        <w:tab/>
        <w:tab/>
        <w:t xml:space="preserve">   0.-€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- Peniaze</w:t>
        <w:tab/>
        <w:tab/>
        <w:tab/>
        <w:tab/>
        <w:tab/>
        <w:tab/>
        <w:tab/>
        <w:t xml:space="preserve">    0.-€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 - ú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čty v bankách                          0.-E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  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Čl. IV.   Informácie o údajoch na strane pasív súvahy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1. Spolu vlastné imanie a záväzky</w:t>
        <w:tab/>
        <w:tab/>
        <w:tab/>
        <w:t xml:space="preserve">   0.-€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2. Vlastné imanie</w:t>
        <w:tab/>
        <w:tab/>
        <w:tab/>
        <w:tab/>
        <w:t xml:space="preserve">                  0.- 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3. Výsledok hospodárenia za ú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čtovné obdobie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- po zdanení</w:t>
        <w:tab/>
        <w:tab/>
        <w:tab/>
        <w:tab/>
        <w:tab/>
        <w:tab/>
        <w:tab/>
        <w:t xml:space="preserve">    0.-€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4. Záväzky</w:t>
        <w:tab/>
        <w:tab/>
        <w:tab/>
        <w:tab/>
        <w:tab/>
        <w:tab/>
        <w:tab/>
        <w:tab/>
        <w:t xml:space="preserve">    0.-€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5. Dlhodobé rezervy</w:t>
        <w:tab/>
        <w:tab/>
        <w:tab/>
        <w:tab/>
        <w:tab/>
        <w:tab/>
        <w:t xml:space="preserve">          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- zákonné rezervy</w:t>
        <w:tab/>
        <w:tab/>
        <w:tab/>
        <w:tab/>
        <w:tab/>
        <w:tab/>
        <w:t xml:space="preserve">          €</w:t>
      </w:r>
    </w:p>
    <w:p>
      <w:pPr>
        <w:tabs>
          <w:tab w:val="left" w:pos="7370" w:leader="none"/>
        </w:tabs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ab/>
        <w:t xml:space="preserve">  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6. Krátkodobé záväzky sú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čet</w:t>
        <w:tab/>
        <w:tab/>
        <w:tab/>
        <w:tab/>
        <w:t xml:space="preserve">      0.-€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- záväzky vo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či zamestnancom                           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- záväzky zo sociálneho poistenia                     €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- da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ňové záväzky</w:t>
        <w:tab/>
        <w:tab/>
        <w:tab/>
        <w:tab/>
        <w:tab/>
        <w:t xml:space="preserve">               €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Čl. V</w:t>
      </w: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Informácie o výnosoch a nákladoch </w:t>
      </w:r>
    </w:p>
    <w:p>
      <w:pPr>
        <w:tabs>
          <w:tab w:val="left" w:pos="426" w:leader="none"/>
        </w:tabs>
        <w:spacing w:before="0" w:after="0" w:line="276"/>
        <w:ind w:right="0" w:left="360" w:firstLine="0"/>
        <w:jc w:val="both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54"/>
        </w:numPr>
        <w:tabs>
          <w:tab w:val="left" w:pos="0" w:leader="none"/>
        </w:tabs>
        <w:suppressAutoHyphens w:val="true"/>
        <w:spacing w:before="0" w:after="0" w:line="240"/>
        <w:ind w:right="0" w:left="284" w:hanging="284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Výnosy </w:t>
        <w:tab/>
        <w:tab/>
        <w:tab/>
        <w:tab/>
        <w:tab/>
        <w:tab/>
        <w:tab/>
        <w:tab/>
        <w:t xml:space="preserve"> 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     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  0.- €</w:t>
        <w:tab/>
        <w:tab/>
        <w:tab/>
        <w:tab/>
        <w:tab/>
        <w:tab/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284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Výnosy z hospodárskej 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činnosti</w:t>
        <w:tab/>
        <w:tab/>
        <w:tab/>
        <w:t xml:space="preserve">        0.- €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u w:val="single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                           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58"/>
        </w:numPr>
        <w:tabs>
          <w:tab w:val="left" w:pos="720" w:leader="none"/>
        </w:tabs>
        <w:spacing w:before="0" w:after="0" w:line="240"/>
        <w:ind w:right="0" w:left="720" w:hanging="36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tržby za vlastné výrobky            </w:t>
        <w:tab/>
        <w:tab/>
        <w:t xml:space="preserve">   0,- €</w:t>
      </w:r>
    </w:p>
    <w:p>
      <w:pPr>
        <w:spacing w:before="0" w:after="0" w:line="240"/>
        <w:ind w:right="0" w:left="72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/601/</w:t>
      </w:r>
    </w:p>
    <w:p>
      <w:pPr>
        <w:spacing w:before="0" w:after="0" w:line="240"/>
        <w:ind w:right="0" w:left="72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- ostatné výnosy z hospodárskej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činnosti /652/            €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Výnosy z finan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čnej činnosti</w:t>
        <w:tab/>
        <w:tab/>
        <w:tab/>
        <w:tab/>
        <w:tab/>
        <w:t xml:space="preserve">    0.- €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- výnosové úroky</w:t>
        <w:tab/>
        <w:tab/>
        <w:tab/>
        <w:tab/>
        <w:tab/>
        <w:tab/>
        <w:tab/>
        <w:t xml:space="preserve">     0.- €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- ostatné výnosové úroky /662 /</w:t>
        <w:tab/>
        <w:tab/>
        <w:tab/>
        <w:tab/>
        <w:t xml:space="preserve">     0.- €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61"/>
        </w:numPr>
        <w:tabs>
          <w:tab w:val="left" w:pos="0" w:leader="none"/>
        </w:tabs>
        <w:suppressAutoHyphens w:val="true"/>
        <w:spacing w:before="0" w:after="0" w:line="240"/>
        <w:ind w:right="0" w:left="284" w:hanging="284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Náklady </w:t>
        <w:tab/>
        <w:tab/>
        <w:tab/>
        <w:tab/>
        <w:tab/>
        <w:t xml:space="preserve">              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  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    0.- €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Náklady na hospodársku 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činnosť</w:t>
        <w:tab/>
        <w:tab/>
        <w:tab/>
        <w:t xml:space="preserve">              0.- €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</w:t>
      </w:r>
    </w:p>
    <w:p>
      <w:pPr>
        <w:numPr>
          <w:ilvl w:val="0"/>
          <w:numId w:val="64"/>
        </w:numPr>
        <w:tabs>
          <w:tab w:val="left" w:pos="720" w:leader="none"/>
        </w:tabs>
        <w:spacing w:before="0" w:after="0" w:line="240"/>
        <w:ind w:right="0" w:left="720" w:hanging="36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spotreba materiálu, energie 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a ostatných neskladovate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ľných dodávok</w:t>
        <w:tab/>
        <w:tab/>
        <w:t xml:space="preserve">            €</w:t>
      </w:r>
    </w:p>
    <w:p>
      <w:pPr>
        <w:spacing w:before="0" w:after="0" w:line="240"/>
        <w:ind w:right="0" w:left="72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/501, 502, 503/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                                         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- služby /518,512/                                 0 €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- mzdové náklady /521/                             0.- 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- náklady na sociálne poistenie /524/              0.- 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- dane a poplatky /531/</w:t>
        <w:tab/>
        <w:tab/>
        <w:tab/>
        <w:t xml:space="preserve">                      €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Náklady na finan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čnú činnosť</w:t>
        <w:tab/>
        <w:tab/>
        <w:tab/>
        <w:tab/>
        <w:t xml:space="preserve">     </w:t>
        <w:tab/>
        <w:t xml:space="preserve">0,- 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- ostatné náklady na finan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čnú činnosť</w:t>
        <w:tab/>
        <w:t xml:space="preserve">             0.- 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/568/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72"/>
        </w:numPr>
        <w:tabs>
          <w:tab w:val="left" w:pos="0" w:leader="none"/>
        </w:tabs>
        <w:spacing w:before="0" w:after="0" w:line="240"/>
        <w:ind w:right="0" w:left="720" w:hanging="36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Výsledok hospodárenia za ú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čtovné obdobie</w:t>
        <w:tab/>
        <w:t xml:space="preserve">     0 €</w:t>
      </w:r>
    </w:p>
    <w:p>
      <w:pPr>
        <w:spacing w:before="0" w:after="0" w:line="240"/>
        <w:ind w:right="0" w:left="72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pred zdanením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Výsledok hospodárenia z hospodárskej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činnosti  </w:t>
        <w:tab/>
        <w:t xml:space="preserve">     0 €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Výsledok hospodárenia z finan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čnej činnosti</w:t>
        <w:tab/>
        <w:tab/>
        <w:t xml:space="preserve">     0.- €</w:t>
      </w:r>
    </w:p>
    <w:p>
      <w:pPr>
        <w:tabs>
          <w:tab w:val="left" w:pos="7380" w:leader="none"/>
        </w:tabs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ab/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Da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ň z príjmov splatná</w:t>
        <w:tab/>
        <w:tab/>
        <w:tab/>
        <w:tab/>
        <w:tab/>
        <w:tab/>
        <w:t xml:space="preserve">     0 €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77"/>
        </w:numPr>
        <w:tabs>
          <w:tab w:val="left" w:pos="0" w:leader="none"/>
        </w:tabs>
        <w:spacing w:before="0" w:after="0" w:line="240"/>
        <w:ind w:right="0" w:left="720" w:hanging="36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Výsledok hospodárenia za ú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čtovné obdobie</w:t>
        <w:tab/>
        <w:t xml:space="preserve">    0.- 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   po zdanení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Čl. VI</w:t>
      </w: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Informácie o skuto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čnostiach, ktoré nastali po dni, </w:t>
      </w: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ku ktorému sa zostavuje ú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čtovná závierka </w:t>
      </w: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do d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ňa zostavenia účtovnej závierky</w:t>
      </w: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0" w:line="240"/>
        <w:ind w:right="0" w:left="0" w:firstLine="720"/>
        <w:jc w:val="both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u w:val="single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Po 31. decembri 201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7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nenastali také udalosti, ktoré by si vyžadovali zverejnenie alebo vykázanie v ú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čtovnej závierke za rok 2018.</w:t>
      </w:r>
    </w:p>
    <w:p>
      <w:pPr>
        <w:spacing w:before="0" w:after="0" w:line="36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1">
    <w:lvl w:ilvl="0">
      <w:start w:val="1"/>
      <w:numFmt w:val="decimal"/>
      <w:lvlText w:val="%1."/>
    </w:lvl>
  </w:abstractNum>
  <w:abstractNum w:abstractNumId="7">
    <w:lvl w:ilvl="0">
      <w:start w:val="1"/>
      <w:numFmt w:val="decimal"/>
      <w:lvlText w:val="%1."/>
    </w:lvl>
  </w:abstractNum>
  <w:abstractNum w:abstractNumId="13">
    <w:lvl w:ilvl="0">
      <w:start w:val="1"/>
      <w:numFmt w:val="decimal"/>
      <w:lvlText w:val="%1."/>
    </w:lvl>
  </w:abstractNum>
  <w:abstractNum w:abstractNumId="19">
    <w:lvl w:ilvl="0">
      <w:start w:val="1"/>
      <w:numFmt w:val="decimal"/>
      <w:lvlText w:val="%1."/>
    </w:lvl>
  </w:abstractNum>
  <w:abstractNum w:abstractNumId="0">
    <w:lvl w:ilvl="0">
      <w:start w:val="1"/>
      <w:numFmt w:val="bullet"/>
      <w:lvlText w:val="•"/>
    </w:lvl>
  </w:abstractNum>
  <w:abstractNum w:abstractNumId="25">
    <w:lvl w:ilvl="0">
      <w:start w:val="1"/>
      <w:numFmt w:val="decimal"/>
      <w:lvlText w:val="%1."/>
    </w:lvl>
  </w:abstractNum>
  <w:abstractNum w:abstractNumId="6">
    <w:lvl w:ilvl="0">
      <w:start w:val="1"/>
      <w:numFmt w:val="bullet"/>
      <w:lvlText w:val="•"/>
    </w:lvl>
  </w:abstractNum>
  <w:abstractNum w:abstractNumId="31">
    <w:lvl w:ilvl="0">
      <w:start w:val="1"/>
      <w:numFmt w:val="decimal"/>
      <w:lvlText w:val="%1."/>
    </w:lvl>
  </w:abstractNum>
  <w:abstractNum w:abstractNumId="37">
    <w:lvl w:ilvl="0">
      <w:start w:val="1"/>
      <w:numFmt w:val="decimal"/>
      <w:lvlText w:val="%1."/>
    </w:lvl>
  </w:abstractNum>
  <w:num w:numId="4">
    <w:abstractNumId w:val="37"/>
  </w:num>
  <w:num w:numId="21">
    <w:abstractNumId w:val="31"/>
  </w:num>
  <w:num w:numId="28">
    <w:abstractNumId w:val="25"/>
  </w:num>
  <w:num w:numId="54">
    <w:abstractNumId w:val="19"/>
  </w:num>
  <w:num w:numId="58">
    <w:abstractNumId w:val="6"/>
  </w:num>
  <w:num w:numId="61">
    <w:abstractNumId w:val="13"/>
  </w:num>
  <w:num w:numId="64">
    <w:abstractNumId w:val="0"/>
  </w:num>
  <w:num w:numId="72">
    <w:abstractNumId w:val="7"/>
  </w:num>
  <w:num w:numId="77">
    <w:abstractNumId w:val="1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