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DBB" w:rsidRDefault="00C05649">
      <w:pPr>
        <w:spacing w:after="7" w:line="240" w:lineRule="auto"/>
        <w:ind w:left="48"/>
      </w:pPr>
      <w:r>
        <w:rPr>
          <w:sz w:val="24"/>
        </w:rPr>
        <w:t xml:space="preserve">Poznámky </w:t>
      </w:r>
      <w:proofErr w:type="spellStart"/>
      <w:r>
        <w:rPr>
          <w:sz w:val="24"/>
        </w:rPr>
        <w:t>Úč</w:t>
      </w:r>
      <w:proofErr w:type="spellEnd"/>
      <w:r>
        <w:rPr>
          <w:sz w:val="24"/>
        </w:rPr>
        <w:t xml:space="preserve"> MÚJ 3 - 01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IČO: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36749893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DIČ : 2022351287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18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47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rPr>
          <w:rFonts w:ascii="Times New Roman" w:eastAsia="Times New Roman" w:hAnsi="Times New Roman" w:cs="Times New Roman"/>
          <w:b w:val="0"/>
          <w:color w:val="000000"/>
          <w:sz w:val="37"/>
          <w:vertAlign w:val="subscript"/>
        </w:rPr>
        <w:t xml:space="preserve"> </w:t>
      </w:r>
      <w:r>
        <w:t>Čl. I Všeobecné údaje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numPr>
          <w:ilvl w:val="0"/>
          <w:numId w:val="1"/>
        </w:numPr>
        <w:spacing w:after="93" w:line="228" w:lineRule="auto"/>
        <w:ind w:right="-15" w:hanging="305"/>
      </w:pPr>
      <w:r>
        <w:rPr>
          <w:color w:val="00000A"/>
          <w:sz w:val="24"/>
        </w:rPr>
        <w:t>Názov právnickej osoby a jej sídlo.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3569" w:type="dxa"/>
        <w:tblInd w:w="7" w:type="dxa"/>
        <w:tblLook w:val="04A0" w:firstRow="1" w:lastRow="0" w:firstColumn="1" w:lastColumn="0" w:noHBand="0" w:noVBand="1"/>
      </w:tblPr>
      <w:tblGrid>
        <w:gridCol w:w="1500"/>
        <w:gridCol w:w="2069"/>
      </w:tblGrid>
      <w:tr w:rsidR="000C2DBB">
        <w:trPr>
          <w:trHeight w:val="235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0C2DBB"/>
        </w:tc>
      </w:tr>
      <w:tr w:rsidR="000C2DBB">
        <w:trPr>
          <w:trHeight w:val="431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Názov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jc w:val="both"/>
            </w:pPr>
            <w:r>
              <w:rPr>
                <w:b/>
                <w:color w:val="00000A"/>
                <w:sz w:val="24"/>
              </w:rPr>
              <w:t>GLASSBEADS, S.R.O.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Ulica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roofErr w:type="spellStart"/>
            <w:r>
              <w:rPr>
                <w:b/>
                <w:color w:val="00000A"/>
                <w:sz w:val="24"/>
              </w:rPr>
              <w:t>Urbánkova</w:t>
            </w:r>
            <w:proofErr w:type="spellEnd"/>
            <w:r>
              <w:rPr>
                <w:b/>
                <w:color w:val="00000A"/>
                <w:sz w:val="24"/>
              </w:rPr>
              <w:t xml:space="preserve"> 904/27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Mesto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Prievidza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IČO: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36749893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51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DIČ: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2022351287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0C2DBB" w:rsidRDefault="00C05649">
      <w:pPr>
        <w:spacing w:after="15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1"/>
        </w:numPr>
        <w:spacing w:after="15" w:line="228" w:lineRule="auto"/>
        <w:ind w:right="-15" w:hanging="305"/>
      </w:pPr>
      <w:r>
        <w:rPr>
          <w:color w:val="00000A"/>
          <w:sz w:val="24"/>
        </w:rPr>
        <w:t>Údaje o konsolidovanom celku, a to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136" w:right="614" w:hanging="144"/>
        <w:jc w:val="both"/>
      </w:pPr>
      <w:r>
        <w:rPr>
          <w:i/>
          <w:color w:val="00000A"/>
          <w:sz w:val="24"/>
        </w:rPr>
        <w:t xml:space="preserve">Účtovná jednotka nie je súčasťou konsolidovaného celku a nie je ani materskou účtovnou jednotkou 3) </w:t>
      </w:r>
      <w:r>
        <w:rPr>
          <w:color w:val="00000A"/>
          <w:sz w:val="24"/>
        </w:rPr>
        <w:t>Priemerný prepočítaný počet zamestnancov.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24"/>
        </w:rPr>
        <w:t>Účtovná jednotka zamestnávala v sledovanom období ....</w:t>
      </w:r>
      <w:r w:rsidR="00EB58B3">
        <w:rPr>
          <w:i/>
          <w:color w:val="00000A"/>
          <w:sz w:val="24"/>
        </w:rPr>
        <w:t>1</w:t>
      </w:r>
      <w:r>
        <w:rPr>
          <w:i/>
          <w:color w:val="00000A"/>
          <w:sz w:val="24"/>
        </w:rPr>
        <w:t>..... zamestnancov.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24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spacing w:after="122"/>
      </w:pPr>
      <w:r>
        <w:t>Čl. II Informácie o prijatých postupoch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after="22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32" w:line="236" w:lineRule="auto"/>
        <w:ind w:hanging="367"/>
      </w:pPr>
      <w:r>
        <w:rPr>
          <w:i/>
          <w:color w:val="00000A"/>
          <w:sz w:val="24"/>
        </w:rPr>
        <w:t>Účtovná závierka účtov</w:t>
      </w:r>
      <w:r w:rsidR="00EB58B3">
        <w:rPr>
          <w:i/>
          <w:color w:val="00000A"/>
          <w:sz w:val="24"/>
        </w:rPr>
        <w:t>nej jednotky k 31. decembru 2018</w:t>
      </w:r>
      <w:r>
        <w:rPr>
          <w:i/>
          <w:color w:val="00000A"/>
          <w:sz w:val="24"/>
        </w:rPr>
        <w:t xml:space="preserve"> je zostavená ako riadna účtovná závierka podľa § 17 ods. 6 zákona NR SR č. 431/2002 Z. z. o účtovníctve, za účtovné obdobie od 1.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37"/>
          <w:vertAlign w:val="subscript"/>
        </w:rPr>
        <w:t xml:space="preserve"> </w:t>
      </w:r>
      <w:r>
        <w:rPr>
          <w:i/>
          <w:color w:val="00000A"/>
          <w:sz w:val="37"/>
          <w:vertAlign w:val="subscript"/>
        </w:rPr>
        <w:tab/>
      </w:r>
      <w:r>
        <w:rPr>
          <w:i/>
          <w:color w:val="00000A"/>
          <w:sz w:val="24"/>
        </w:rPr>
        <w:t>januára 201</w:t>
      </w:r>
      <w:r w:rsidR="00EB58B3">
        <w:rPr>
          <w:i/>
          <w:color w:val="00000A"/>
          <w:sz w:val="24"/>
        </w:rPr>
        <w:t>8</w:t>
      </w:r>
      <w:r>
        <w:rPr>
          <w:i/>
          <w:color w:val="00000A"/>
          <w:sz w:val="24"/>
        </w:rPr>
        <w:t xml:space="preserve"> do 31. decembra </w:t>
      </w:r>
      <w:r w:rsidR="00EB58B3">
        <w:rPr>
          <w:i/>
          <w:color w:val="00000A"/>
          <w:sz w:val="24"/>
        </w:rPr>
        <w:t>2018</w:t>
      </w:r>
      <w:r>
        <w:rPr>
          <w:i/>
          <w:color w:val="00000A"/>
          <w:sz w:val="24"/>
        </w:rPr>
        <w:t xml:space="preserve">. 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Spôsob oceňovania jednotlivých položiek majetku a záväzkov, a to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2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8114" w:type="dxa"/>
        <w:tblInd w:w="7" w:type="dxa"/>
        <w:tblLook w:val="04A0" w:firstRow="1" w:lastRow="0" w:firstColumn="1" w:lastColumn="0" w:noHBand="0" w:noVBand="1"/>
      </w:tblPr>
      <w:tblGrid>
        <w:gridCol w:w="5889"/>
        <w:gridCol w:w="2225"/>
      </w:tblGrid>
      <w:tr w:rsidR="000C2DBB">
        <w:trPr>
          <w:trHeight w:val="438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Druh majetku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b/>
                <w:color w:val="00000A"/>
                <w:sz w:val="23"/>
              </w:rPr>
              <w:t>Spôsob ocenenia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2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6" w:lineRule="auto"/>
              <w:ind w:right="3025"/>
            </w:pPr>
            <w:r>
              <w:rPr>
                <w:color w:val="00000A"/>
                <w:sz w:val="24"/>
              </w:rPr>
              <w:t>Dlhodobý nehmotný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majetok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2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6" w:lineRule="auto"/>
              <w:ind w:right="3270"/>
            </w:pPr>
            <w:r>
              <w:rPr>
                <w:color w:val="00000A"/>
                <w:sz w:val="24"/>
              </w:rPr>
              <w:t>Dlhodobý hmotný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majetok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3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32" w:lineRule="auto"/>
              <w:ind w:right="3491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color w:val="00000A"/>
                <w:sz w:val="24"/>
              </w:rPr>
              <w:t>Zásoby obstarané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kúpou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39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color w:val="00000A"/>
                <w:sz w:val="24"/>
              </w:rPr>
              <w:t>Pohľadávky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  <w:jc w:val="both"/>
            </w:pPr>
            <w:r>
              <w:rPr>
                <w:i/>
                <w:color w:val="00000A"/>
                <w:sz w:val="24"/>
              </w:rPr>
              <w:t>Menovitou hodnotou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55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color w:val="00000A"/>
                <w:sz w:val="24"/>
              </w:rPr>
              <w:t>Záväzky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  <w:jc w:val="both"/>
            </w:pPr>
            <w:r>
              <w:rPr>
                <w:i/>
                <w:color w:val="00000A"/>
                <w:sz w:val="24"/>
              </w:rPr>
              <w:t>Menovitou hodnotou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0C2DBB" w:rsidRDefault="00C05649">
      <w:pPr>
        <w:spacing w:after="24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line="232" w:lineRule="auto"/>
        <w:ind w:hanging="367"/>
      </w:pPr>
      <w:r>
        <w:rPr>
          <w:color w:val="00000A"/>
          <w:sz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0C2DBB" w:rsidRDefault="00C05649">
      <w:pPr>
        <w:spacing w:line="239" w:lineRule="auto"/>
        <w:ind w:left="7"/>
        <w:jc w:val="both"/>
      </w:pPr>
      <w:r>
        <w:rPr>
          <w:i/>
          <w:sz w:val="24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1700 EUR a nižšia sa odpisuje jednorazovo pri uvedení do používania. Pozemky sa neodpisujú.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36"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Informácie o dotáciách a ich oceňovanie v účtovníctve.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14"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86" w:line="228" w:lineRule="auto"/>
        <w:ind w:hanging="367"/>
      </w:pPr>
      <w:r>
        <w:rPr>
          <w:color w:val="00000A"/>
          <w:sz w:val="24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27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Oprava chýb MO z roku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 w:val="0"/>
          <w:color w:val="000000"/>
        </w:rPr>
        <w:tab/>
      </w:r>
      <w:r>
        <w:t>Popis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      </w:t>
      </w:r>
      <w:r>
        <w:rPr>
          <w:sz w:val="23"/>
        </w:rPr>
        <w:t>Vplyv na HV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10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41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spacing w:after="122"/>
      </w:pPr>
      <w:r>
        <w:t>Čl. III Informácie, ktoré vysvetľujú a dopĺňajú súvahu a výkaz ziskov a strát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after="22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3"/>
        </w:numPr>
        <w:spacing w:after="15" w:line="228" w:lineRule="auto"/>
        <w:ind w:right="580" w:hanging="329"/>
      </w:pPr>
      <w:r>
        <w:rPr>
          <w:color w:val="00000A"/>
          <w:sz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:rsidR="000C2DBB" w:rsidRDefault="00C05649">
      <w:pPr>
        <w:spacing w:after="38"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3"/>
        </w:numPr>
        <w:spacing w:after="15" w:line="228" w:lineRule="auto"/>
        <w:ind w:right="580" w:hanging="329"/>
      </w:pPr>
      <w:r>
        <w:rPr>
          <w:color w:val="00000A"/>
          <w:sz w:val="24"/>
        </w:rPr>
        <w:t xml:space="preserve">Informácie o záväzkoch, a to  </w:t>
      </w:r>
    </w:p>
    <w:p w:rsidR="000C2DBB" w:rsidRDefault="00C05649">
      <w:pPr>
        <w:spacing w:after="15" w:line="228" w:lineRule="auto"/>
        <w:ind w:left="-5" w:right="-15" w:hanging="3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color w:val="00000A"/>
          <w:sz w:val="24"/>
        </w:rPr>
        <w:t xml:space="preserve">a) celkovej sume záväzkov so zostatkovou dobou splatnosti dlhšou ako päť rokov,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05649" w:rsidRDefault="00C05649">
      <w:pPr>
        <w:pStyle w:val="Nadpis1"/>
        <w:numPr>
          <w:ilvl w:val="0"/>
          <w:numId w:val="0"/>
        </w:numPr>
      </w:pPr>
      <w:r>
        <w:t xml:space="preserve">Záväzky celkom: </w:t>
      </w:r>
      <w:r>
        <w:rPr>
          <w:lang w:val="en-US"/>
        </w:rPr>
        <w:t>20</w:t>
      </w:r>
      <w:r w:rsidR="00EB58B3">
        <w:rPr>
          <w:lang w:val="en-US"/>
        </w:rPr>
        <w:t>485</w:t>
      </w:r>
      <w:r>
        <w:t xml:space="preserve">  </w:t>
      </w:r>
    </w:p>
    <w:p w:rsidR="00C05649" w:rsidRDefault="00C05649" w:rsidP="00C05649">
      <w:pPr>
        <w:pStyle w:val="Nadpis1"/>
        <w:numPr>
          <w:ilvl w:val="0"/>
          <w:numId w:val="0"/>
        </w:numPr>
      </w:pPr>
      <w:r>
        <w:t xml:space="preserve">Zostatková doba splatnosti do 1 roka: </w:t>
      </w:r>
      <w:r w:rsidR="00EB58B3">
        <w:t>10086</w:t>
      </w:r>
    </w:p>
    <w:p w:rsidR="000C2DBB" w:rsidRDefault="00C05649" w:rsidP="00C05649">
      <w:pPr>
        <w:pStyle w:val="Nadpis1"/>
        <w:numPr>
          <w:ilvl w:val="0"/>
          <w:numId w:val="0"/>
        </w:numPr>
      </w:pPr>
      <w:r>
        <w:t>Zostatková doba splatnosti viac ako 5 rokov: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0C2DBB" w:rsidRDefault="00C05649">
      <w:pPr>
        <w:spacing w:after="38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b) celkovej sume zabezpečených záväzkov, opis a spôsoby zabezpečenia záväzkov.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Celková suma Opis záväzku Spôsob zabezpečenia zabezpečených záväzkov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2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4"/>
        </w:numPr>
        <w:spacing w:after="15" w:line="228" w:lineRule="auto"/>
        <w:ind w:right="-15" w:hanging="329"/>
      </w:pPr>
      <w:r>
        <w:rPr>
          <w:color w:val="00000A"/>
          <w:sz w:val="24"/>
        </w:rPr>
        <w:t xml:space="preserve">Informácie o vlastných akciách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spacing w:after="24"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4"/>
        </w:numPr>
        <w:spacing w:after="15" w:line="228" w:lineRule="auto"/>
        <w:ind w:right="-15" w:hanging="329"/>
      </w:pPr>
      <w:r>
        <w:rPr>
          <w:color w:val="00000A"/>
          <w:sz w:val="24"/>
        </w:rPr>
        <w:t xml:space="preserve">Informácie o orgánoch účtovnej jednotky, a to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24" w:lineRule="auto"/>
        <w:ind w:left="7" w:right="339"/>
      </w:pPr>
      <w:r>
        <w:rPr>
          <w:color w:val="00000A"/>
          <w:sz w:val="23"/>
        </w:rPr>
        <w:t>a) výške jednotlivých druhov záruk alebo iných zabezpečení poskytnutých pre členov štatutárneho orgánu, dozorného orgánu a iného orgánu účtovnej jednotky, a to v členení za jednotlivé orgány,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lastRenderedPageBreak/>
        <w:t xml:space="preserve">Poskytnuté záruky                      Druh záruky                   Suma  </w:t>
      </w:r>
    </w:p>
    <w:p w:rsidR="000C2DBB" w:rsidRDefault="00C05649">
      <w:pPr>
        <w:spacing w:after="42" w:line="240" w:lineRule="auto"/>
        <w:ind w:left="7"/>
      </w:pPr>
      <w:r>
        <w:rPr>
          <w:b/>
          <w:color w:val="00000A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Konateľom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 xml:space="preserve">Členom správnej rady </w:t>
      </w:r>
    </w:p>
    <w:p w:rsidR="000C2DBB" w:rsidRDefault="00C05649">
      <w:pPr>
        <w:pStyle w:val="Nadpis1"/>
        <w:numPr>
          <w:ilvl w:val="0"/>
          <w:numId w:val="0"/>
        </w:numPr>
      </w:pPr>
      <w:proofErr w:type="spellStart"/>
      <w:r>
        <w:t>Členomdozornej</w:t>
      </w:r>
      <w:proofErr w:type="spellEnd"/>
      <w:r>
        <w:t xml:space="preserve"> rady </w:t>
      </w:r>
    </w:p>
    <w:p w:rsidR="000C2DBB" w:rsidRDefault="00C05649">
      <w:pPr>
        <w:pStyle w:val="Nadpis1"/>
        <w:numPr>
          <w:ilvl w:val="0"/>
          <w:numId w:val="0"/>
        </w:numPr>
      </w:pPr>
      <w:r>
        <w:t>Spoločníkom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500" w:hanging="3"/>
      </w:pPr>
      <w:r>
        <w:rPr>
          <w:color w:val="00000A"/>
          <w:sz w:val="24"/>
        </w:rPr>
        <w:t xml:space="preserve">b) pôžičkách poskytnutých členom štatutárneho orgánu, dozorného orgánu a iného orgánu </w:t>
      </w: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účtovnej jednotky a to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8474" w:type="dxa"/>
        <w:tblInd w:w="0" w:type="dxa"/>
        <w:tblLook w:val="04A0" w:firstRow="1" w:lastRow="0" w:firstColumn="1" w:lastColumn="0" w:noHBand="0" w:noVBand="1"/>
      </w:tblPr>
      <w:tblGrid>
        <w:gridCol w:w="3448"/>
        <w:gridCol w:w="3480"/>
        <w:gridCol w:w="1546"/>
      </w:tblGrid>
      <w:tr w:rsidR="000C2DBB">
        <w:trPr>
          <w:trHeight w:val="1279"/>
        </w:trPr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after="69" w:line="240" w:lineRule="auto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Poskytnuté pôžičky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pPr>
              <w:spacing w:after="64" w:line="240" w:lineRule="auto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Konateľom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pPr>
              <w:spacing w:line="240" w:lineRule="auto"/>
              <w:ind w:left="7"/>
            </w:pPr>
            <w:r>
              <w:rPr>
                <w:b/>
                <w:color w:val="00000A"/>
                <w:sz w:val="24"/>
              </w:rPr>
              <w:t>Členom správnej rady</w:t>
            </w:r>
          </w:p>
          <w:p w:rsidR="000C2DBB" w:rsidRDefault="00C05649">
            <w:pPr>
              <w:spacing w:after="19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Členom dozornej rady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Celková suma k 31.12.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jc w:val="both"/>
            </w:pPr>
            <w:r>
              <w:rPr>
                <w:b/>
                <w:color w:val="00000A"/>
                <w:sz w:val="23"/>
              </w:rPr>
              <w:t>Z toho splatené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40"/>
        </w:trPr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7"/>
            </w:pPr>
            <w:r>
              <w:rPr>
                <w:b/>
                <w:color w:val="00000A"/>
                <w:sz w:val="24"/>
              </w:rPr>
              <w:t>Spoločníkom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 w:rsidP="00EB58B3">
            <w:r>
              <w:rPr>
                <w:color w:val="00000A"/>
                <w:sz w:val="24"/>
              </w:rPr>
              <w:t>59</w:t>
            </w:r>
            <w:r w:rsidR="00EB58B3">
              <w:rPr>
                <w:color w:val="00000A"/>
                <w:sz w:val="24"/>
              </w:rPr>
              <w:t>308</w:t>
            </w:r>
            <w:bookmarkStart w:id="0" w:name="_GoBack"/>
            <w:bookmarkEnd w:id="0"/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0C2DBB"/>
        </w:tc>
      </w:tr>
    </w:tbl>
    <w:p w:rsidR="00C05649" w:rsidRDefault="00C05649">
      <w:pPr>
        <w:spacing w:after="109" w:line="228" w:lineRule="auto"/>
        <w:ind w:left="-5" w:right="-15" w:hanging="3"/>
        <w:rPr>
          <w:color w:val="00000A"/>
          <w:sz w:val="24"/>
        </w:rPr>
      </w:pPr>
      <w:r>
        <w:rPr>
          <w:color w:val="00000A"/>
          <w:sz w:val="24"/>
        </w:rPr>
        <w:t xml:space="preserve"> </w:t>
      </w:r>
    </w:p>
    <w:p w:rsidR="000C2DBB" w:rsidRDefault="00C05649">
      <w:pPr>
        <w:spacing w:after="109" w:line="228" w:lineRule="auto"/>
        <w:ind w:left="-5" w:right="-15" w:hanging="3"/>
      </w:pPr>
      <w:r>
        <w:rPr>
          <w:color w:val="00000A"/>
          <w:sz w:val="24"/>
        </w:rPr>
        <w:t xml:space="preserve">5) </w:t>
      </w:r>
      <w:r>
        <w:rPr>
          <w:rFonts w:ascii="Arial" w:eastAsia="Arial" w:hAnsi="Arial" w:cs="Arial"/>
          <w:color w:val="00000A"/>
          <w:sz w:val="24"/>
        </w:rPr>
        <w:t xml:space="preserve"> </w:t>
      </w:r>
      <w:r>
        <w:rPr>
          <w:color w:val="00000A"/>
          <w:sz w:val="24"/>
        </w:rPr>
        <w:t xml:space="preserve">Informácie o povinnostiach účtovnej jednotky, a to  </w:t>
      </w:r>
    </w:p>
    <w:p w:rsidR="000C2DBB" w:rsidRDefault="00C05649">
      <w:pPr>
        <w:numPr>
          <w:ilvl w:val="0"/>
          <w:numId w:val="5"/>
        </w:numPr>
        <w:spacing w:after="15" w:line="228" w:lineRule="auto"/>
        <w:ind w:right="-15" w:hanging="250"/>
      </w:pPr>
      <w:r>
        <w:rPr>
          <w:color w:val="00000A"/>
          <w:sz w:val="24"/>
        </w:rPr>
        <w:t xml:space="preserve">celkovej sume finančných povinností, ktoré sa nevykazujú v súvahe, ale sú významné na posúdenie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 celé zostávajúce obdobie platnosti zmluvy,  </w:t>
      </w:r>
    </w:p>
    <w:p w:rsidR="000C2DBB" w:rsidRDefault="00C05649">
      <w:pPr>
        <w:numPr>
          <w:ilvl w:val="0"/>
          <w:numId w:val="5"/>
        </w:numPr>
        <w:spacing w:after="15" w:line="228" w:lineRule="auto"/>
        <w:ind w:right="-15" w:hanging="250"/>
      </w:pPr>
      <w:r>
        <w:rPr>
          <w:color w:val="00000A"/>
          <w:sz w:val="24"/>
        </w:rPr>
        <w:t xml:space="preserve">celkovej sume významných podmienených záväzkov, ktorými sa rozumie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6"/>
        </w:numPr>
        <w:spacing w:line="232" w:lineRule="auto"/>
        <w:ind w:right="567" w:hanging="247"/>
      </w:pPr>
      <w:r>
        <w:rPr>
          <w:color w:val="00000A"/>
          <w:sz w:val="24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6"/>
        </w:numPr>
        <w:spacing w:after="15" w:line="228" w:lineRule="auto"/>
        <w:ind w:right="567" w:hanging="247"/>
      </w:pPr>
      <w:r>
        <w:rPr>
          <w:color w:val="00000A"/>
          <w:sz w:val="24"/>
        </w:rPr>
        <w:t xml:space="preserve">existujúca povinnosť, ktorá vznikla ako dôsledok minulej udalosti, ale ktorá sa nevykazuje v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súvahe, pretože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169" w:hanging="3"/>
      </w:pPr>
      <w:r>
        <w:rPr>
          <w:color w:val="00000A"/>
          <w:sz w:val="24"/>
        </w:rPr>
        <w:t xml:space="preserve">2a. nie je pravdepodobné, že na splnenie tejto povinnosti bude potrebný úbytok ekonomických </w:t>
      </w: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úžitkov, alebo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-15" w:hanging="3"/>
      </w:pP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2b. výška tejto povinnosti sa nedá spoľahlivo oceniť,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 xml:space="preserve">opise významných finančných povinností a významných podmienených záväzkov,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 xml:space="preserve">celkovej sume významných finančných povinností a významných podmienených záväzkoch voči dcérskej účtovnej jednotke a účtovnej jednotke s podstatným vplyvom,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 xml:space="preserve">opise významných povinností účtovnej jednotky vyplývajúcich z dôchodkových programov </w:t>
      </w:r>
    </w:p>
    <w:p w:rsidR="000C2DBB" w:rsidRDefault="00C05649">
      <w:pPr>
        <w:spacing w:after="110" w:line="228" w:lineRule="auto"/>
        <w:ind w:left="-5" w:right="-15" w:hanging="3"/>
      </w:pPr>
      <w:r>
        <w:rPr>
          <w:color w:val="00000A"/>
          <w:sz w:val="24"/>
        </w:rPr>
        <w:t xml:space="preserve">pre zamestnancov.  </w:t>
      </w:r>
    </w:p>
    <w:p w:rsidR="000C2DBB" w:rsidRDefault="00C05649">
      <w:pPr>
        <w:spacing w:after="21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ind w:right="122"/>
      </w:pPr>
      <w:r>
        <w:rPr>
          <w:b w:val="0"/>
        </w:rPr>
        <w:t xml:space="preserve">(6) </w:t>
      </w:r>
      <w:r>
        <w:t>Informácie o udelení výlučného práva alebo osobitného práva, ktorým sa udelilo právo poskytovať</w:t>
      </w:r>
      <w:r>
        <w:rPr>
          <w:b w:val="0"/>
        </w:rPr>
        <w:t xml:space="preserve"> </w:t>
      </w:r>
      <w:r>
        <w:t xml:space="preserve">služby vo verejnom záujme, pričom sa uvádza náhrada za túto činnosť v akejkoľvek </w:t>
      </w:r>
    </w:p>
    <w:p w:rsidR="000C2DBB" w:rsidRDefault="00C05649">
      <w:pPr>
        <w:pStyle w:val="Nadpis1"/>
        <w:numPr>
          <w:ilvl w:val="0"/>
          <w:numId w:val="0"/>
        </w:numPr>
        <w:ind w:right="2315"/>
      </w:pP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t xml:space="preserve">forme, a ak sa zároveň vykonávajú aj iné činnosti, uvádzajú sa aj informácie o 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t xml:space="preserve"> a)</w:t>
      </w:r>
      <w:r>
        <w:rPr>
          <w:rFonts w:ascii="Arial" w:eastAsia="Arial" w:hAnsi="Arial" w:cs="Arial"/>
        </w:rPr>
        <w:t xml:space="preserve"> </w:t>
      </w:r>
      <w:r>
        <w:t xml:space="preserve">všetkých formách prijatej náhrady,  </w:t>
      </w:r>
    </w:p>
    <w:p w:rsidR="000C2DBB" w:rsidRDefault="00C05649">
      <w:pPr>
        <w:pStyle w:val="Nadpis1"/>
        <w:numPr>
          <w:ilvl w:val="0"/>
          <w:numId w:val="0"/>
        </w:numPr>
      </w:pPr>
      <w:r>
        <w:t xml:space="preserve"> b)</w:t>
      </w:r>
      <w:r>
        <w:rPr>
          <w:rFonts w:ascii="Arial" w:eastAsia="Arial" w:hAnsi="Arial" w:cs="Arial"/>
        </w:rPr>
        <w:t xml:space="preserve"> </w:t>
      </w:r>
      <w:r>
        <w:t xml:space="preserve">účtovných zásadách použitých pri prideľovaní nákladov a výnosov,  </w:t>
      </w:r>
    </w:p>
    <w:p w:rsidR="000C2DBB" w:rsidRDefault="00C05649">
      <w:pPr>
        <w:pStyle w:val="Nadpis1"/>
        <w:ind w:left="220" w:hanging="228"/>
      </w:pPr>
      <w:r>
        <w:t xml:space="preserve">všetkých druhoch činností účtovnej jednotky.  </w:t>
      </w:r>
    </w:p>
    <w:sectPr w:rsidR="000C2DBB">
      <w:pgSz w:w="11900" w:h="16840"/>
      <w:pgMar w:top="1004" w:right="839" w:bottom="103" w:left="79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06B89"/>
    <w:multiLevelType w:val="hybridMultilevel"/>
    <w:tmpl w:val="6E542056"/>
    <w:lvl w:ilvl="0" w:tplc="C7BAC084">
      <w:start w:val="1"/>
      <w:numFmt w:val="decimal"/>
      <w:lvlText w:val="%1)"/>
      <w:lvlJc w:val="left"/>
      <w:pPr>
        <w:ind w:left="451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00CE18">
      <w:start w:val="1"/>
      <w:numFmt w:val="lowerLetter"/>
      <w:lvlText w:val="%2"/>
      <w:lvlJc w:val="left"/>
      <w:pPr>
        <w:ind w:left="122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782402">
      <w:start w:val="1"/>
      <w:numFmt w:val="lowerRoman"/>
      <w:lvlText w:val="%3"/>
      <w:lvlJc w:val="left"/>
      <w:pPr>
        <w:ind w:left="194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7892D2">
      <w:start w:val="1"/>
      <w:numFmt w:val="decimal"/>
      <w:lvlText w:val="%4"/>
      <w:lvlJc w:val="left"/>
      <w:pPr>
        <w:ind w:left="266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BE4116">
      <w:start w:val="1"/>
      <w:numFmt w:val="lowerLetter"/>
      <w:lvlText w:val="%5"/>
      <w:lvlJc w:val="left"/>
      <w:pPr>
        <w:ind w:left="338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C887B4C">
      <w:start w:val="1"/>
      <w:numFmt w:val="lowerRoman"/>
      <w:lvlText w:val="%6"/>
      <w:lvlJc w:val="left"/>
      <w:pPr>
        <w:ind w:left="410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9E4580">
      <w:start w:val="1"/>
      <w:numFmt w:val="decimal"/>
      <w:lvlText w:val="%7"/>
      <w:lvlJc w:val="left"/>
      <w:pPr>
        <w:ind w:left="482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824D4C">
      <w:start w:val="1"/>
      <w:numFmt w:val="lowerLetter"/>
      <w:lvlText w:val="%8"/>
      <w:lvlJc w:val="left"/>
      <w:pPr>
        <w:ind w:left="554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C4F1B0">
      <w:start w:val="1"/>
      <w:numFmt w:val="lowerRoman"/>
      <w:lvlText w:val="%9"/>
      <w:lvlJc w:val="left"/>
      <w:pPr>
        <w:ind w:left="626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C4461F5"/>
    <w:multiLevelType w:val="hybridMultilevel"/>
    <w:tmpl w:val="8A7E7904"/>
    <w:lvl w:ilvl="0" w:tplc="21563588">
      <w:start w:val="1"/>
      <w:numFmt w:val="lowerLetter"/>
      <w:lvlText w:val="%1)"/>
      <w:lvlJc w:val="left"/>
      <w:pPr>
        <w:ind w:left="25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28FE6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4222B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3E8FC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C8F29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368DB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A82F9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78A8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3C0B7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DC2335C"/>
    <w:multiLevelType w:val="hybridMultilevel"/>
    <w:tmpl w:val="1A244E9E"/>
    <w:lvl w:ilvl="0" w:tplc="5E542076">
      <w:start w:val="1"/>
      <w:numFmt w:val="decimal"/>
      <w:lvlText w:val="%1."/>
      <w:lvlJc w:val="left"/>
      <w:pPr>
        <w:ind w:left="247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E5E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5677E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E4FDA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C8396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3260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FEECB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8E638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CEB82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8892081"/>
    <w:multiLevelType w:val="hybridMultilevel"/>
    <w:tmpl w:val="66E60F10"/>
    <w:lvl w:ilvl="0" w:tplc="4714568C">
      <w:start w:val="1"/>
      <w:numFmt w:val="decimal"/>
      <w:lvlText w:val="%1)"/>
      <w:lvlJc w:val="left"/>
      <w:pPr>
        <w:ind w:left="727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6E7EE8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269B3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14815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309FA2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BE043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48F2E6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30B2C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D26C7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869275E"/>
    <w:multiLevelType w:val="hybridMultilevel"/>
    <w:tmpl w:val="F24037E4"/>
    <w:lvl w:ilvl="0" w:tplc="9D348442">
      <w:start w:val="3"/>
      <w:numFmt w:val="lowerLetter"/>
      <w:lvlText w:val="%1)"/>
      <w:lvlJc w:val="left"/>
      <w:pPr>
        <w:ind w:left="254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C691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1EED7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F632E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53AE12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BEBC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96393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44AD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8E33C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8CC14C9"/>
    <w:multiLevelType w:val="hybridMultilevel"/>
    <w:tmpl w:val="1682CB10"/>
    <w:lvl w:ilvl="0" w:tplc="C4C0B228">
      <w:start w:val="100"/>
      <w:numFmt w:val="lowerRoman"/>
      <w:pStyle w:val="Nadpis1"/>
      <w:lvlText w:val="%1)"/>
      <w:lvlJc w:val="left"/>
      <w:pPr>
        <w:ind w:left="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327AB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2E238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A69F4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2480D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1E6E7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2E51E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2AA87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A0EB2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31F4FBE"/>
    <w:multiLevelType w:val="hybridMultilevel"/>
    <w:tmpl w:val="EBF01A10"/>
    <w:lvl w:ilvl="0" w:tplc="6248E35C">
      <w:start w:val="3"/>
      <w:numFmt w:val="decimal"/>
      <w:lvlText w:val="(%1)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02568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8D29F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A8CEE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70D5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230CC2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AA446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3E57E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BA7AB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68947C4"/>
    <w:multiLevelType w:val="hybridMultilevel"/>
    <w:tmpl w:val="C75CB184"/>
    <w:lvl w:ilvl="0" w:tplc="992E0AA6">
      <w:start w:val="1"/>
      <w:numFmt w:val="decimal"/>
      <w:lvlText w:val="(%1)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DA40E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C0DE4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569B9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AE045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C6696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FA07D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26C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3ABCA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DBB"/>
    <w:rsid w:val="000C2DBB"/>
    <w:rsid w:val="00C05649"/>
    <w:rsid w:val="00EB5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11D5E6-6CF4-444A-9064-FDFCEF1C6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8"/>
      </w:numPr>
      <w:spacing w:after="36" w:line="238" w:lineRule="auto"/>
      <w:ind w:left="2" w:right="-15" w:hanging="10"/>
      <w:outlineLvl w:val="0"/>
    </w:pPr>
    <w:rPr>
      <w:rFonts w:ascii="Calibri" w:eastAsia="Calibri" w:hAnsi="Calibri" w:cs="Calibri"/>
      <w:b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A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908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peter.kapusta</dc:creator>
  <cp:keywords/>
  <cp:lastModifiedBy>Peter Kapusta</cp:lastModifiedBy>
  <cp:revision>3</cp:revision>
  <dcterms:created xsi:type="dcterms:W3CDTF">2018-07-01T19:30:00Z</dcterms:created>
  <dcterms:modified xsi:type="dcterms:W3CDTF">2019-07-01T15:59:00Z</dcterms:modified>
</cp:coreProperties>
</file>