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>
          <w:b/>
          <w:b/>
          <w:sz w:val="24"/>
        </w:rPr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cs="Arial Narrow" w:ascii="Arial Narrow" w:hAnsi="Arial Narrow"/>
          <w:sz w:val="22"/>
        </w:rPr>
        <w:t xml:space="preserve">(1) </w:t>
      </w:r>
      <w:r>
        <w:rPr>
          <w:rFonts w:cs="Arial Narrow" w:ascii="Arial Narrow" w:hAnsi="Arial Narrow"/>
          <w:sz w:val="23"/>
        </w:rPr>
        <w:t>Názov právnickej osoby a jej sídlo alebo meno a priezvisko fyzickej osoby</w:t>
      </w:r>
      <w:r>
        <w:rPr>
          <w:rFonts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9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r>
        <w:rPr>
          <w:sz w:val="22"/>
          <w:lang w:eastAsia="sk-SK"/>
        </w:rPr>
        <w:t xml:space="preserve">ASK Reality </w:t>
      </w:r>
      <w:r>
        <w:rPr>
          <w:sz w:val="22"/>
          <w:lang w:eastAsia="sk-SK"/>
        </w:rPr>
        <w:t>Galanta</w:t>
      </w:r>
      <w:r>
        <w:rPr>
          <w:sz w:val="22"/>
          <w:lang w:eastAsia="sk-SK"/>
        </w:rPr>
        <w:t>,s. r. 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r>
        <w:rPr>
          <w:sz w:val="22"/>
          <w:lang w:eastAsia="sk-SK"/>
        </w:rPr>
        <w:t>Hlavná 20</w:t>
      </w:r>
      <w:r>
        <w:rPr>
          <w:sz w:val="22"/>
          <w:lang w:eastAsia="sk-SK"/>
        </w:rPr>
        <w:t xml:space="preserve">, </w:t>
      </w:r>
      <w:r>
        <w:rPr>
          <w:sz w:val="22"/>
          <w:lang w:eastAsia="sk-SK"/>
        </w:rPr>
        <w:t>927 00  Šaľa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val="cs-CZ"/>
        </w:rPr>
        <w:t xml:space="preserve">IČO: </w:t>
      </w:r>
      <w:r>
        <w:rPr>
          <w:sz w:val="22"/>
          <w:lang w:val="cs-CZ"/>
        </w:rPr>
        <w:t>52106578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rFonts w:eastAsia="Arial Narrow"/>
          <w:sz w:val="22"/>
        </w:rPr>
      </w:pPr>
      <w:r>
        <w:rPr>
          <w:rFonts w:eastAsia="Arial Narrow"/>
          <w:sz w:val="22"/>
        </w:rPr>
        <w:t xml:space="preserve">zapísaná do obchodného registra dňa:    </w:t>
      </w:r>
      <w:r>
        <w:rPr>
          <w:rFonts w:eastAsia="Arial Narrow"/>
          <w:sz w:val="22"/>
        </w:rPr>
        <w:t>21.12.2018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eastAsia="Arial Narrow"/>
          <w:sz w:val="22"/>
        </w:rPr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eastAsia="Arial Narrow"/>
          <w:sz w:val="22"/>
        </w:rPr>
      </w:pPr>
      <w:r>
        <w:rPr>
          <w:rFonts w:eastAsia="Arial Narrow"/>
          <w:sz w:val="22"/>
        </w:rPr>
        <w:t>Sprostredkovanie predaja, prenájmu a kúpy nehnuteľností (realitná činnosť)</w:t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eastAsia="Arial Narrow"/>
          <w:sz w:val="22"/>
        </w:rPr>
      </w:pPr>
      <w:r>
        <w:rPr>
          <w:rFonts w:eastAsia="Arial Narrow"/>
          <w:sz w:val="22"/>
        </w:rPr>
      </w:r>
    </w:p>
    <w:p>
      <w:pPr>
        <w:pStyle w:val="Normalpodnadpis"/>
        <w:tabs>
          <w:tab w:val="clear" w:pos="709"/>
          <w:tab w:val="left" w:pos="0" w:leader="none"/>
        </w:tabs>
        <w:spacing w:lineRule="auto" w:line="360"/>
        <w:ind w:left="0" w:right="0" w:hanging="0"/>
        <w:rPr/>
      </w:pPr>
      <w:r>
        <w:rPr>
          <w:sz w:val="22"/>
        </w:rPr>
        <w:t xml:space="preserve">(2) </w:t>
      </w:r>
      <w:r>
        <w:rPr>
          <w:rFonts w:eastAsia="Arial Narrow"/>
          <w:sz w:val="22"/>
        </w:rPr>
        <w:t>Údaje o konsolidovanom celku:</w:t>
      </w:r>
    </w:p>
    <w:p>
      <w:pPr>
        <w:pStyle w:val="Normalpodnadpis"/>
        <w:tabs>
          <w:tab w:val="clear" w:pos="709"/>
          <w:tab w:val="left" w:pos="0" w:leader="none"/>
        </w:tabs>
        <w:spacing w:lineRule="auto" w:line="360"/>
        <w:ind w:left="0" w:right="0" w:hanging="0"/>
        <w:rPr/>
      </w:pPr>
      <w:r>
        <w:rPr>
          <w:b/>
          <w:i/>
          <w:sz w:val="22"/>
        </w:rPr>
        <w:t xml:space="preserve">Účtovná jednotka nie je </w:t>
      </w:r>
      <w:r>
        <w:rPr>
          <w:i/>
          <w:sz w:val="22"/>
        </w:rPr>
        <w:t>materskou účtovnou jednotkou</w:t>
      </w:r>
      <w:r>
        <w:rPr>
          <w:b/>
          <w:i/>
          <w:sz w:val="22"/>
        </w:rPr>
        <w:t>, nie je povinná zostaviť konsolidovanú účtovnú závierku</w:t>
      </w:r>
      <w:r>
        <w:rPr>
          <w:i/>
          <w:sz w:val="22"/>
        </w:rPr>
        <w:t xml:space="preserve"> </w:t>
      </w:r>
      <w:r>
        <w:rPr>
          <w:b/>
          <w:i/>
          <w:sz w:val="22"/>
        </w:rPr>
        <w:t>a konsolidovanú výročnú správu, ani nie je súčasťou konsolidovaného celku.</w:t>
      </w:r>
    </w:p>
    <w:p>
      <w:pPr>
        <w:pStyle w:val="Styl2"/>
        <w:numPr>
          <w:ilvl w:val="1"/>
          <w:numId w:val="1"/>
        </w:numPr>
        <w:tabs>
          <w:tab w:val="left" w:pos="1440" w:leader="none"/>
          <w:tab w:val="left" w:pos="2149" w:leader="none"/>
          <w:tab w:val="left" w:pos="2433" w:leader="none"/>
        </w:tabs>
        <w:spacing w:lineRule="auto" w:line="36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jc w:val="left"/>
        <w:rPr>
          <w:sz w:val="22"/>
        </w:rPr>
      </w:pPr>
      <w:r>
        <w:rPr>
          <w:sz w:val="22"/>
        </w:rPr>
        <w:t>(3) Priemerný prepočítaný počet zamestnancov</w:t>
      </w:r>
    </w:p>
    <w:p>
      <w:pPr>
        <w:pStyle w:val="Normalpodnadpis"/>
        <w:spacing w:lineRule="auto" w:line="360" w:before="0" w:after="120"/>
        <w:ind w:left="142" w:right="0" w:hanging="0"/>
        <w:jc w:val="left"/>
        <w:rPr>
          <w:b/>
          <w:b/>
          <w:sz w:val="22"/>
        </w:rPr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6"/>
        <w:gridCol w:w="2560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lef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0" w:right="0" w:hanging="0"/>
              <w:jc w:val="center"/>
              <w:rPr>
                <w:b/>
                <w:b/>
                <w:sz w:val="18"/>
                <w:lang w:eastAsia="sk-SK"/>
              </w:rPr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0" w:right="0" w:hanging="0"/>
              <w:jc w:val="center"/>
              <w:rPr>
                <w:b/>
                <w:b/>
                <w:sz w:val="18"/>
                <w:lang w:eastAsia="sk-SK"/>
              </w:rPr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>
          <w:b/>
          <w:b/>
          <w:sz w:val="24"/>
        </w:rPr>
      </w:pPr>
      <w:r>
        <w:rPr>
          <w:b/>
          <w:sz w:val="24"/>
        </w:rPr>
        <w:t>ČL. II  INFORMÁCIE O PRIJATÝCH POSTUPOCH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(2) Spôsob oceňovania jednotlivých položiek majetku a záväzkov, a to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Obstarávacia cena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Obstarávacia cena, vlastné náklady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c) pohľadávok,</w:t>
      </w:r>
    </w:p>
    <w:p>
      <w:pPr>
        <w:pStyle w:val="Normalpodnadpis"/>
        <w:spacing w:lineRule="auto" w:line="360" w:before="0" w:after="120"/>
        <w:ind w:left="360" w:right="0" w:hanging="0"/>
        <w:rPr>
          <w:sz w:val="22"/>
        </w:rPr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d) krátkodobého finančného majetku,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Menovitá hodnota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e) záväzkov vrátane rezerv, dlhopisov, pôžičiek a úverov,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Menovitá hodnota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f) derivátových operácií.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Reálna hodnota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7"/>
        <w:gridCol w:w="1882"/>
        <w:gridCol w:w="1936"/>
        <w:gridCol w:w="1736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b/>
                <w:b/>
                <w:sz w:val="22"/>
              </w:rPr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</w:tbl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K žiadnym zmenám účtovných zásad a účtovných metód nedošlo.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(5) Informácie o dotáciách a ich oceňovanie v účtovníctve.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0" w:righ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ormalpodnadpis"/>
        <w:spacing w:lineRule="auto" w:line="360" w:before="0" w:after="120"/>
        <w:ind w:left="0" w:right="0" w:hanging="0"/>
        <w:rPr>
          <w:b/>
          <w:b/>
          <w:sz w:val="24"/>
        </w:rPr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"/>
        <w:numPr>
          <w:ilvl w:val="0"/>
          <w:numId w:val="2"/>
        </w:numPr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numPr>
          <w:ilvl w:val="0"/>
          <w:numId w:val="2"/>
        </w:numPr>
        <w:spacing w:lineRule="auto" w:line="360" w:before="0" w:after="120"/>
        <w:ind w:left="0" w:right="0" w:hanging="0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 w:before="0" w:after="120"/>
        <w:ind w:left="142" w:right="0" w:hanging="0"/>
        <w:rPr>
          <w:b/>
          <w:b/>
          <w:sz w:val="22"/>
        </w:rPr>
      </w:pPr>
      <w:bookmarkStart w:id="2" w:name="__DdeLink__1773_768820155"/>
      <w:bookmarkEnd w:id="2"/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8"/>
        <w:gridCol w:w="2813"/>
        <w:gridCol w:w="3199"/>
      </w:tblGrid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120" w:after="0"/>
              <w:ind w:left="0" w:right="0" w:hanging="0"/>
              <w:jc w:val="lef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120" w:after="0"/>
              <w:ind w:left="0" w:right="0" w:hanging="0"/>
              <w:jc w:val="center"/>
              <w:rPr>
                <w:b/>
                <w:b/>
                <w:sz w:val="18"/>
                <w:lang w:eastAsia="sk-SK"/>
              </w:rPr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sz w:val="18"/>
                <w:lang w:eastAsia="sk-SK"/>
              </w:rPr>
            </w:pPr>
            <w:r>
              <w:rPr>
                <w:sz w:val="18"/>
                <w:lang w:eastAsia="sk-SK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sz w:val="18"/>
                <w:lang w:eastAsia="sk-SK"/>
              </w:rPr>
            </w:pPr>
            <w:r>
              <w:rPr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sz w:val="18"/>
              </w:rPr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>
                <w:sz w:val="18"/>
                <w:lang w:eastAsia="sk-SK"/>
              </w:rPr>
            </w:pPr>
            <w:r>
              <w:rPr>
                <w:sz w:val="18"/>
                <w:lang w:eastAsia="sk-SK"/>
              </w:rPr>
              <w:t>11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>
                <w:sz w:val="18"/>
                <w:lang w:eastAsia="sk-SK"/>
              </w:rPr>
            </w:pPr>
            <w:r>
              <w:rPr>
                <w:sz w:val="18"/>
                <w:lang w:eastAsia="sk-SK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11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11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>
                <w:b/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>
      <w:pPr>
        <w:pStyle w:val="Normalpodnadpis"/>
        <w:spacing w:lineRule="auto" w:line="360"/>
        <w:ind w:left="567" w:right="0" w:hanging="0"/>
        <w:rPr/>
      </w:pPr>
      <w:r>
        <w:rPr/>
      </w:r>
      <w:bookmarkStart w:id="3" w:name="__DdeLink__1773_768820155112"/>
      <w:bookmarkStart w:id="4" w:name="__DdeLink__1773_76882015513"/>
      <w:bookmarkStart w:id="5" w:name="__DdeLink__1773_768820155111"/>
      <w:bookmarkStart w:id="6" w:name="__DdeLink__1773_76882015512"/>
      <w:bookmarkStart w:id="7" w:name="__DdeLink__1773_7688201551"/>
      <w:bookmarkStart w:id="8" w:name="__DdeLink__1773_7688201552"/>
      <w:bookmarkStart w:id="9" w:name="__DdeLink__1773_76882015511"/>
      <w:bookmarkStart w:id="10" w:name="__DdeLink__1773_76882015514"/>
      <w:bookmarkStart w:id="11" w:name="__DdeLink__1773_768820155112"/>
      <w:bookmarkStart w:id="12" w:name="__DdeLink__1773_76882015513"/>
      <w:bookmarkStart w:id="13" w:name="__DdeLink__1773_768820155111"/>
      <w:bookmarkStart w:id="14" w:name="__DdeLink__1773_76882015512"/>
      <w:bookmarkStart w:id="15" w:name="__DdeLink__1773_7688201551"/>
      <w:bookmarkStart w:id="16" w:name="__DdeLink__1773_7688201552"/>
      <w:bookmarkStart w:id="17" w:name="__DdeLink__1773_76882015511"/>
      <w:bookmarkStart w:id="18" w:name="__DdeLink__1773_76882015514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>
      <w:pPr>
        <w:pStyle w:val="Normalpodnadpis"/>
        <w:spacing w:lineRule="auto" w:line="360"/>
        <w:ind w:left="180" w:right="0" w:hanging="180"/>
        <w:rPr>
          <w:sz w:val="22"/>
        </w:rPr>
      </w:pPr>
      <w:r>
        <w:rPr>
          <w:sz w:val="22"/>
        </w:rPr>
        <w:t>(3) Informácie o vlastných akciách, a to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180" w:right="0" w:hanging="180"/>
        <w:rPr>
          <w:sz w:val="22"/>
        </w:rPr>
      </w:pPr>
      <w:r>
        <w:rPr>
          <w:sz w:val="22"/>
        </w:rPr>
        <w:t>(4) Informácie o orgánoch účtovnej jednotky, a to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Členom štatutárneho orgánu neboli poskytnuté pôžičky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0" w:right="0" w:hanging="0"/>
        <w:rPr>
          <w:sz w:val="22"/>
        </w:rPr>
      </w:pPr>
      <w:r>
        <w:rPr>
          <w:sz w:val="22"/>
        </w:rPr>
        <w:t>(5) Informácie o povinnostiach účtovnej jednotky, a to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spacing w:lineRule="auto" w:line="360"/>
        <w:ind w:left="426" w:right="0" w:hanging="0"/>
        <w:rPr>
          <w:sz w:val="22"/>
        </w:rPr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spacing w:lineRule="auto" w:line="360"/>
        <w:ind w:left="426" w:right="0" w:hanging="0"/>
        <w:rPr>
          <w:sz w:val="22"/>
        </w:rPr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  <w:t>2b. výška tejto povinnosti sa nedá spoľahlivo oceniť,</w:t>
      </w:r>
    </w:p>
    <w:p>
      <w:pPr>
        <w:pStyle w:val="Normalpodnadpis"/>
        <w:spacing w:lineRule="auto" w:line="360"/>
        <w:ind w:left="0" w:right="0" w:hanging="0"/>
        <w:rPr>
          <w:sz w:val="22"/>
        </w:rPr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spacing w:lineRule="auto" w:line="360"/>
        <w:ind w:left="284" w:right="0" w:hanging="0"/>
        <w:rPr>
          <w:sz w:val="22"/>
        </w:rPr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"/>
        <w:tabs>
          <w:tab w:val="clear" w:pos="709"/>
          <w:tab w:val="left" w:pos="0" w:leader="none"/>
        </w:tabs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"/>
        <w:rPr>
          <w:b/>
          <w:b/>
          <w:bCs/>
          <w:sz w:val="24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1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19" w:name="DICHLAV"/>
                          <w:bookmarkEnd w:id="19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2120896228</w:t>
                          </w:r>
                          <w:bookmarkStart w:id="20" w:name="DICHLAV_END"/>
                          <w:bookmarkEnd w:id="2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21" w:name="DICHLAV"/>
                    <w:bookmarkEnd w:id="21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2120896228</w:t>
                    </w:r>
                    <w:bookmarkStart w:id="22" w:name="DICHLAV_END"/>
                    <w:bookmarkEnd w:id="2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23" w:name="ICOHLAV"/>
                          <w:bookmarkEnd w:id="23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52106578</w:t>
                          </w:r>
                          <w:bookmarkStart w:id="24" w:name="ICOHLAV_END"/>
                          <w:bookmarkEnd w:id="24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25" w:name="ICOHLAV"/>
                    <w:bookmarkEnd w:id="25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52106578</w:t>
                    </w:r>
                    <w:bookmarkStart w:id="26" w:name="ICOHLAV_END"/>
                    <w:bookmarkEnd w:id="26"/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upperRoman"/>
      <w:suff w:val="nothing"/>
      <w:lvlText w:val="Čl. %1."/>
      <w:lvlJc w:val="center"/>
      <w:pPr>
        <w:ind w:left="0" w:hanging="0"/>
      </w:pPr>
      <w:rPr>
        <w:rFonts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upperRoman"/>
      <w:suff w:val="nothing"/>
      <w:lvlText w:val="Čl. %1."/>
      <w:lvlJc w:val="center"/>
      <w:pPr>
        <w:ind w:left="0" w:hanging="0"/>
      </w:pPr>
      <w:rPr>
        <w:rFonts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character" w:styleId="ListLabel134">
    <w:name w:val="ListLabel 134"/>
    <w:qFormat/>
    <w:rPr>
      <w:rFonts w:eastAsia="Times New Roman"/>
    </w:rPr>
  </w:style>
  <w:style w:type="character" w:styleId="ListLabel133">
    <w:name w:val="ListLabel 133"/>
    <w:qFormat/>
    <w:rPr>
      <w:rFonts w:eastAsia="Times New Roman"/>
    </w:rPr>
  </w:style>
  <w:style w:type="character" w:styleId="ListLabel132">
    <w:name w:val="ListLabel 132"/>
    <w:qFormat/>
    <w:rPr>
      <w:rFonts w:eastAsia="Times New Roman"/>
    </w:rPr>
  </w:style>
  <w:style w:type="character" w:styleId="ListLabel131">
    <w:name w:val="ListLabel 131"/>
    <w:qFormat/>
    <w:rPr>
      <w:rFonts w:eastAsia="Times New Roman"/>
    </w:rPr>
  </w:style>
  <w:style w:type="character" w:styleId="ListLabel130">
    <w:name w:val="ListLabel 130"/>
    <w:qFormat/>
    <w:rPr>
      <w:rFonts w:eastAsia="Times New Roman"/>
    </w:rPr>
  </w:style>
  <w:style w:type="character" w:styleId="ListLabel129">
    <w:name w:val="ListLabel 129"/>
    <w:qFormat/>
    <w:rPr>
      <w:rFonts w:eastAsia="Times New Roman"/>
    </w:rPr>
  </w:style>
  <w:style w:type="character" w:styleId="ListLabel128">
    <w:name w:val="ListLabel 128"/>
    <w:qFormat/>
    <w:rPr>
      <w:rFonts w:eastAsia="Times New Roman"/>
    </w:rPr>
  </w:style>
  <w:style w:type="character" w:styleId="ListLabel127">
    <w:name w:val="ListLabel 127"/>
    <w:qFormat/>
    <w:rPr>
      <w:rFonts w:eastAsia="Times New Roman"/>
    </w:rPr>
  </w:style>
  <w:style w:type="character" w:styleId="ListLabel126">
    <w:name w:val="ListLabel 126"/>
    <w:qFormat/>
    <w:rPr>
      <w:rFonts w:eastAsia="Arial"/>
      <w:sz w:val="22"/>
    </w:rPr>
  </w:style>
  <w:style w:type="character" w:styleId="ListLabel125">
    <w:name w:val="ListLabel 125"/>
    <w:qFormat/>
    <w:rPr>
      <w:rFonts w:eastAsia="Times New Roman"/>
    </w:rPr>
  </w:style>
  <w:style w:type="character" w:styleId="ListLabel124">
    <w:name w:val="ListLabel 124"/>
    <w:qFormat/>
    <w:rPr>
      <w:rFonts w:eastAsia="Times New Roman"/>
    </w:rPr>
  </w:style>
  <w:style w:type="character" w:styleId="ListLabel123">
    <w:name w:val="ListLabel 123"/>
    <w:qFormat/>
    <w:rPr>
      <w:rFonts w:eastAsia="Times New Roman"/>
    </w:rPr>
  </w:style>
  <w:style w:type="character" w:styleId="ListLabel122">
    <w:name w:val="ListLabel 122"/>
    <w:qFormat/>
    <w:rPr>
      <w:rFonts w:eastAsia="Times New Roman"/>
    </w:rPr>
  </w:style>
  <w:style w:type="character" w:styleId="ListLabel121">
    <w:name w:val="ListLabel 121"/>
    <w:qFormat/>
    <w:rPr>
      <w:rFonts w:eastAsia="Times New Roman"/>
    </w:rPr>
  </w:style>
  <w:style w:type="character" w:styleId="ListLabel120">
    <w:name w:val="ListLabel 120"/>
    <w:qFormat/>
    <w:rPr>
      <w:rFonts w:eastAsia="Times New Roman"/>
    </w:rPr>
  </w:style>
  <w:style w:type="character" w:styleId="ListLabel119">
    <w:name w:val="ListLabel 119"/>
    <w:qFormat/>
    <w:rPr>
      <w:rFonts w:eastAsia="Times New Roman"/>
    </w:rPr>
  </w:style>
  <w:style w:type="character" w:styleId="ListLabel118">
    <w:name w:val="ListLabel 118"/>
    <w:qFormat/>
    <w:rPr>
      <w:rFonts w:eastAsia="Times New Roman"/>
      <w:sz w:val="22"/>
    </w:rPr>
  </w:style>
  <w:style w:type="character" w:styleId="ListLabel117">
    <w:name w:val="ListLabel 117"/>
    <w:qFormat/>
    <w:rPr>
      <w:rFonts w:eastAsia="Arial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kinsoku w:val="true"/>
      <w:overflowPunct w:val="true"/>
      <w:autoSpaceDE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kinsoku w:val="true"/>
      <w:overflowPunct w:val="true"/>
      <w:autoSpaceDE w:val="true"/>
      <w:bidi w:val="0"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kinsoku w:val="true"/>
      <w:overflowPunct w:val="true"/>
      <w:autoSpaceDE w:val="true"/>
      <w:bidi w:val="0"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9"/>
        <w:tab w:val="left" w:pos="0" w:leader="none"/>
      </w:tabs>
      <w:kinsoku w:val="true"/>
      <w:overflowPunct w:val="true"/>
      <w:autoSpaceDE w:val="true"/>
      <w:bidi w:val="0"/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kinsoku w:val="true"/>
      <w:overflowPunct w:val="true"/>
      <w:autoSpaceDE w:val="true"/>
      <w:bidi w:val="0"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9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9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kinsoku w:val="true"/>
      <w:overflowPunct w:val="true"/>
      <w:autoSpaceDE w:val="true"/>
      <w:bidi w:val="0"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9"/>
        <w:tab w:val="left" w:pos="1440" w:leader="none"/>
      </w:tabs>
      <w:kinsoku w:val="true"/>
      <w:overflowPunct w:val="true"/>
      <w:autoSpaceDE w:val="true"/>
      <w:bidi w:val="0"/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9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9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kinsoku w:val="true"/>
      <w:overflowPunct w:val="true"/>
      <w:autoSpaceDE w:val="true"/>
      <w:bidi w:val="0"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9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9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LibreOffice/6.2.3.2$Windows_X86_64 LibreOffice_project/aecc05fe267cc68dde00352a451aa867b3b546ac</Application>
  <Pages>5</Pages>
  <Words>894</Words>
  <Characters>5393</Characters>
  <CharactersWithSpaces>6190</CharactersWithSpaces>
  <Paragraphs>146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2019-07-01T09:42:45Z</dcterms:modified>
  <cp:revision>30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