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glossary/_rels/document.xml.rels" ContentType="application/vnd.openxmlformats-package.relationships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settings.xml" ContentType="application/vnd.openxmlformats-officedocument.wordprocessingml.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ListParagraph"/>
        <w:ind w:left="426" w:hanging="426"/>
        <w:jc w:val="center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ListParagraph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ListParagraph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 w:asciiTheme="majorHAnsi" w:hAnsiTheme="majorHAnsi"/>
          <w:b/>
          <w:sz w:val="24"/>
          <w:szCs w:val="24"/>
        </w:rPr>
        <w:t>Článok I - Všeobecné údaje</w:t>
      </w:r>
    </w:p>
    <w:p>
      <w:pPr>
        <w:pStyle w:val="Normal"/>
        <w:spacing w:lineRule="auto" w:line="240" w:before="0" w:after="0"/>
        <w:ind w:left="426" w:hanging="426"/>
        <w:jc w:val="both"/>
        <w:rPr/>
      </w:pPr>
      <w:r>
        <w:rPr>
          <w:rFonts w:cs="Arial" w:ascii="Cambria" w:hAnsi="Cambria"/>
          <w:b/>
        </w:rPr>
        <w:t>I.1</w:t>
        <w:tab/>
        <w:t xml:space="preserve">Názov právnickej osoby </w:t>
      </w:r>
      <w:r>
        <w:rPr>
          <w:rFonts w:cs="Arial" w:ascii="Cambria" w:hAnsi="Cambria"/>
          <w:i/>
        </w:rPr>
        <w:t xml:space="preserve">alebo </w:t>
      </w:r>
      <w:r>
        <w:rPr>
          <w:rFonts w:cs="Arial" w:ascii="Cambria" w:hAnsi="Cambria"/>
          <w:b/>
          <w:i/>
        </w:rPr>
        <w:t>Meno a priezvisko fyzickej osoby</w:t>
      </w:r>
      <w:r>
        <w:rPr>
          <w:rFonts w:cs="Arial" w:ascii="Cambria" w:hAnsi="Cambria"/>
          <w:b/>
        </w:rPr>
        <w:t xml:space="preserve">: </w:t>
      </w:r>
      <w:r>
        <w:fldChar w:fldCharType="begin">
          <w:ffData>
            <w:name w:val="__Fieldmark__20_1016427975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0" w:name="Text19"/>
      <w:bookmarkStart w:id="1" w:name="__Fieldmark__20_1016427975"/>
      <w:bookmarkStart w:id="2" w:name="__Fieldmark__20_1016427975"/>
      <w:bookmarkEnd w:id="0"/>
      <w:bookmarkEnd w:id="2"/>
      <w:r>
        <w:rPr>
          <w:rFonts w:cs="Arial" w:ascii="Cambria" w:hAnsi="Cambria"/>
          <w:b/>
        </w:rPr>
      </w:r>
      <w:bookmarkStart w:id="3" w:name="Text1911"/>
      <w:r>
        <w:rPr>
          <w:rFonts w:ascii="Cambria" w:hAnsi="Cambria"/>
        </w:rPr>
        <w:t> </w:t>
      </w:r>
      <w:r>
        <w:rPr>
          <w:rFonts w:ascii="Cambria" w:hAnsi="Cambria"/>
        </w:rPr>
        <w:t>Globe Made s.r.o.</w:t>
      </w:r>
      <w:r>
        <w:rPr>
          <w:rFonts w:ascii="Cambria" w:hAnsi="Cambria"/>
        </w:rPr>
        <w:t>    </w:t>
      </w:r>
      <w:bookmarkStart w:id="4" w:name="Text191"/>
      <w:bookmarkStart w:id="5" w:name="__Fieldmark__20_1016427975"/>
      <w:bookmarkEnd w:id="3"/>
      <w:bookmarkEnd w:id="4"/>
      <w:bookmarkEnd w:id="5"/>
      <w:r>
        <w:rPr>
          <w:rFonts w:ascii="Cambria" w:hAnsi="Cambria"/>
        </w:rPr>
      </w:r>
      <w:r>
        <w:fldChar w:fldCharType="end"/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i/>
          <w:i/>
        </w:rPr>
      </w:pPr>
      <w:r>
        <w:rPr>
          <w:rFonts w:cs="Arial" w:ascii="Cambria" w:hAnsi="Cambria"/>
          <w:b/>
        </w:rPr>
        <w:t xml:space="preserve">         </w:t>
      </w:r>
      <w:r>
        <w:rPr>
          <w:rFonts w:cs="Arial" w:ascii="Cambria" w:hAnsi="Cambria"/>
          <w:i/>
        </w:rPr>
        <w:t>(vyberte prosím, nepotrebný variant odstráňte)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i/>
          <w:i/>
        </w:rPr>
      </w:pPr>
      <w:r>
        <w:rPr>
          <w:rFonts w:cs="Arial" w:ascii="Cambria" w:hAnsi="Cambria"/>
          <w:i/>
        </w:rPr>
      </w:r>
    </w:p>
    <w:p>
      <w:pPr>
        <w:pStyle w:val="Normal"/>
        <w:spacing w:lineRule="auto" w:line="240" w:before="0" w:after="0"/>
        <w:ind w:left="426" w:hanging="426"/>
        <w:jc w:val="both"/>
        <w:rPr/>
      </w:pPr>
      <w:r>
        <w:rPr>
          <w:rFonts w:cs="Arial" w:ascii="Cambria" w:hAnsi="Cambria"/>
          <w:b/>
        </w:rPr>
        <w:tab/>
        <w:t>Sídlo účtovnej jednotky</w:t>
      </w:r>
      <w:r>
        <w:rPr>
          <w:rFonts w:cs="Arial" w:ascii="Cambria" w:hAnsi="Cambria"/>
        </w:rPr>
        <w:t xml:space="preserve">: </w:t>
      </w:r>
      <w:r>
        <w:fldChar w:fldCharType="begin">
          <w:ffData>
            <w:name w:val="__Fieldmark__40_1016427975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6" w:name="Text20"/>
      <w:bookmarkStart w:id="7" w:name="__Fieldmark__40_1016427975"/>
      <w:bookmarkStart w:id="8" w:name="__Fieldmark__40_1016427975"/>
      <w:bookmarkEnd w:id="6"/>
      <w:bookmarkEnd w:id="8"/>
      <w:r>
        <w:rPr>
          <w:rFonts w:cs="Arial" w:ascii="Cambria" w:hAnsi="Cambria"/>
        </w:rPr>
      </w:r>
      <w:bookmarkStart w:id="9" w:name="Text2011"/>
      <w:r>
        <w:rPr>
          <w:rFonts w:cs="Arial" w:ascii="Cambria" w:hAnsi="Cambria"/>
        </w:rPr>
        <w:t xml:space="preserve"> </w:t>
      </w:r>
      <w:r>
        <w:rPr>
          <w:rFonts w:cs="Arial" w:ascii="Cambria" w:hAnsi="Cambria"/>
        </w:rPr>
        <w:t>Royova 777, 020 01 Púchov</w:t>
      </w:r>
      <w:r>
        <w:rPr>
          <w:rFonts w:ascii="Cambria" w:hAnsi="Cambria"/>
        </w:rPr>
        <w:t>  </w:t>
      </w:r>
      <w:bookmarkStart w:id="10" w:name="Text201"/>
      <w:bookmarkStart w:id="11" w:name="__Fieldmark__40_1016427975"/>
      <w:bookmarkEnd w:id="9"/>
      <w:bookmarkEnd w:id="10"/>
      <w:bookmarkEnd w:id="11"/>
      <w:r>
        <w:rPr>
          <w:rFonts w:ascii="Cambria" w:hAnsi="Cambria"/>
        </w:rPr>
      </w:r>
      <w:r>
        <w:fldChar w:fldCharType="end"/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i/>
          <w:i/>
        </w:rPr>
      </w:pPr>
      <w:r>
        <w:rPr>
          <w:rFonts w:cs="Arial" w:ascii="Cambria" w:hAnsi="Cambria"/>
          <w:i/>
        </w:rPr>
        <w:t xml:space="preserve">         </w:t>
      </w:r>
      <w:r>
        <w:rPr>
          <w:rFonts w:cs="Arial" w:ascii="Cambria" w:hAnsi="Cambria"/>
          <w:i/>
        </w:rPr>
        <w:t>(sídlo právnickej osoby alebo miesto podnikania FO)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</w:rPr>
        <w:tab/>
      </w:r>
    </w:p>
    <w:p>
      <w:pPr>
        <w:pStyle w:val="Normal"/>
        <w:spacing w:lineRule="auto" w:line="240" w:before="0" w:after="0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</w:rPr>
      </w:pPr>
      <w:r>
        <w:rPr>
          <w:rFonts w:cs="Arial" w:ascii="Cambria" w:hAnsi="Cambria"/>
          <w:b/>
        </w:rPr>
        <w:t>I.2</w:t>
        <w:tab/>
        <w:t>Údaje o konsolidovanom celku, ak je účtovná jednotka jeho súčasťou: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</w:rPr>
      </w:pPr>
      <w:r>
        <w:rPr>
          <w:rFonts w:cs="Arial" w:ascii="Cambria" w:hAnsi="Cambria"/>
          <w:b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ind w:left="852" w:hanging="426"/>
        <w:jc w:val="both"/>
        <w:rPr/>
      </w:pPr>
      <w:r>
        <w:rPr>
          <w:rFonts w:cs="Arial" w:ascii="Cambria" w:hAnsi="Cambria"/>
          <w:b w:val="false"/>
          <w:bCs w:val="false"/>
          <w:sz w:val="20"/>
          <w:szCs w:val="20"/>
        </w:rPr>
        <w:t>ÚJ nemá náplň pre túto položku. </w:t>
      </w:r>
      <w:r>
        <w:rPr>
          <w:rFonts w:cs="Arial" w:ascii="Cambria" w:hAnsi="Cambria"/>
          <w:b/>
          <w:sz w:val="20"/>
          <w:szCs w:val="20"/>
        </w:rPr>
        <w:t xml:space="preserve">    </w:t>
      </w:r>
      <w:r>
        <w:fldChar w:fldCharType="begin">
          <w:ffData>
            <w:name w:val="__Fieldmark__60_1016427975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12" w:name="__Fieldmark__60_1016427975"/>
      <w:bookmarkStart w:id="13" w:name="Text51"/>
      <w:bookmarkStart w:id="14" w:name="Text5"/>
      <w:bookmarkStart w:id="15" w:name="__Fieldmark__60_1016427975"/>
      <w:bookmarkEnd w:id="13"/>
      <w:bookmarkEnd w:id="14"/>
      <w:bookmarkEnd w:id="15"/>
      <w:r>
        <w:rPr>
          <w:rFonts w:cs="Arial" w:ascii="Cambria" w:hAnsi="Cambria"/>
          <w:b/>
          <w:sz w:val="20"/>
          <w:szCs w:val="20"/>
        </w:rPr>
      </w:r>
      <w:bookmarkStart w:id="16" w:name="__Fieldmark__60_1016427975"/>
      <w:bookmarkEnd w:id="16"/>
      <w:r>
        <w:rPr>
          <w:rFonts w:cs="Arial" w:ascii="Cambria" w:hAnsi="Cambria"/>
          <w:b/>
          <w:sz w:val="20"/>
          <w:szCs w:val="20"/>
        </w:rPr>
      </w:r>
      <w:r>
        <w:fldChar w:fldCharType="end"/>
      </w:r>
    </w:p>
    <w:p>
      <w:pPr>
        <w:pStyle w:val="Normal"/>
        <w:spacing w:before="0" w:after="0"/>
        <w:ind w:left="852" w:hanging="426"/>
        <w:jc w:val="both"/>
        <w:rPr/>
      </w:pPr>
      <w:r>
        <w:rPr>
          <w:rFonts w:cs="Arial" w:ascii="Cambria" w:hAnsi="Cambria"/>
          <w:b/>
          <w:sz w:val="20"/>
          <w:szCs w:val="20"/>
        </w:rPr>
        <w:t xml:space="preserve"> </w:t>
      </w:r>
      <w:r>
        <w:fldChar w:fldCharType="begin">
          <w:ffData>
            <w:name w:val="__Fieldmark__71_1016427975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17" w:name="__Fieldmark__71_1016427975"/>
      <w:bookmarkStart w:id="18" w:name="Text61"/>
      <w:bookmarkStart w:id="19" w:name="Text6"/>
      <w:bookmarkStart w:id="20" w:name="__Fieldmark__71_1016427975"/>
      <w:bookmarkEnd w:id="18"/>
      <w:bookmarkEnd w:id="19"/>
      <w:bookmarkEnd w:id="20"/>
      <w:r>
        <w:rPr>
          <w:rFonts w:cs="Arial" w:ascii="Cambria" w:hAnsi="Cambria"/>
          <w:b/>
          <w:sz w:val="20"/>
          <w:szCs w:val="20"/>
        </w:rPr>
      </w:r>
      <w:bookmarkStart w:id="21" w:name="__Fieldmark__71_1016427975"/>
      <w:bookmarkEnd w:id="21"/>
      <w:r>
        <w:rPr>
          <w:rFonts w:cs="Arial" w:ascii="Cambria" w:hAnsi="Cambria"/>
          <w:b/>
          <w:sz w:val="20"/>
          <w:szCs w:val="20"/>
        </w:rPr>
      </w:r>
      <w:r>
        <w:fldChar w:fldCharType="end"/>
      </w:r>
    </w:p>
    <w:p>
      <w:pPr>
        <w:pStyle w:val="Normal"/>
        <w:spacing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  <w:t xml:space="preserve">b)    </w:t>
      </w:r>
      <w:r>
        <w:rPr>
          <w:rFonts w:cs="Arial" w:ascii="Cambria" w:hAnsi="Cambria"/>
          <w:sz w:val="20"/>
          <w:szCs w:val="20"/>
        </w:rPr>
        <w:t>A.</w:t>
      </w:r>
      <w:r>
        <w:rPr>
          <w:rFonts w:cs="Arial" w:ascii="Cambria" w:hAnsi="Cambria"/>
          <w:b/>
          <w:sz w:val="20"/>
          <w:szCs w:val="20"/>
        </w:rPr>
        <w:t xml:space="preserve">    </w:t>
      </w:r>
      <w:r>
        <w:rPr>
          <w:rFonts w:cs="Arial" w:ascii="Cambria" w:hAnsi="Cambria"/>
          <w:sz w:val="20"/>
          <w:szCs w:val="20"/>
        </w:rPr>
        <w:t xml:space="preserve">je </w:t>
      </w:r>
      <w:r>
        <w:rPr>
          <w:rFonts w:cs="Arial" w:ascii="Cambria" w:hAnsi="Cambria"/>
          <w:b/>
          <w:sz w:val="20"/>
          <w:szCs w:val="20"/>
        </w:rPr>
        <w:t xml:space="preserve"> </w:t>
      </w:r>
      <w:r>
        <w:rPr>
          <w:rFonts w:cs="Arial" w:ascii="Cambria" w:hAnsi="Cambria"/>
          <w:sz w:val="20"/>
          <w:szCs w:val="20"/>
        </w:rPr>
        <w:t>účtovná jednotka  materskou účtovnou jednotkou</w:t>
      </w:r>
      <w:r>
        <w:rPr>
          <w:rFonts w:cs="Arial" w:ascii="Cambria" w:hAnsi="Cambria"/>
          <w:b/>
          <w:sz w:val="20"/>
          <w:szCs w:val="20"/>
        </w:rPr>
        <w:t xml:space="preserve">: </w:t>
      </w:r>
      <w:r>
        <w:rPr>
          <w:rFonts w:cs="Arial" w:ascii="Cambria" w:hAnsi="Cambria"/>
          <w:b/>
          <w:sz w:val="20"/>
          <w:szCs w:val="20"/>
        </w:rPr>
      </w:r>
      <w:sdt>
        <w:sdtP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>
      <w:pPr>
        <w:pStyle w:val="ListParagraph"/>
        <w:numPr>
          <w:ilvl w:val="0"/>
          <w:numId w:val="2"/>
        </w:numPr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  <w:t xml:space="preserve">je materská účtovná jednotka oslobodená od povinnosti zostaviť konsolidovanú účtovnú závierku a </w:t>
      </w:r>
      <w:r>
        <w:rPr>
          <w:rFonts w:cs="Arial" w:ascii="Cambria" w:hAnsi="Cambria" w:asciiTheme="majorHAnsi" w:hAnsiTheme="majorHAnsi"/>
          <w:sz w:val="20"/>
          <w:szCs w:val="20"/>
        </w:rPr>
        <w:t>konsolidovanú výročnú správu podľa § 22 zákona o účtovníctve a to:</w:t>
      </w:r>
    </w:p>
    <w:p>
      <w:pPr>
        <w:pStyle w:val="ListParagraph"/>
        <w:spacing w:lineRule="auto" w:line="240" w:before="0" w:after="0"/>
        <w:ind w:left="851" w:hanging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before="0" w:after="0"/>
        <w:ind w:left="852" w:hanging="426"/>
        <w:jc w:val="both"/>
        <w:rPr>
          <w:rFonts w:ascii="Cambria" w:hAnsi="Cambria" w:cs="Arial"/>
        </w:rPr>
      </w:pPr>
      <w:bookmarkStart w:id="22" w:name="__DdeLink__1325_1810541364"/>
      <w:bookmarkEnd w:id="22"/>
      <w:r>
        <w:rPr>
          <w:rFonts w:cs="Arial" w:ascii="Cambria" w:hAnsi="Cambria" w:asciiTheme="majorHAnsi" w:hAnsiTheme="majorHAnsi"/>
          <w:b w:val="false"/>
          <w:bCs w:val="false"/>
          <w:sz w:val="20"/>
          <w:szCs w:val="20"/>
        </w:rPr>
        <w:t>ÚJ nemá náplň pre túto položku.</w:t>
      </w:r>
    </w:p>
    <w:p>
      <w:pPr>
        <w:pStyle w:val="Normal"/>
        <w:spacing w:before="0" w:after="0"/>
        <w:ind w:left="852" w:hanging="426"/>
        <w:jc w:val="both"/>
        <w:rPr>
          <w:rFonts w:ascii="Cambria" w:hAnsi="Cambria" w:asciiTheme="majorHAnsi" w:hAnsiTheme="majorHAnsi"/>
          <w:b w:val="false"/>
          <w:b w:val="false"/>
          <w:bCs w:val="false"/>
          <w:sz w:val="20"/>
          <w:szCs w:val="20"/>
        </w:rPr>
      </w:pPr>
      <w:bookmarkStart w:id="23" w:name="__DdeLink__1325_18105413641"/>
      <w:bookmarkStart w:id="24" w:name="__DdeLink__1325_18105413641"/>
      <w:bookmarkEnd w:id="24"/>
      <w:r>
        <w:rPr>
          <w:rFonts w:asciiTheme="majorHAnsi" w:hAnsiTheme="majorHAnsi" w:ascii="Cambria" w:hAnsi="Cambria"/>
          <w:b w:val="false"/>
          <w:bCs w:val="false"/>
          <w:sz w:val="20"/>
          <w:szCs w:val="20"/>
        </w:rPr>
      </w:r>
    </w:p>
    <w:p>
      <w:pPr>
        <w:pStyle w:val="Normal"/>
        <w:spacing w:lineRule="auto" w:line="240" w:before="0" w:after="0"/>
        <w:ind w:left="426" w:hanging="0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before="0" w:after="0"/>
        <w:ind w:left="852" w:hanging="426"/>
        <w:jc w:val="both"/>
        <w:rPr/>
      </w:pPr>
      <w:r>
        <w:rPr>
          <w:rFonts w:cs="Arial" w:ascii="Cambria" w:hAnsi="Cambria"/>
          <w:b/>
          <w:sz w:val="20"/>
          <w:szCs w:val="20"/>
        </w:rPr>
        <w:t xml:space="preserve"> </w:t>
      </w:r>
      <w:r>
        <w:fldChar w:fldCharType="begin">
          <w:ffData>
            <w:name w:val="__Fieldmark__100_1016427975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25" w:name="__Fieldmark__100_1016427975"/>
      <w:bookmarkStart w:id="26" w:name="__Fieldmark__170_18105413641"/>
      <w:bookmarkStart w:id="27" w:name="__Fieldmark__170_1810541364"/>
      <w:bookmarkStart w:id="28" w:name="__Fieldmark__100_1016427975"/>
      <w:bookmarkEnd w:id="26"/>
      <w:bookmarkEnd w:id="27"/>
      <w:bookmarkEnd w:id="28"/>
      <w:r>
        <w:rPr>
          <w:rFonts w:cs="Arial" w:ascii="Cambria" w:hAnsi="Cambria"/>
          <w:b/>
          <w:sz w:val="20"/>
          <w:szCs w:val="20"/>
        </w:rPr>
      </w:r>
      <w:bookmarkStart w:id="29" w:name="__Fieldmark__100_1016427975"/>
      <w:bookmarkEnd w:id="29"/>
      <w:r>
        <w:rPr>
          <w:rFonts w:cs="Arial" w:ascii="Cambria" w:hAnsi="Cambria"/>
          <w:b/>
          <w:sz w:val="20"/>
          <w:szCs w:val="20"/>
        </w:rPr>
      </w:r>
      <w:r>
        <w:fldChar w:fldCharType="end"/>
      </w:r>
    </w:p>
    <w:p>
      <w:pPr>
        <w:pStyle w:val="Normal"/>
        <w:spacing w:before="0" w:after="0"/>
        <w:ind w:hanging="0"/>
        <w:jc w:val="both"/>
        <w:rPr/>
      </w:pPr>
      <w:r>
        <w:rPr>
          <w:rFonts w:cs="Arial" w:ascii="Cambria" w:hAnsi="Cambria"/>
          <w:b/>
          <w:sz w:val="20"/>
          <w:szCs w:val="20"/>
        </w:rPr>
        <w:t xml:space="preserve"> </w:t>
      </w:r>
      <w:r>
        <w:fldChar w:fldCharType="begin">
          <w:ffData>
            <w:name w:val="__Fieldmark__111_1016427975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30" w:name="__Fieldmark__111_1016427975"/>
      <w:bookmarkStart w:id="31" w:name="__Fieldmark__179_18105413641"/>
      <w:bookmarkStart w:id="32" w:name="__Fieldmark__179_1810541364"/>
      <w:bookmarkStart w:id="33" w:name="__Fieldmark__111_1016427975"/>
      <w:bookmarkEnd w:id="31"/>
      <w:bookmarkEnd w:id="32"/>
      <w:bookmarkEnd w:id="33"/>
      <w:r>
        <w:rPr>
          <w:rFonts w:cs="Arial" w:ascii="Cambria" w:hAnsi="Cambria"/>
          <w:b/>
          <w:sz w:val="20"/>
          <w:szCs w:val="20"/>
        </w:rPr>
      </w:r>
      <w:bookmarkStart w:id="34" w:name="__Fieldmark__111_1016427975"/>
      <w:bookmarkEnd w:id="34"/>
      <w:r>
        <w:rPr>
          <w:rFonts w:cs="Arial" w:ascii="Cambria" w:hAnsi="Cambria"/>
          <w:b/>
          <w:sz w:val="20"/>
          <w:szCs w:val="20"/>
        </w:rPr>
      </w:r>
      <w:r>
        <w:fldChar w:fldCharType="end"/>
      </w:r>
    </w:p>
    <w:p>
      <w:pPr>
        <w:pStyle w:val="Normal"/>
        <w:spacing w:before="0" w:after="0"/>
        <w:ind w:hanging="0"/>
        <w:jc w:val="both"/>
        <w:rPr>
          <w:rFonts w:ascii="Cambria" w:hAnsi="Cambria" w:cs="Arial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lineRule="auto" w:line="240" w:before="0" w:after="0"/>
        <w:ind w:left="426" w:hanging="426"/>
        <w:jc w:val="both"/>
        <w:rPr/>
      </w:pPr>
      <w:r>
        <w:rPr>
          <w:rFonts w:cs="Arial" w:ascii="Cambria" w:hAnsi="Cambria"/>
          <w:b/>
        </w:rPr>
        <w:t>I.3</w:t>
        <w:tab/>
        <w:t>Informácie o počte zamestnancov:</w:t>
      </w:r>
    </w:p>
    <w:p>
      <w:pPr>
        <w:pStyle w:val="ListParagraph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tbl>
      <w:tblPr>
        <w:tblStyle w:val="TableGrid"/>
        <w:tblW w:w="9015" w:type="dxa"/>
        <w:jc w:val="left"/>
        <w:tblInd w:w="103" w:type="dxa"/>
        <w:tblCellMar>
          <w:top w:w="0" w:type="dxa"/>
          <w:left w:w="10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53"/>
        <w:gridCol w:w="2381"/>
        <w:gridCol w:w="2381"/>
      </w:tblGrid>
      <w:tr>
        <w:trPr/>
        <w:tc>
          <w:tcPr>
            <w:tcW w:w="4253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Bežné</w:t>
            </w:r>
          </w:p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Bezprostredne</w:t>
            </w:r>
          </w:p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predchádzajúce</w:t>
            </w:r>
          </w:p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účtovné obdobie</w:t>
            </w:r>
          </w:p>
        </w:tc>
      </w:tr>
      <w:tr>
        <w:trPr>
          <w:trHeight w:val="378" w:hRule="atLeast"/>
        </w:trPr>
        <w:tc>
          <w:tcPr>
            <w:tcW w:w="4253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/>
            </w:pPr>
            <w:r>
              <w:rPr>
                <w:rFonts w:cs="Arial" w:ascii="Cambria" w:hAnsi="Cambria"/>
                <w:b/>
                <w:sz w:val="24"/>
                <w:szCs w:val="24"/>
              </w:rPr>
              <w:t xml:space="preserve">             </w:t>
            </w:r>
            <w:r>
              <w:rPr>
                <w:rFonts w:cs="Arial" w:ascii="Cambria" w:hAnsi="Cambria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 w:asciiTheme="majorHAnsi" w:hAnsiTheme="majorHAnsi"/>
          <w:b/>
          <w:sz w:val="24"/>
          <w:szCs w:val="24"/>
        </w:rPr>
        <w:t>Článok II – Informácie o prijatých postupoch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 xml:space="preserve">II. 1 Informácia o splnení predpokladu nepretržitého pokračovania činnosti účtovnej jednotky: 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</w:rPr>
      </w:pPr>
      <w:r>
        <w:rPr>
          <w:rFonts w:cs="Arial" w:ascii="Cambria" w:hAnsi="Cambria" w:asciiTheme="majorHAnsi" w:hAnsiTheme="majorHAnsi"/>
        </w:rPr>
        <w:t xml:space="preserve">Účtovná jednotka bude nepretržite pokračovať vo svojej činnosti: </w:t>
      </w:r>
      <w:r>
        <w:rPr>
          <w:rFonts w:cs="Arial" w:ascii="Cambria" w:hAnsi="Cambria" w:asciiTheme="majorHAnsi" w:hAnsiTheme="majorHAnsi"/>
        </w:rPr>
      </w:r>
      <w:sdt>
        <w:sdtP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Arial"/>
          <w:b/>
          <w:b/>
          <w:i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</w:p>
    <w:p>
      <w:pPr>
        <w:pStyle w:val="Normal"/>
        <w:spacing w:lineRule="auto" w:line="240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 xml:space="preserve">II. 2 </w:t>
      </w:r>
      <w:r>
        <w:rPr>
          <w:rFonts w:eastAsia="MS Gothic" w:cs="Arial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Spôsob oceňovania jednotlivých zložiek majetku a záväzkov: </w:t>
      </w:r>
    </w:p>
    <w:tbl>
      <w:tblPr>
        <w:tblStyle w:val="TableGrid"/>
        <w:tblW w:w="8954" w:type="dxa"/>
        <w:jc w:val="left"/>
        <w:tblInd w:w="103" w:type="dxa"/>
        <w:tblCellMar>
          <w:top w:w="0" w:type="dxa"/>
          <w:left w:w="10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621"/>
        <w:gridCol w:w="2064"/>
        <w:gridCol w:w="2269"/>
      </w:tblGrid>
      <w:tr>
        <w:trPr/>
        <w:tc>
          <w:tcPr>
            <w:tcW w:w="4621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Náklady spojené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s obstaraním</w:t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obstarávala</w:t>
            </w:r>
          </w:p>
        </w:tc>
        <w:tc>
          <w:tcPr>
            <w:tcW w:w="226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obstarávala</w:t>
            </w:r>
          </w:p>
        </w:tc>
        <w:tc>
          <w:tcPr>
            <w:tcW w:w="226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ListParagraph"/>
        <w:spacing w:lineRule="auto" w:line="240" w:before="0" w:after="0"/>
        <w:ind w:left="0" w:hanging="0"/>
        <w:jc w:val="both"/>
        <w:rPr>
          <w:rFonts w:ascii="Cambria" w:hAnsi="Cambria" w:cs="Arial" w:asciiTheme="majorHAnsi" w:hAnsiTheme="majorHAnsi"/>
        </w:rPr>
      </w:pPr>
      <w:r>
        <w:rPr>
          <w:rFonts w:eastAsia="MS Gothic" w:cs="Arial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II. 3 Spôsob zostavenia odpisového plánu dlhodobého majetku</w:t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TableGrid"/>
        <w:tblW w:w="8954" w:type="dxa"/>
        <w:jc w:val="left"/>
        <w:tblInd w:w="103" w:type="dxa"/>
        <w:tblCellMar>
          <w:top w:w="0" w:type="dxa"/>
          <w:left w:w="10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157"/>
        <w:gridCol w:w="2272"/>
        <w:gridCol w:w="2260"/>
        <w:gridCol w:w="2264"/>
      </w:tblGrid>
      <w:tr>
        <w:trPr>
          <w:trHeight w:val="397" w:hRule="atLeast"/>
        </w:trPr>
        <w:tc>
          <w:tcPr>
            <w:tcW w:w="2157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Druh majetku</w:t>
            </w:r>
          </w:p>
        </w:tc>
        <w:tc>
          <w:tcPr>
            <w:tcW w:w="2272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Doba odpisovania</w:t>
            </w:r>
          </w:p>
        </w:tc>
        <w:tc>
          <w:tcPr>
            <w:tcW w:w="2260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Sadzba odpisov</w:t>
            </w:r>
          </w:p>
        </w:tc>
        <w:tc>
          <w:tcPr>
            <w:tcW w:w="226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Odpisová metóda</w:t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OA</w:t>
            </w:r>
          </w:p>
        </w:tc>
        <w:tc>
          <w:tcPr>
            <w:tcW w:w="2272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Arial" w:ascii="Cambria" w:hAnsi="Cambria"/>
                <w:sz w:val="20"/>
                <w:szCs w:val="20"/>
              </w:rPr>
              <w:t>4 roky</w:t>
            </w:r>
          </w:p>
        </w:tc>
        <w:tc>
          <w:tcPr>
            <w:tcW w:w="2260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4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  <w:t>rovnomerne</w:t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72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0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4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72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0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4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72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0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4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72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0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4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Mincho" w:cs="MS Mincho" w:ascii="MS Mincho" w:hAnsi="MS Mincho"/>
              <w:b/>
            </w:rPr>
            <w:t>☐</w:t>
          </w:r>
        </w:sdtContent>
      </w:sdt>
      <w:r>
        <w:rPr>
          <w:rFonts w:eastAsia="MS Gothic" w:cs="Arial" w:ascii="Cambria" w:hAnsi="Cambria" w:asciiTheme="majorHAnsi" w:hAnsiTheme="majorHAnsi"/>
          <w:b/>
        </w:rPr>
        <w:tab/>
      </w: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zostavený účtovnou jednotkou vychádza z predpokladanej doby použiteľnosti dlhodobého nehmotného majetku a/alebo iných objektívnych predpokladov (uviesť)</w:t>
      </w: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</w:t>
      </w:r>
      <w:r>
        <w:rPr>
          <w:rFonts w:eastAsia="MS Gothic" w:cs="Arial" w:ascii="Cambria" w:hAnsi="Cambria" w:asciiTheme="majorHAnsi" w:hAnsiTheme="majorHAnsi"/>
          <w:b w:val="false"/>
          <w:bCs w:val="false"/>
          <w:sz w:val="20"/>
          <w:szCs w:val="20"/>
        </w:rPr>
        <w:t>ÚJ nemá náplň pre túto položku.</w:t>
      </w:r>
    </w:p>
    <w:p>
      <w:pPr>
        <w:pStyle w:val="Normal"/>
        <w:spacing w:lineRule="auto" w:line="240" w:before="0" w:after="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/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Mincho" w:cs="MS Mincho" w:ascii="MS Mincho" w:hAnsi="MS Mincho"/>
              <w:b/>
            </w:rPr>
            <w:t>x</w:t>
          </w:r>
        </w:sdtContent>
      </w:sdt>
      <w:r>
        <w:rPr>
          <w:rFonts w:eastAsia="MS Gothic" w:cs="Arial" w:ascii="Cambria" w:hAnsi="Cambria" w:asciiTheme="majorHAnsi" w:hAnsiTheme="majorHAnsi"/>
          <w:b/>
        </w:rPr>
        <w:tab/>
      </w: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bol zostavený účtovnou jednotkou interným predpisom tak, že za základ odhadu miery opotrebenia dlhodobého hmotného majetku vzal metódy používané pri vyčísľovaní daňových odpisov. Odpisové sadzby pre účtovné a daňové odpisy </w:t>
      </w: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Ročný účtovný odpis sa môže odlišovať od daňového podľa počtu mesiacov od zaradenia majetku do konca roka.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>II. 4  Zmeny účtovných zásad a metód:</w:t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>Účtovné zásady a metódy boli účtovnou jednotkou konzistentne aplikované v rámci platného zákona o účtovníctve.</w:t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 xml:space="preserve">Účtovné metódy a zásady boli aplikované v rámci platného ZoÚ,  s nasledovnými osobitosťami: </w:t>
      </w:r>
    </w:p>
    <w:tbl>
      <w:tblPr>
        <w:tblStyle w:val="TableGrid"/>
        <w:tblW w:w="9015" w:type="dxa"/>
        <w:jc w:val="left"/>
        <w:tblInd w:w="103" w:type="dxa"/>
        <w:tblCellMar>
          <w:top w:w="0" w:type="dxa"/>
          <w:left w:w="10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35"/>
        <w:gridCol w:w="2976"/>
        <w:gridCol w:w="3204"/>
      </w:tblGrid>
      <w:tr>
        <w:trPr/>
        <w:tc>
          <w:tcPr>
            <w:tcW w:w="2835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34" w:hanging="34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Druh zmeny zásady</w:t>
            </w:r>
          </w:p>
          <w:p>
            <w:pPr>
              <w:pStyle w:val="Normal"/>
              <w:spacing w:lineRule="auto" w:line="240" w:before="0" w:after="0"/>
              <w:ind w:left="34" w:hanging="34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alebo metódy</w:t>
            </w:r>
          </w:p>
        </w:tc>
        <w:tc>
          <w:tcPr>
            <w:tcW w:w="2976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34" w:hanging="34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Dôvod zmeny</w:t>
            </w:r>
          </w:p>
        </w:tc>
        <w:tc>
          <w:tcPr>
            <w:tcW w:w="320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34" w:hanging="34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Arial" w:ascii="Cambria" w:hAnsi="Cambria"/>
                <w:b w:val="false"/>
                <w:bCs w:val="false"/>
                <w:sz w:val="24"/>
                <w:szCs w:val="24"/>
              </w:rPr>
              <w:t>Bezo zmeny</w:t>
            </w:r>
          </w:p>
        </w:tc>
        <w:tc>
          <w:tcPr>
            <w:tcW w:w="2976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>II. 5 Dotácie poskytnuté na obstaranie majetku: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tbl>
      <w:tblPr>
        <w:tblStyle w:val="TableGrid"/>
        <w:tblW w:w="8955" w:type="dxa"/>
        <w:jc w:val="left"/>
        <w:tblInd w:w="103" w:type="dxa"/>
        <w:tblCellMar>
          <w:top w:w="0" w:type="dxa"/>
          <w:left w:w="10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916"/>
        <w:gridCol w:w="3022"/>
        <w:gridCol w:w="3017"/>
      </w:tblGrid>
      <w:tr>
        <w:trPr>
          <w:trHeight w:val="394" w:hRule="atLeast"/>
        </w:trPr>
        <w:tc>
          <w:tcPr>
            <w:tcW w:w="2916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Majetok obstaraný z dotácie</w:t>
            </w:r>
          </w:p>
        </w:tc>
        <w:tc>
          <w:tcPr>
            <w:tcW w:w="3022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 xml:space="preserve">Ocenenie majetku </w:t>
            </w:r>
          </w:p>
        </w:tc>
        <w:tc>
          <w:tcPr>
            <w:tcW w:w="3017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Výška dotácie</w:t>
            </w:r>
          </w:p>
        </w:tc>
      </w:tr>
      <w:tr>
        <w:trPr>
          <w:trHeight w:val="397" w:hRule="atLeast"/>
        </w:trPr>
        <w:tc>
          <w:tcPr>
            <w:tcW w:w="2916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22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17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916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22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17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916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22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17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before="0" w:after="0"/>
        <w:ind w:left="852" w:hanging="426"/>
        <w:jc w:val="both"/>
        <w:rPr>
          <w:rFonts w:ascii="Cambria" w:hAnsi="Cambria" w:cs="Arial"/>
        </w:rPr>
      </w:pPr>
      <w:r>
        <w:rPr>
          <w:rFonts w:cs="Arial" w:ascii="Cambria" w:hAnsi="Cambria" w:asciiTheme="majorHAnsi" w:hAnsiTheme="majorHAnsi"/>
          <w:b w:val="false"/>
          <w:bCs w:val="false"/>
          <w:sz w:val="20"/>
          <w:szCs w:val="20"/>
        </w:rPr>
        <w:t>ÚJ nemá náplň pre túto položku.</w:t>
      </w:r>
    </w:p>
    <w:p>
      <w:pPr>
        <w:pStyle w:val="Normal"/>
        <w:spacing w:lineRule="auto" w:line="240" w:before="0" w:after="0"/>
        <w:ind w:left="852" w:hanging="426"/>
        <w:jc w:val="both"/>
        <w:rPr>
          <w:rFonts w:ascii="Cambria" w:hAnsi="Cambria" w:asciiTheme="majorHAnsi" w:hAnsiTheme="majorHAnsi"/>
          <w:b w:val="false"/>
          <w:b w:val="false"/>
          <w:bCs w:val="false"/>
          <w:sz w:val="20"/>
          <w:szCs w:val="20"/>
        </w:rPr>
      </w:pPr>
      <w:r>
        <w:rPr>
          <w:rFonts w:asciiTheme="majorHAnsi" w:hAnsiTheme="majorHAnsi" w:ascii="Cambria" w:hAnsi="Cambria"/>
          <w:b w:val="false"/>
          <w:bCs w:val="false"/>
          <w:sz w:val="20"/>
          <w:szCs w:val="20"/>
        </w:rPr>
      </w:r>
    </w:p>
    <w:p>
      <w:pPr>
        <w:pStyle w:val="Normal"/>
        <w:spacing w:lineRule="auto" w:line="240" w:before="240" w:after="20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>II. 6 Oprava významných a nevýznamných chýb minulých účtovných období vykonaných v bežnom účtovnom období: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tbl>
      <w:tblPr>
        <w:tblStyle w:val="TableGrid"/>
        <w:tblW w:w="8954" w:type="dxa"/>
        <w:jc w:val="left"/>
        <w:tblInd w:w="103" w:type="dxa"/>
        <w:tblCellMar>
          <w:top w:w="0" w:type="dxa"/>
          <w:left w:w="10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925"/>
        <w:gridCol w:w="3007"/>
        <w:gridCol w:w="3022"/>
      </w:tblGrid>
      <w:tr>
        <w:trPr>
          <w:trHeight w:val="397" w:hRule="atLeast"/>
        </w:trPr>
        <w:tc>
          <w:tcPr>
            <w:tcW w:w="2925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Druh opravy</w:t>
            </w:r>
          </w:p>
        </w:tc>
        <w:tc>
          <w:tcPr>
            <w:tcW w:w="3007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Suma</w:t>
            </w:r>
          </w:p>
        </w:tc>
        <w:tc>
          <w:tcPr>
            <w:tcW w:w="3022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Popis chyby a vplyvu opravy na nerozdelený VH, resp. VH bežného ú. o.</w:t>
            </w:r>
          </w:p>
        </w:tc>
      </w:tr>
      <w:tr>
        <w:trPr>
          <w:trHeight w:val="397" w:hRule="atLeast"/>
        </w:trPr>
        <w:tc>
          <w:tcPr>
            <w:tcW w:w="2925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 xml:space="preserve">Oprava </w:t>
            </w: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významných</w:t>
            </w: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22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925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 xml:space="preserve">Oprava </w:t>
            </w: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nevýznamných</w:t>
            </w: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22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before="0" w:after="0"/>
        <w:ind w:left="852" w:hanging="426"/>
        <w:jc w:val="both"/>
        <w:rPr>
          <w:rFonts w:ascii="Cambria" w:hAnsi="Cambria" w:cs="Arial"/>
        </w:rPr>
      </w:pPr>
      <w:r>
        <w:rPr>
          <w:rFonts w:cs="Arial" w:ascii="Cambria" w:hAnsi="Cambria" w:asciiTheme="majorHAnsi" w:hAnsiTheme="majorHAnsi"/>
          <w:b w:val="false"/>
          <w:bCs w:val="false"/>
          <w:sz w:val="20"/>
          <w:szCs w:val="20"/>
        </w:rPr>
        <w:t>ÚJ nemá náplň pre túto položku.</w:t>
      </w:r>
    </w:p>
    <w:p>
      <w:pPr>
        <w:pStyle w:val="Normal"/>
        <w:spacing w:lineRule="auto" w:line="240" w:before="0" w:after="0"/>
        <w:ind w:left="852" w:hanging="426"/>
        <w:jc w:val="both"/>
        <w:rPr>
          <w:rFonts w:ascii="Cambria" w:hAnsi="Cambria" w:eastAsia="MS Gothic" w:cs="Arial" w:asciiTheme="majorHAnsi" w:hAnsiTheme="majorHAnsi"/>
          <w:i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TableGrid"/>
        <w:tblW w:w="9042" w:type="dxa"/>
        <w:jc w:val="left"/>
        <w:tblInd w:w="-5" w:type="dxa"/>
        <w:tblCellMar>
          <w:top w:w="0" w:type="dxa"/>
          <w:left w:w="8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387"/>
        <w:gridCol w:w="2835"/>
        <w:gridCol w:w="2820"/>
      </w:tblGrid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527" w:hRule="atLeast"/>
        </w:trPr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 Hodnota záväzkov zabezpečená záložným právom:</w:t>
      </w:r>
    </w:p>
    <w:tbl>
      <w:tblPr>
        <w:tblStyle w:val="TableGrid"/>
        <w:tblW w:w="9042" w:type="dxa"/>
        <w:jc w:val="left"/>
        <w:tblInd w:w="-5" w:type="dxa"/>
        <w:tblCellMar>
          <w:top w:w="0" w:type="dxa"/>
          <w:left w:w="8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387"/>
        <w:gridCol w:w="3119"/>
        <w:gridCol w:w="2536"/>
      </w:tblGrid>
      <w:tr>
        <w:trPr/>
        <w:tc>
          <w:tcPr>
            <w:tcW w:w="3387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>
        <w:trPr/>
        <w:tc>
          <w:tcPr>
            <w:tcW w:w="3387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>
              <w:top w:val="single" w:sz="12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236" w:hRule="atLeast"/>
        </w:trPr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before="0" w:after="0"/>
        <w:ind w:left="852" w:hanging="426"/>
        <w:jc w:val="both"/>
        <w:rPr>
          <w:rFonts w:ascii="Cambria" w:hAnsi="Cambria" w:cs="Arial"/>
        </w:rPr>
      </w:pPr>
      <w:r>
        <w:rPr>
          <w:rFonts w:cs="Arial" w:ascii="Cambria" w:hAnsi="Cambria" w:asciiTheme="majorHAnsi" w:hAnsiTheme="majorHAnsi"/>
          <w:b w:val="false"/>
          <w:bCs w:val="false"/>
          <w:sz w:val="20"/>
          <w:szCs w:val="20"/>
        </w:rPr>
        <w:t>ÚJ nemá náplň pre túto položku.</w:t>
      </w:r>
    </w:p>
    <w:p>
      <w:pPr>
        <w:pStyle w:val="Normal"/>
        <w:spacing w:lineRule="auto" w:line="240" w:before="0" w:after="0"/>
        <w:ind w:left="852" w:hanging="426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vytvorila/nevytvorila</w:t>
      </w:r>
      <w:r>
        <w:rPr>
          <w:rFonts w:eastAsia="MS Gothic" w:cs="Times New Roman" w:ascii="Cambria" w:hAnsi="Cambria" w:asciiTheme="majorHAnsi" w:hAnsiTheme="maj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 Kapitálový fond z príspevkov Obchodného zákonníka (v znení neskorších predpisov). 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i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Pomôcka: § 123 Obchodného zákonníka ustanovuje Práva a povinnosti spoločníkov, odsek 2 dopĺňa možnosť vyplácania zisku o právo rozdeliť  iné vlastné zdroje len pri splnení podmienok § 179 ods. 3 a 4 (hrozba úpadku). 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c) Hlavné podmienky, na základe ktorých boli záruky alebo iné zabezpečenia </w:t>
        <w:tab/>
        <w:t>poskytnuté (pri pôžičkách sa uvádzajú úrokové sadzby):</w:t>
      </w:r>
    </w:p>
    <w:p>
      <w:pPr>
        <w:pStyle w:val="Normal"/>
        <w:spacing w:lineRule="auto" w:line="240" w:before="240" w:after="200"/>
        <w:ind w:right="-141" w:hanging="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  <w:r>
        <w:rPr>
          <w:rFonts w:eastAsia="MS Gothic" w:cs="Arial" w:ascii="Cambria" w:hAnsi="Cambria" w:asciiTheme="majorHAnsi" w:hAnsiTheme="majorHAnsi"/>
          <w:b w:val="false"/>
          <w:bCs w:val="false"/>
          <w:sz w:val="20"/>
          <w:szCs w:val="20"/>
        </w:rPr>
        <w:t>ÚJ nemá náplň pre túto položku.</w:t>
      </w:r>
    </w:p>
    <w:p>
      <w:pPr>
        <w:pStyle w:val="Normal"/>
        <w:spacing w:lineRule="auto" w:line="240" w:before="240" w:after="200"/>
        <w:ind w:right="-141" w:hanging="0"/>
        <w:jc w:val="both"/>
        <w:rPr>
          <w:rFonts w:ascii="Cambria" w:hAnsi="Cambria" w:eastAsia="MS Gothic" w:cs="Arial" w:asciiTheme="majorHAnsi" w:hAnsiTheme="majorHAnsi"/>
          <w:b w:val="false"/>
          <w:b w:val="false"/>
          <w:bCs w:val="false"/>
          <w:sz w:val="20"/>
          <w:szCs w:val="20"/>
        </w:rPr>
      </w:pPr>
      <w:r>
        <w:rPr>
          <w:rFonts w:eastAsia="MS Gothic" w:cs="Arial" w:ascii="Cambria" w:hAnsi="Cambria"/>
          <w:b w:val="false"/>
          <w:bCs w:val="false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6 b) Informácie o významných podmienených záväzkoch</w:t>
      </w:r>
    </w:p>
    <w:tbl>
      <w:tblPr>
        <w:tblStyle w:val="TableGrid"/>
        <w:tblW w:w="9042" w:type="dxa"/>
        <w:jc w:val="left"/>
        <w:tblInd w:w="-5" w:type="dxa"/>
        <w:tblCellMar>
          <w:top w:w="0" w:type="dxa"/>
          <w:left w:w="8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14"/>
        <w:gridCol w:w="3014"/>
        <w:gridCol w:w="3014"/>
      </w:tblGrid>
      <w:tr>
        <w:trPr/>
        <w:tc>
          <w:tcPr>
            <w:tcW w:w="3014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2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>
        <w:trPr/>
        <w:tc>
          <w:tcPr>
            <w:tcW w:w="3014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>
        <w:trPr/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 predpisov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 w:before="120" w:after="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6 e) Opis významných povinností účtovnej jednotky vyplývajúcich z dôchodkových </w:t>
        <w:tab/>
        <w:t>programov pre zamestnancov:</w:t>
      </w:r>
    </w:p>
    <w:p>
      <w:pPr>
        <w:pStyle w:val="Normal"/>
        <w:spacing w:lineRule="auto" w:line="240" w:before="240" w:after="200"/>
        <w:ind w:right="-141" w:hanging="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</w:p>
    <w:p>
      <w:pPr>
        <w:pStyle w:val="Normal"/>
        <w:spacing w:before="0" w:after="0"/>
        <w:ind w:left="852" w:hanging="426"/>
        <w:jc w:val="both"/>
        <w:rPr>
          <w:rFonts w:ascii="Cambria" w:hAnsi="Cambria" w:cs="Arial"/>
        </w:rPr>
      </w:pPr>
      <w:r>
        <w:rPr>
          <w:rFonts w:cs="Arial" w:ascii="Cambria" w:hAnsi="Cambria" w:asciiTheme="majorHAnsi" w:hAnsiTheme="majorHAnsi"/>
          <w:b w:val="false"/>
          <w:bCs w:val="false"/>
          <w:sz w:val="20"/>
          <w:szCs w:val="20"/>
        </w:rPr>
        <w:t>ÚJ nemá náplň pre túto položku.</w:t>
      </w:r>
    </w:p>
    <w:p>
      <w:pPr>
        <w:pStyle w:val="Normal"/>
        <w:spacing w:lineRule="auto" w:line="240" w:before="0" w:after="0"/>
        <w:ind w:left="852" w:hanging="426"/>
        <w:jc w:val="both"/>
        <w:rPr>
          <w:rFonts w:ascii="Cambria" w:hAnsi="Cambria" w:asciiTheme="majorHAnsi" w:hAnsiTheme="majorHAnsi"/>
          <w:b w:val="false"/>
          <w:b w:val="false"/>
          <w:bCs w:val="false"/>
          <w:sz w:val="20"/>
          <w:szCs w:val="20"/>
        </w:rPr>
      </w:pPr>
      <w:r>
        <w:rPr>
          <w:rFonts w:asciiTheme="majorHAnsi" w:hAnsiTheme="majorHAnsi" w:ascii="Cambria" w:hAnsi="Cambria"/>
          <w:b w:val="false"/>
          <w:bCs w:val="false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Arial" w:asciiTheme="majorHAnsi" w:hAnsiTheme="majorHAnsi"/>
          <w:i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240" w:after="200"/>
        <w:jc w:val="right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417" w:right="1417" w:header="708" w:top="1417" w:footer="708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MS Mincho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Bottom of Page)"/>
        <w:docPartUnique w:val="true"/>
      </w:docPartObj>
      <w:id w:val="117410130"/>
      <w:alias w:val="Title"/>
    </w:sdtPr>
    <w:sdtContent>
      <w:p>
        <w:pPr>
          <w:pStyle w:val="Pta"/>
          <w:jc w:val="right"/>
          <w:rPr/>
        </w:pPr>
        <w:r>
          <w:rPr/>
          <w:fldChar w:fldCharType="begin"/>
        </w:r>
        <w:r>
          <w:instrText> PAGE </w:instrText>
        </w:r>
        <w:r>
          <w:fldChar w:fldCharType="separate"/>
        </w:r>
        <w:r>
          <w:t>6</w:t>
        </w:r>
        <w:r>
          <w:fldChar w:fldCharType="end"/>
        </w:r>
      </w:p>
    </w:sdtContent>
  </w:sdt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Hlavika"/>
      <w:jc w:val="right"/>
      <w:rPr>
        <w:color w:val="365F91" w:themeColor="accent1" w:themeShade="bf"/>
        <w:sz w:val="36"/>
        <w:szCs w:val="36"/>
      </w:rPr>
    </w:pPr>
    <w:r>
      <mc:AlternateContent>
        <mc:Choice Requires="wpg">
          <w:drawing>
            <wp:anchor behindDoc="1" distT="0" distB="264" distL="114300" distR="114055" simplePos="0" locked="0" layoutInCell="1" allowOverlap="1" relativeHeight="7" wp14:anchorId="6CCD746A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3045" cy="1003300"/>
              <wp:effectExtent l="0" t="57150" r="35170" b="25136"/>
              <wp:wrapNone/>
              <wp:docPr id="1" name="Group 63"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 rot="20691000">
                        <a:off x="0" y="0"/>
                        <a:ext cx="4042440" cy="1002600"/>
                      </a:xfrm>
                    </wpg:grpSpPr>
                    <wps:wsp>
                      <wps:cNvSpPr/>
                      <wps:spPr>
                        <a:xfrm flipV="1">
                          <a:off x="459720" y="0"/>
                          <a:ext cx="3582720" cy="96948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  <a:round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  <wps:wsp>
                      <wps:cNvSpPr/>
                      <wps:spPr>
                        <a:xfrm rot="2400">
                          <a:off x="0" y="87480"/>
                          <a:ext cx="1013400" cy="914400"/>
                        </a:xfrm>
                        <a:prstGeom prst="ellipse">
                          <a:avLst/>
                        </a:prstGeom>
                        <a:gradFill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lin ang="0"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dir="t" rig="twoPt"/>
                        </a:scene3d>
                        <a:sp3d>
                          <a:bevelT prst="riblet" w="101600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page">
                <wp14:pctHeight>100000</wp14:pctHeight>
              </wp14:sizeRelV>
            </wp:anchor>
          </w:drawing>
        </mc:Choice>
        <mc:Fallback>
          <w:pict>
            <v:group id="shape_0" alt="Group 63" style="position:absolute;margin-left:9.05pt;margin-top:4.5pt;width:318.2pt;height:78.95pt" coordorigin="181,90" coordsize="6364,1579">
              <v:line id="shape_0" from="904,90" to="6545,1616" stroked="t" style="position:absolute;flip:y;mso-position-horizontal:left;mso-position-horizontal-relative:page;mso-position-vertical:top;mso-position-vertical-relative:page">
                <v:stroke color="#95b3d7" weight="9360" joinstyle="round" endcap="flat"/>
                <v:fill o:detectmouseclick="t" on="false"/>
              </v:line>
              <v:oval id="shape_0" fillcolor="#b6cef0" stroked="f" style="position:absolute;left:180;top:228;width:1595;height:1439;rotation:0;mso-position-horizontal:left;mso-position-horizontal-relative:page;mso-position-vertical:top;mso-position-vertical-relative:page">
                <w10:wrap type="none"/>
                <v:fill o:detectmouseclick="t" color2="#d1e0f5"/>
                <v:stroke color="#3465a4" weight="25560" joinstyle="round" endcap="flat"/>
              </v:oval>
            </v:group>
          </w:pict>
        </mc:Fallback>
      </mc:AlternateContent>
    </w:r>
    <w:r>
      <w:rPr>
        <w:rFonts w:ascii="Cambria" w:hAnsi="Cambria" w:asciiTheme="majorHAnsi" w:hAnsiTheme="majorHAnsi"/>
        <w:sz w:val="36"/>
        <w:szCs w:val="36"/>
      </w:rPr>
      <w:t>Poznámky Úč MÚJ 3 - 01</w:t>
    </w:r>
  </w:p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tbl>
    <w:tblPr>
      <w:tblStyle w:val="TableGrid"/>
      <w:tblW w:w="7212" w:type="dxa"/>
      <w:jc w:val="right"/>
      <w:tblInd w:w="0" w:type="dxa"/>
      <w:tblCellMar>
        <w:top w:w="0" w:type="dxa"/>
        <w:left w:w="103" w:type="dxa"/>
        <w:bottom w:w="0" w:type="dxa"/>
        <w:right w:w="108" w:type="dxa"/>
      </w:tblCellMar>
      <w:tblLook w:firstRow="1" w:noVBand="1" w:lastRow="0" w:firstColumn="1" w:lastColumn="0" w:noHBand="0" w:val="04a0"/>
    </w:tblPr>
    <w:tblGrid>
      <w:gridCol w:w="623"/>
      <w:gridCol w:w="284"/>
      <w:gridCol w:w="285"/>
      <w:gridCol w:w="284"/>
      <w:gridCol w:w="284"/>
      <w:gridCol w:w="284"/>
      <w:gridCol w:w="284"/>
      <w:gridCol w:w="284"/>
      <w:gridCol w:w="285"/>
      <w:gridCol w:w="851"/>
      <w:gridCol w:w="623"/>
      <w:gridCol w:w="285"/>
      <w:gridCol w:w="284"/>
      <w:gridCol w:w="285"/>
      <w:gridCol w:w="284"/>
      <w:gridCol w:w="284"/>
      <w:gridCol w:w="284"/>
      <w:gridCol w:w="284"/>
      <w:gridCol w:w="285"/>
      <w:gridCol w:w="284"/>
      <w:gridCol w:w="280"/>
    </w:tblGrid>
    <w:tr>
      <w:trPr>
        <w:trHeight w:val="340" w:hRule="atLeast"/>
      </w:trPr>
      <w:tc>
        <w:tcPr>
          <w:tcW w:w="623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4</w:t>
          </w:r>
        </w:p>
      </w:tc>
      <w:tc>
        <w:tcPr>
          <w:tcW w:w="285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0</w:t>
          </w:r>
        </w:p>
      </w:tc>
      <w:tc>
        <w:tcPr>
          <w:tcW w:w="285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9</w:t>
          </w:r>
        </w:p>
      </w:tc>
      <w:tc>
        <w:tcPr>
          <w:tcW w:w="851" w:type="dxa"/>
          <w:tcBorders>
            <w:top w:val="nil"/>
            <w:bottom w:val="nil"/>
            <w:insideH w:val="nil"/>
          </w:tcBorders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</w:r>
        </w:p>
      </w:tc>
      <w:tc>
        <w:tcPr>
          <w:tcW w:w="623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DIČ:</w:t>
          </w:r>
        </w:p>
      </w:tc>
      <w:tc>
        <w:tcPr>
          <w:tcW w:w="285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0</w:t>
          </w:r>
        </w:p>
      </w:tc>
      <w:tc>
        <w:tcPr>
          <w:tcW w:w="285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8</w:t>
          </w:r>
        </w:p>
      </w:tc>
      <w:tc>
        <w:tcPr>
          <w:tcW w:w="285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2</w:t>
          </w:r>
        </w:p>
      </w:tc>
      <w:tc>
        <w:tcPr>
          <w:tcW w:w="280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/>
          </w:pPr>
          <w:r>
            <w:rPr>
              <w:rFonts w:ascii="Cambria" w:hAnsi="Cambria" w:asciiTheme="majorHAnsi" w:hAnsiTheme="majorHAnsi"/>
              <w:sz w:val="20"/>
              <w:szCs w:val="20"/>
            </w:rPr>
            <w:t>1</w:t>
          </w:r>
        </w:p>
      </w:tc>
    </w:tr>
  </w:tbl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lowerLetter"/>
      <w:lvlText w:val="%1)"/>
      <w:lvlJc w:val="left"/>
      <w:pPr>
        <w:ind w:left="3276" w:hanging="360"/>
      </w:pPr>
      <w:rPr>
        <w:sz w:val="20"/>
        <w:b/>
        <w:rFonts w:ascii="Cambria" w:hAnsi="Cambria"/>
      </w:rPr>
    </w:lvl>
    <w:lvl w:ilvl="1">
      <w:start w:val="1"/>
      <w:numFmt w:val="upperLetter"/>
      <w:lvlText w:val="%2."/>
      <w:lvlJc w:val="left"/>
      <w:pPr>
        <w:ind w:left="3996" w:hanging="360"/>
      </w:pPr>
    </w:lvl>
    <w:lvl w:ilvl="2">
      <w:start w:val="1"/>
      <w:numFmt w:val="lowerRoman"/>
      <w:lvlText w:val="%3."/>
      <w:lvlJc w:val="right"/>
      <w:pPr>
        <w:ind w:left="4716" w:hanging="180"/>
      </w:pPr>
    </w:lvl>
    <w:lvl w:ilvl="3">
      <w:start w:val="1"/>
      <w:numFmt w:val="decimal"/>
      <w:lvlText w:val="%4."/>
      <w:lvlJc w:val="left"/>
      <w:pPr>
        <w:ind w:left="5436" w:hanging="360"/>
      </w:pPr>
    </w:lvl>
    <w:lvl w:ilvl="4">
      <w:start w:val="1"/>
      <w:numFmt w:val="lowerLetter"/>
      <w:lvlText w:val="%5."/>
      <w:lvlJc w:val="left"/>
      <w:pPr>
        <w:ind w:left="6156" w:hanging="360"/>
      </w:pPr>
    </w:lvl>
    <w:lvl w:ilvl="5">
      <w:start w:val="1"/>
      <w:numFmt w:val="lowerRoman"/>
      <w:lvlText w:val="%6."/>
      <w:lvlJc w:val="right"/>
      <w:pPr>
        <w:ind w:left="6876" w:hanging="180"/>
      </w:pPr>
    </w:lvl>
    <w:lvl w:ilvl="6">
      <w:start w:val="1"/>
      <w:numFmt w:val="decimal"/>
      <w:lvlText w:val="%7."/>
      <w:lvlJc w:val="left"/>
      <w:pPr>
        <w:ind w:left="7596" w:hanging="360"/>
      </w:pPr>
    </w:lvl>
    <w:lvl w:ilvl="7">
      <w:start w:val="1"/>
      <w:numFmt w:val="lowerLetter"/>
      <w:lvlText w:val="%8."/>
      <w:lvlJc w:val="left"/>
      <w:pPr>
        <w:ind w:left="8316" w:hanging="360"/>
      </w:pPr>
    </w:lvl>
    <w:lvl w:ilvl="8">
      <w:start w:val="1"/>
      <w:numFmt w:val="lowerRoman"/>
      <w:lvlText w:val="%9."/>
      <w:lvlJc w:val="right"/>
      <w:pPr>
        <w:ind w:left="9036" w:hanging="180"/>
      </w:pPr>
    </w:lvl>
  </w:abstractNum>
  <w:abstractNum w:abstractNumId="2">
    <w:lvl w:ilvl="0">
      <w:start w:val="2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styleId="Normal" w:default="1">
    <w:name w:val="Normal"/>
    <w:qFormat/>
    <w:rsid w:val="0034205b"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paragraph" w:styleId="Nadpis1">
    <w:name w:val="Heading 1"/>
    <w:basedOn w:val="Normal"/>
    <w:next w:val="Normal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="Cambria" w:hAnsi="Cambria" w:eastAsia="" w:cs="" w:asciiTheme="majorHAnsi" w:cstheme="majorBidi" w:eastAsiaTheme="majorEastAsia" w:hAnsiTheme="majorHAns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al"/>
    <w:next w:val="Normal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="Cambria" w:hAnsi="Cambria" w:eastAsia="" w:cs="" w:asciiTheme="majorHAnsi" w:cstheme="majorBidi" w:eastAsiaTheme="majorEastAsia" w:hAnsiTheme="majorHAnsi"/>
      <w:b/>
      <w:bCs/>
      <w:color w:val="4F81BD" w:themeColor="accent1"/>
      <w:sz w:val="26"/>
      <w:szCs w:val="26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erChar" w:customStyle="1">
    <w:name w:val="Header Char"/>
    <w:basedOn w:val="DefaultParagraphFont"/>
    <w:link w:val="Header"/>
    <w:uiPriority w:val="99"/>
    <w:qFormat/>
    <w:rsid w:val="00f0301d"/>
    <w:rPr/>
  </w:style>
  <w:style w:type="character" w:styleId="FooterChar" w:customStyle="1">
    <w:name w:val="Footer Char"/>
    <w:basedOn w:val="DefaultParagraphFont"/>
    <w:link w:val="Footer"/>
    <w:uiPriority w:val="99"/>
    <w:qFormat/>
    <w:rsid w:val="00f0301d"/>
    <w:rPr/>
  </w:style>
  <w:style w:type="character" w:styleId="BalloonTextChar" w:customStyle="1">
    <w:name w:val="Balloon Text Char"/>
    <w:basedOn w:val="DefaultParagraphFont"/>
    <w:link w:val="BalloonText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qFormat/>
    <w:rsid w:val="006a748c"/>
    <w:rPr>
      <w:color w:val="808080"/>
    </w:rPr>
  </w:style>
  <w:style w:type="character" w:styleId="Heading1Char" w:customStyle="1">
    <w:name w:val="Heading 1 Char"/>
    <w:basedOn w:val="DefaultParagraphFont"/>
    <w:link w:val="Heading1"/>
    <w:uiPriority w:val="9"/>
    <w:qFormat/>
    <w:rsid w:val="00cc0c09"/>
    <w:rPr>
      <w:rFonts w:ascii="Cambria" w:hAnsi="Cambria" w:eastAsia="" w:cs="" w:asciiTheme="majorHAnsi" w:cstheme="majorBidi" w:eastAsiaTheme="majorEastAsia" w:hAnsiTheme="majorHAnsi"/>
      <w:b/>
      <w:bCs/>
      <w:color w:val="365F91" w:themeColor="accent1" w:themeShade="bf"/>
      <w:sz w:val="28"/>
      <w:szCs w:val="28"/>
    </w:rPr>
  </w:style>
  <w:style w:type="character" w:styleId="ZTopofFormChar" w:customStyle="1">
    <w:name w:val="z-Top of Form Char"/>
    <w:basedOn w:val="DefaultParagraphFont"/>
    <w:link w:val="z-TopofForm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ZBottomofFormChar" w:customStyle="1">
    <w:name w:val="z-Bottom of Form Char"/>
    <w:basedOn w:val="DefaultParagraphFont"/>
    <w:link w:val="z-BottomofForm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Annotationreference">
    <w:name w:val="annotation reference"/>
    <w:basedOn w:val="DefaultParagraphFont"/>
    <w:uiPriority w:val="99"/>
    <w:semiHidden/>
    <w:unhideWhenUsed/>
    <w:qFormat/>
    <w:rsid w:val="00c93dc7"/>
    <w:rPr>
      <w:sz w:val="16"/>
      <w:szCs w:val="16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qFormat/>
    <w:rsid w:val="00c93dc7"/>
    <w:rPr>
      <w:sz w:val="20"/>
      <w:szCs w:val="20"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qFormat/>
    <w:rsid w:val="00c93dc7"/>
    <w:rPr>
      <w:b/>
      <w:bCs/>
      <w:sz w:val="20"/>
      <w:szCs w:val="20"/>
    </w:rPr>
  </w:style>
  <w:style w:type="character" w:styleId="QuoteChar" w:customStyle="1">
    <w:name w:val="Quote Char"/>
    <w:basedOn w:val="DefaultParagraphFont"/>
    <w:link w:val="Quote"/>
    <w:uiPriority w:val="29"/>
    <w:qFormat/>
    <w:rsid w:val="00567bed"/>
    <w:rPr>
      <w:i/>
      <w:iCs/>
      <w:color w:val="000000" w:themeColor="text1"/>
    </w:rPr>
  </w:style>
  <w:style w:type="character" w:styleId="Heading2Char" w:customStyle="1">
    <w:name w:val="Heading 2 Char"/>
    <w:basedOn w:val="DefaultParagraphFont"/>
    <w:link w:val="Heading2"/>
    <w:uiPriority w:val="9"/>
    <w:qFormat/>
    <w:rsid w:val="00567bed"/>
    <w:rPr>
      <w:rFonts w:ascii="Cambria" w:hAnsi="Cambria" w:eastAsia="" w:cs="" w:asciiTheme="majorHAnsi" w:cstheme="majorBidi" w:eastAsiaTheme="majorEastAsia" w:hAnsiTheme="majorHAnsi"/>
      <w:b/>
      <w:bCs/>
      <w:color w:val="4F81BD" w:themeColor="accent1"/>
      <w:sz w:val="26"/>
      <w:szCs w:val="26"/>
    </w:rPr>
  </w:style>
  <w:style w:type="character" w:styleId="SubtleReference">
    <w:name w:val="Subtle Reference"/>
    <w:basedOn w:val="DefaultParagraphFont"/>
    <w:uiPriority w:val="31"/>
    <w:qFormat/>
    <w:rsid w:val="00b47d63"/>
    <w:rPr>
      <w:smallCaps/>
      <w:color w:val="C0504D" w:themeColor="accent2"/>
      <w:u w:val="single"/>
    </w:rPr>
  </w:style>
  <w:style w:type="character" w:styleId="ListLabel1">
    <w:name w:val="ListLabel 1"/>
    <w:qFormat/>
    <w:rPr>
      <w:rFonts w:ascii="Cambria" w:hAnsi="Cambria"/>
      <w:b/>
      <w:sz w:val="20"/>
    </w:rPr>
  </w:style>
  <w:style w:type="character" w:styleId="ListLabel2">
    <w:name w:val="ListLabel 2"/>
    <w:qFormat/>
    <w:rPr>
      <w:b/>
      <w:sz w:val="24"/>
      <w:szCs w:val="24"/>
    </w:rPr>
  </w:style>
  <w:style w:type="character" w:styleId="ListLabel3">
    <w:name w:val="ListLabel 3"/>
    <w:qFormat/>
    <w:rPr>
      <w:b/>
      <w:sz w:val="24"/>
      <w:szCs w:val="24"/>
    </w:rPr>
  </w:style>
  <w:style w:type="character" w:styleId="ListLabel4">
    <w:name w:val="ListLabel 4"/>
    <w:qFormat/>
    <w:rPr>
      <w:b/>
      <w:sz w:val="24"/>
      <w:szCs w:val="24"/>
    </w:rPr>
  </w:style>
  <w:style w:type="character" w:styleId="ListLabel5">
    <w:name w:val="ListLabel 5"/>
    <w:qFormat/>
    <w:rPr>
      <w:b/>
      <w:sz w:val="24"/>
      <w:szCs w:val="24"/>
    </w:rPr>
  </w:style>
  <w:style w:type="character" w:styleId="ListLabel6">
    <w:name w:val="ListLabel 6"/>
    <w:qFormat/>
    <w:rPr>
      <w:rFonts w:eastAsia="MS Gothic" w:cs="Arial"/>
      <w:b/>
      <w:sz w:val="20"/>
      <w:szCs w:val="24"/>
    </w:rPr>
  </w:style>
  <w:style w:type="character" w:styleId="ListLabel7">
    <w:name w:val="ListLabel 7"/>
    <w:qFormat/>
    <w:rPr>
      <w:rFonts w:eastAsia="MS Gothic" w:cs="Arial"/>
      <w:b/>
      <w:sz w:val="20"/>
      <w:szCs w:val="24"/>
    </w:rPr>
  </w:style>
  <w:style w:type="character" w:styleId="ListLabel8">
    <w:name w:val="ListLabel 8"/>
    <w:qFormat/>
    <w:rPr>
      <w:b/>
      <w:sz w:val="24"/>
      <w:szCs w:val="24"/>
    </w:rPr>
  </w:style>
  <w:style w:type="character" w:styleId="ListLabel9">
    <w:name w:val="ListLabel 9"/>
    <w:qFormat/>
    <w:rPr>
      <w:rFonts w:eastAsia="Times New Roman"/>
    </w:rPr>
  </w:style>
  <w:style w:type="character" w:styleId="ListLabel10">
    <w:name w:val="ListLabel 10"/>
    <w:qFormat/>
    <w:rPr>
      <w:rFonts w:eastAsia="Times New Roman"/>
    </w:rPr>
  </w:style>
  <w:style w:type="character" w:styleId="ListLabel11">
    <w:name w:val="ListLabel 11"/>
    <w:qFormat/>
    <w:rPr>
      <w:rFonts w:eastAsia="Calibri"/>
    </w:rPr>
  </w:style>
  <w:style w:type="character" w:styleId="ListLabel12">
    <w:name w:val="ListLabel 12"/>
    <w:qFormat/>
    <w:rPr>
      <w:rFonts w:ascii="Cambria" w:hAnsi="Cambria"/>
      <w:b/>
      <w:sz w:val="20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">
    <w:name w:val="Header"/>
    <w:basedOn w:val="Normal"/>
    <w:link w:val="HeaderChar"/>
    <w:uiPriority w:val="99"/>
    <w:unhideWhenUsed/>
    <w:rsid w:val="00f0301d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FooterChar"/>
    <w:uiPriority w:val="99"/>
    <w:unhideWhenUsed/>
    <w:rsid w:val="00f0301d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BalloonTextChar"/>
    <w:uiPriority w:val="99"/>
    <w:semiHidden/>
    <w:unhideWhenUsed/>
    <w:qFormat/>
    <w:rsid w:val="00f0301d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225300"/>
    <w:pPr>
      <w:spacing w:before="0" w:after="200"/>
      <w:ind w:left="720" w:hanging="0"/>
      <w:contextualSpacing/>
    </w:pPr>
    <w:rPr/>
  </w:style>
  <w:style w:type="paragraph" w:styleId="HTMLTopofForm">
    <w:name w:val="HTML Top of Form"/>
    <w:basedOn w:val="Normal"/>
    <w:next w:val="Normal"/>
    <w:link w:val="z-TopofFormChar"/>
    <w:uiPriority w:val="99"/>
    <w:semiHidden/>
    <w:unhideWhenUsed/>
    <w:qFormat/>
    <w:rsid w:val="00361862"/>
    <w:pPr>
      <w:pBdr>
        <w:bottom w:val="single" w:sz="6" w:space="1" w:color="00000A"/>
      </w:pBdr>
      <w:spacing w:before="0" w:after="0"/>
      <w:jc w:val="center"/>
    </w:pPr>
    <w:rPr>
      <w:rFonts w:ascii="Arial" w:hAnsi="Arial" w:cs="Arial"/>
      <w:vanish/>
      <w:sz w:val="16"/>
      <w:szCs w:val="16"/>
    </w:rPr>
  </w:style>
  <w:style w:type="paragraph" w:styleId="HTMLBottomofForm">
    <w:name w:val="HTML Bottom of Form"/>
    <w:basedOn w:val="Normal"/>
    <w:next w:val="Normal"/>
    <w:link w:val="z-BottomofFormChar"/>
    <w:uiPriority w:val="99"/>
    <w:semiHidden/>
    <w:unhideWhenUsed/>
    <w:qFormat/>
    <w:rsid w:val="00361862"/>
    <w:pPr>
      <w:pBdr>
        <w:top w:val="single" w:sz="6" w:space="1" w:color="00000A"/>
      </w:pBdr>
      <w:spacing w:before="0" w:after="0"/>
      <w:jc w:val="center"/>
    </w:pPr>
    <w:rPr>
      <w:rFonts w:ascii="Arial" w:hAnsi="Arial" w:cs="Arial"/>
      <w:vanish/>
      <w:sz w:val="16"/>
      <w:szCs w:val="16"/>
    </w:rPr>
  </w:style>
  <w:style w:type="paragraph" w:styleId="NoSpacing">
    <w:name w:val="No Spacing"/>
    <w:uiPriority w:val="1"/>
    <w:qFormat/>
    <w:rsid w:val="00195675"/>
    <w:pPr>
      <w:widowControl/>
      <w:bidi w:val="0"/>
      <w:spacing w:lineRule="auto" w:line="240"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paragraph" w:styleId="Annotationtext">
    <w:name w:val="annotation text"/>
    <w:basedOn w:val="Normal"/>
    <w:link w:val="CommentTextChar"/>
    <w:uiPriority w:val="99"/>
    <w:semiHidden/>
    <w:unhideWhenUsed/>
    <w:qFormat/>
    <w:rsid w:val="00c93dc7"/>
    <w:pPr>
      <w:spacing w:lineRule="auto" w:line="240"/>
    </w:pPr>
    <w:rPr>
      <w:sz w:val="20"/>
      <w:szCs w:val="20"/>
    </w:rPr>
  </w:style>
  <w:style w:type="paragraph" w:styleId="Annotationsubject">
    <w:name w:val="annotation subject"/>
    <w:basedOn w:val="Annotationtext"/>
    <w:link w:val="CommentSubjectChar"/>
    <w:uiPriority w:val="99"/>
    <w:semiHidden/>
    <w:unhideWhenUsed/>
    <w:qFormat/>
    <w:rsid w:val="00c93dc7"/>
    <w:pPr/>
    <w:rPr>
      <w:b/>
      <w:bCs/>
    </w:rPr>
  </w:style>
  <w:style w:type="paragraph" w:styleId="Quote">
    <w:name w:val="Quote"/>
    <w:basedOn w:val="Normal"/>
    <w:next w:val="Normal"/>
    <w:link w:val="QuoteChar"/>
    <w:uiPriority w:val="29"/>
    <w:qFormat/>
    <w:rsid w:val="00567bed"/>
    <w:pPr/>
    <w:rPr>
      <w:i/>
      <w:iCs/>
      <w:color w:val="000000" w:themeColor="text1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39"/>
    <w:rsid w:val="00c7517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glossaryDocument" Target="glossary/document.xml"/><Relationship Id="rId9" Type="http://schemas.openxmlformats.org/officeDocument/2006/relationships/customXml" Target="../customXml/item1.xml"/>
</Relationships>
</file>

<file path=word/glossary/_rels/document.xml.rels><?xml version="1.0" encoding="UTF-8"?>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
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A651B"/>
    <w:rsid w:val="002876CA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8560A4"/>
    <w:rsid w:val="00862F0B"/>
    <w:rsid w:val="008B615A"/>
    <w:rsid w:val="00A108B6"/>
    <w:rsid w:val="00A91E2B"/>
    <w:rsid w:val="00A93C04"/>
    <w:rsid w:val="00C731F6"/>
    <w:rsid w:val="00C80211"/>
    <w:rsid w:val="00CE0B5C"/>
    <w:rsid w:val="00CF451A"/>
    <w:rsid w:val="00DA5BD5"/>
    <w:rsid w:val="00E06618"/>
    <w:rsid w:val="00F03541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PlaceholderText">
    <w:name w:val="Placeholder Text"/>
    <w:basedOn w:val="DefaultParagraphFont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01DBDA-778B-4209-A2F3-A5BB0ACFD5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Application>LibreOffice/5.2.4.2$Windows_x86 LibreOffice_project/3d5603e1122f0f102b62521720ab13a38a4e0eb0</Application>
  <Pages>6</Pages>
  <Words>801</Words>
  <Characters>4764</Characters>
  <CharactersWithSpaces>5525</CharactersWithSpaces>
  <Paragraphs>147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2019-01-31T08:15:00Z</dcterms:created>
  <dc:creator>R</dc:creator>
  <dc:description/>
  <dc:language>sk-SK</dc:language>
  <cp:lastModifiedBy/>
  <cp:lastPrinted>2019-03-31T23:33:01Z</cp:lastPrinted>
  <dcterms:modified xsi:type="dcterms:W3CDTF">2019-07-01T14:02:25Z</dcterms:modified>
  <cp:revision>7</cp:revision>
  <dc:subject/>
  <dc:title>Poznámky Úč MÚJ 3 - 01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