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62C3" w:rsidRDefault="00CD62C3">
      <w:pPr>
        <w:spacing w:before="2"/>
        <w:rPr>
          <w:rFonts w:cs="Calibri"/>
          <w:sz w:val="14"/>
        </w:rPr>
      </w:pPr>
    </w:p>
    <w:p w:rsidR="00CD62C3" w:rsidRDefault="00CD62C3">
      <w:pP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>Poznámky k mikro ú</w:t>
      </w:r>
      <w:r>
        <w:rPr>
          <w:rFonts w:cs="Calibri"/>
          <w:b/>
        </w:rPr>
        <w:t>č</w:t>
      </w:r>
      <w:r>
        <w:rPr>
          <w:rFonts w:ascii="Arial Narrow" w:hAnsi="Arial Narrow" w:cs="Arial Narrow"/>
          <w:b/>
        </w:rPr>
        <w:t>tovnej z</w:t>
      </w:r>
      <w:r>
        <w:rPr>
          <w:rFonts w:cs="Calibri"/>
          <w:b/>
        </w:rPr>
        <w:t>á</w:t>
      </w:r>
      <w:r>
        <w:rPr>
          <w:rFonts w:ascii="Arial Narrow" w:hAnsi="Arial Narrow" w:cs="Arial Narrow"/>
          <w:b/>
        </w:rPr>
        <w:t>vierke za rok 201</w:t>
      </w:r>
      <w:r>
        <w:rPr>
          <w:rFonts w:cs="Calibri"/>
          <w:b/>
          <w:sz w:val="24"/>
        </w:rPr>
        <w:t>8</w:t>
      </w:r>
    </w:p>
    <w:p w:rsidR="00CD62C3" w:rsidRDefault="00CD62C3">
      <w:pP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zostavené pod</w:t>
      </w:r>
      <w:r>
        <w:rPr>
          <w:rFonts w:cs="Calibri"/>
        </w:rPr>
        <w:t>ľ</w:t>
      </w:r>
      <w:r>
        <w:rPr>
          <w:rFonts w:ascii="Arial Narrow" w:hAnsi="Arial Narrow" w:cs="Arial Narrow"/>
        </w:rPr>
        <w:t>a Opatrenia Ministerstva financi</w:t>
      </w:r>
      <w:r>
        <w:rPr>
          <w:rFonts w:cs="Calibri"/>
        </w:rPr>
        <w:t>í</w:t>
      </w:r>
      <w:r>
        <w:rPr>
          <w:rFonts w:ascii="Arial Narrow" w:hAnsi="Arial Narrow" w:cs="Arial Narrow"/>
        </w:rPr>
        <w:t xml:space="preserve"> SR </w:t>
      </w:r>
      <w:r>
        <w:rPr>
          <w:rFonts w:cs="Calibri"/>
        </w:rPr>
        <w:t>č</w:t>
      </w:r>
      <w:r>
        <w:rPr>
          <w:rFonts w:ascii="Arial Narrow" w:hAnsi="Arial Narrow" w:cs="Arial Narrow"/>
        </w:rPr>
        <w:t>.MF/15464/2013-74, ktor</w:t>
      </w:r>
      <w:r>
        <w:rPr>
          <w:rFonts w:cs="Calibri"/>
        </w:rPr>
        <w:t>ý</w:t>
      </w:r>
      <w:r>
        <w:rPr>
          <w:rFonts w:ascii="Arial Narrow" w:hAnsi="Arial Narrow" w:cs="Arial Narrow"/>
        </w:rPr>
        <w:t>m sa ustanovuj</w:t>
      </w:r>
      <w:r>
        <w:rPr>
          <w:rFonts w:cs="Calibri"/>
        </w:rPr>
        <w:t>ú</w:t>
      </w:r>
      <w:r>
        <w:rPr>
          <w:rFonts w:ascii="Arial Narrow" w:hAnsi="Arial Narrow" w:cs="Arial Narrow"/>
        </w:rPr>
        <w:t xml:space="preserve"> podrobnosti o</w:t>
      </w:r>
      <w:r>
        <w:rPr>
          <w:rFonts w:cs="Calibri"/>
        </w:rPr>
        <w:t> </w:t>
      </w:r>
      <w:r>
        <w:rPr>
          <w:rFonts w:ascii="Arial Narrow" w:hAnsi="Arial Narrow" w:cs="Arial Narrow"/>
        </w:rPr>
        <w:t>usporiadan</w:t>
      </w:r>
      <w:r>
        <w:rPr>
          <w:rFonts w:cs="Calibri"/>
        </w:rPr>
        <w:t>í</w:t>
      </w:r>
      <w:r>
        <w:rPr>
          <w:rFonts w:ascii="Arial Narrow" w:hAnsi="Arial Narrow" w:cs="Arial Narrow"/>
        </w:rPr>
        <w:t>, ozna</w:t>
      </w:r>
      <w:r>
        <w:rPr>
          <w:rFonts w:cs="Calibri"/>
        </w:rPr>
        <w:t>č</w:t>
      </w:r>
      <w:r>
        <w:rPr>
          <w:rFonts w:ascii="Arial Narrow" w:hAnsi="Arial Narrow" w:cs="Arial Narrow"/>
        </w:rPr>
        <w:t>ovan</w:t>
      </w:r>
      <w:r>
        <w:rPr>
          <w:rFonts w:cs="Calibri"/>
        </w:rPr>
        <w:t>í</w:t>
      </w:r>
      <w:r>
        <w:rPr>
          <w:rFonts w:ascii="Arial Narrow" w:hAnsi="Arial Narrow" w:cs="Arial Narrow"/>
        </w:rPr>
        <w:t xml:space="preserve"> a</w:t>
      </w:r>
      <w:r>
        <w:rPr>
          <w:rFonts w:cs="Calibri"/>
        </w:rPr>
        <w:t> </w:t>
      </w:r>
      <w:r>
        <w:rPr>
          <w:rFonts w:ascii="Arial Narrow" w:hAnsi="Arial Narrow" w:cs="Arial Narrow"/>
        </w:rPr>
        <w:t>obsahovom vymedzen</w:t>
      </w:r>
      <w:r>
        <w:rPr>
          <w:rFonts w:cs="Calibri"/>
        </w:rPr>
        <w:t>í</w:t>
      </w:r>
      <w:r>
        <w:rPr>
          <w:rFonts w:ascii="Arial Narrow" w:hAnsi="Arial Narrow" w:cs="Arial Narrow"/>
        </w:rPr>
        <w:t xml:space="preserve"> polo</w:t>
      </w:r>
      <w:r>
        <w:rPr>
          <w:rFonts w:cs="Calibri"/>
        </w:rPr>
        <w:t>ž</w:t>
      </w:r>
      <w:r>
        <w:rPr>
          <w:rFonts w:ascii="Arial Narrow" w:hAnsi="Arial Narrow" w:cs="Arial Narrow"/>
        </w:rPr>
        <w:t>iek individu</w:t>
      </w:r>
      <w:r>
        <w:rPr>
          <w:rFonts w:cs="Calibri"/>
        </w:rPr>
        <w:t>á</w:t>
      </w:r>
      <w:r>
        <w:rPr>
          <w:rFonts w:ascii="Arial Narrow" w:hAnsi="Arial Narrow" w:cs="Arial Narrow"/>
        </w:rPr>
        <w:t xml:space="preserve">lnej </w:t>
      </w:r>
      <w:r>
        <w:rPr>
          <w:rFonts w:cs="Calibri"/>
        </w:rPr>
        <w:t>úč</w:t>
      </w:r>
      <w:r>
        <w:rPr>
          <w:rFonts w:ascii="Arial Narrow" w:hAnsi="Arial Narrow" w:cs="Arial Narrow"/>
        </w:rPr>
        <w:t>tovnej z</w:t>
      </w:r>
      <w:r>
        <w:rPr>
          <w:rFonts w:cs="Calibri"/>
        </w:rPr>
        <w:t>á</w:t>
      </w:r>
      <w:r>
        <w:rPr>
          <w:rFonts w:ascii="Arial Narrow" w:hAnsi="Arial Narrow" w:cs="Arial Narrow"/>
        </w:rPr>
        <w:t>vierky a</w:t>
      </w:r>
      <w:r>
        <w:rPr>
          <w:rFonts w:cs="Calibri"/>
        </w:rPr>
        <w:t> </w:t>
      </w:r>
      <w:r>
        <w:rPr>
          <w:rFonts w:ascii="Arial Narrow" w:hAnsi="Arial Narrow" w:cs="Arial Narrow"/>
        </w:rPr>
        <w:t xml:space="preserve">rozsahu </w:t>
      </w:r>
      <w:r>
        <w:rPr>
          <w:rFonts w:cs="Calibri"/>
        </w:rPr>
        <w:t>ú</w:t>
      </w:r>
      <w:r>
        <w:rPr>
          <w:rFonts w:ascii="Arial Narrow" w:hAnsi="Arial Narrow" w:cs="Arial Narrow"/>
        </w:rPr>
        <w:t>dajov ur</w:t>
      </w:r>
      <w:r>
        <w:rPr>
          <w:rFonts w:cs="Calibri"/>
        </w:rPr>
        <w:t>č</w:t>
      </w:r>
      <w:r>
        <w:rPr>
          <w:rFonts w:ascii="Arial Narrow" w:hAnsi="Arial Narrow" w:cs="Arial Narrow"/>
        </w:rPr>
        <w:t>en</w:t>
      </w:r>
      <w:r>
        <w:rPr>
          <w:rFonts w:cs="Calibri"/>
        </w:rPr>
        <w:t>ý</w:t>
      </w:r>
      <w:r>
        <w:rPr>
          <w:rFonts w:ascii="Arial Narrow" w:hAnsi="Arial Narrow" w:cs="Arial Narrow"/>
        </w:rPr>
        <w:t>ch z</w:t>
      </w:r>
      <w:r>
        <w:rPr>
          <w:rFonts w:cs="Calibri"/>
        </w:rPr>
        <w:t> </w:t>
      </w:r>
      <w:r>
        <w:rPr>
          <w:rFonts w:ascii="Arial Narrow" w:hAnsi="Arial Narrow" w:cs="Arial Narrow"/>
        </w:rPr>
        <w:t>individu</w:t>
      </w:r>
      <w:r>
        <w:rPr>
          <w:rFonts w:cs="Calibri"/>
        </w:rPr>
        <w:t>á</w:t>
      </w:r>
      <w:r>
        <w:rPr>
          <w:rFonts w:ascii="Arial Narrow" w:hAnsi="Arial Narrow" w:cs="Arial Narrow"/>
        </w:rPr>
        <w:t xml:space="preserve">lnej </w:t>
      </w:r>
      <w:r>
        <w:rPr>
          <w:rFonts w:cs="Calibri"/>
        </w:rPr>
        <w:t>úč</w:t>
      </w:r>
      <w:r>
        <w:rPr>
          <w:rFonts w:ascii="Arial Narrow" w:hAnsi="Arial Narrow" w:cs="Arial Narrow"/>
        </w:rPr>
        <w:t>tovnej z</w:t>
      </w:r>
      <w:r>
        <w:rPr>
          <w:rFonts w:cs="Calibri"/>
        </w:rPr>
        <w:t>á</w:t>
      </w:r>
      <w:r>
        <w:rPr>
          <w:rFonts w:ascii="Arial Narrow" w:hAnsi="Arial Narrow" w:cs="Arial Narrow"/>
        </w:rPr>
        <w:t xml:space="preserve">vierky na zverejnenie pre </w:t>
      </w:r>
      <w:r>
        <w:rPr>
          <w:rFonts w:ascii="Arial Narrow" w:hAnsi="Arial Narrow" w:cs="Arial Narrow"/>
          <w:b/>
        </w:rPr>
        <w:t>mikro ú</w:t>
      </w:r>
      <w:r>
        <w:rPr>
          <w:rFonts w:cs="Calibri"/>
          <w:b/>
        </w:rPr>
        <w:t>č</w:t>
      </w:r>
      <w:r>
        <w:rPr>
          <w:rFonts w:ascii="Arial Narrow" w:hAnsi="Arial Narrow" w:cs="Arial Narrow"/>
          <w:b/>
        </w:rPr>
        <w:t>tovn</w:t>
      </w:r>
      <w:r>
        <w:rPr>
          <w:rFonts w:cs="Calibri"/>
          <w:b/>
        </w:rPr>
        <w:t>é</w:t>
      </w:r>
      <w:r>
        <w:rPr>
          <w:rFonts w:ascii="Arial Narrow" w:hAnsi="Arial Narrow" w:cs="Arial Narrow"/>
          <w:b/>
        </w:rPr>
        <w:t xml:space="preserve">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CD62C3" w:rsidRDefault="00CD62C3">
      <w:pPr>
        <w:jc w:val="center"/>
        <w:rPr>
          <w:rFonts w:ascii="Arial" w:hAnsi="Arial" w:cs="Arial"/>
        </w:rPr>
      </w:pPr>
      <w:r>
        <w:rPr>
          <w:rFonts w:ascii="Arial Narrow" w:hAnsi="Arial Narrow" w:cs="Arial Narrow"/>
        </w:rPr>
        <w:t xml:space="preserve">(ostatná novela </w:t>
      </w:r>
      <w:r>
        <w:rPr>
          <w:rFonts w:cs="Calibri"/>
        </w:rPr>
        <w:t>č</w:t>
      </w:r>
      <w:r>
        <w:rPr>
          <w:rFonts w:ascii="Arial Narrow" w:hAnsi="Arial Narrow" w:cs="Arial Narrow"/>
        </w:rPr>
        <w:t xml:space="preserve">.MF/18008/2014-74 </w:t>
      </w:r>
      <w:r>
        <w:rPr>
          <w:rFonts w:cs="Calibri"/>
        </w:rPr>
        <w:t>–</w:t>
      </w:r>
      <w:r>
        <w:rPr>
          <w:rFonts w:ascii="Arial Narrow" w:hAnsi="Arial Narrow" w:cs="Arial Narrow"/>
        </w:rPr>
        <w:t xml:space="preserve"> FS </w:t>
      </w:r>
      <w:r>
        <w:rPr>
          <w:rFonts w:cs="Calibri"/>
        </w:rPr>
        <w:t>č</w:t>
      </w:r>
      <w:r>
        <w:rPr>
          <w:rFonts w:ascii="Arial Narrow" w:hAnsi="Arial Narrow" w:cs="Arial Narrow"/>
        </w:rPr>
        <w:t>.10/2014)</w:t>
      </w:r>
    </w:p>
    <w:p w:rsidR="00CD62C3" w:rsidRDefault="00CD62C3">
      <w:pPr>
        <w:spacing w:before="7"/>
        <w:jc w:val="both"/>
        <w:rPr>
          <w:rFonts w:ascii="Arial" w:hAnsi="Arial" w:cs="Arial"/>
        </w:rPr>
      </w:pPr>
    </w:p>
    <w:p w:rsidR="00CD62C3" w:rsidRDefault="00CD62C3">
      <w:pPr>
        <w:numPr>
          <w:ilvl w:val="0"/>
          <w:numId w:val="1"/>
        </w:numPr>
        <w:spacing w:before="69"/>
        <w:ind w:right="836"/>
        <w:jc w:val="center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</w:rPr>
        <w:t>Článok I</w:t>
      </w:r>
    </w:p>
    <w:p w:rsidR="00CD62C3" w:rsidRDefault="00CD62C3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</w:rPr>
        <w:t>Všeobecné údaje</w:t>
      </w:r>
    </w:p>
    <w:p w:rsidR="00CD62C3" w:rsidRDefault="00CD62C3">
      <w:pPr>
        <w:spacing w:before="7"/>
        <w:jc w:val="both"/>
        <w:rPr>
          <w:rFonts w:ascii="Arial" w:hAnsi="Arial" w:cs="Arial"/>
        </w:rPr>
      </w:pPr>
    </w:p>
    <w:p w:rsidR="00CD62C3" w:rsidRDefault="00CD62C3">
      <w:pPr>
        <w:tabs>
          <w:tab w:val="left" w:pos="808"/>
        </w:tabs>
        <w:rPr>
          <w:rFonts w:ascii="Arial" w:hAnsi="Arial" w:cs="Arial"/>
          <w:sz w:val="24"/>
        </w:rPr>
      </w:pPr>
      <w:r>
        <w:rPr>
          <w:rFonts w:ascii="Arial" w:hAnsi="Arial" w:cs="Arial"/>
        </w:rPr>
        <w:t xml:space="preserve">1. </w:t>
      </w:r>
      <w:r>
        <w:rPr>
          <w:rFonts w:ascii="Arial" w:hAnsi="Arial" w:cs="Arial"/>
          <w:u w:val="single"/>
        </w:rPr>
        <w:t>Identifikácia účtovnej jednotky (názov, IČO, sídlo):</w:t>
      </w:r>
    </w:p>
    <w:p w:rsidR="00CD62C3" w:rsidRDefault="00CD62C3">
      <w:pPr>
        <w:jc w:val="both"/>
        <w:rPr>
          <w:rFonts w:ascii="Arial" w:hAnsi="Arial" w:cs="Arial"/>
        </w:rPr>
      </w:pPr>
    </w:p>
    <w:tbl>
      <w:tblPr>
        <w:tblW w:w="0" w:type="auto"/>
        <w:tblInd w:w="-8" w:type="dxa"/>
        <w:tblCellMar>
          <w:left w:w="10" w:type="dxa"/>
          <w:right w:w="10" w:type="dxa"/>
        </w:tblCellMar>
        <w:tblLook w:val="0000"/>
      </w:tblPr>
      <w:tblGrid>
        <w:gridCol w:w="3228"/>
        <w:gridCol w:w="6068"/>
      </w:tblGrid>
      <w:tr w:rsidR="00CD62C3" w:rsidRPr="00D871BC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D62C3" w:rsidRPr="00D871BC" w:rsidRDefault="00CD62C3">
            <w:pPr>
              <w:jc w:val="both"/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D62C3" w:rsidRPr="00D871BC" w:rsidRDefault="00CD62C3">
            <w:pPr>
              <w:jc w:val="both"/>
            </w:pPr>
            <w:r>
              <w:rPr>
                <w:rFonts w:ascii="Arial" w:hAnsi="Arial" w:cs="Arial"/>
              </w:rPr>
              <w:t>CA ŠTÚROVOTOUR s.r.o.</w:t>
            </w:r>
          </w:p>
        </w:tc>
      </w:tr>
      <w:tr w:rsidR="00CD62C3" w:rsidRPr="00D871BC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D62C3" w:rsidRPr="00D871BC" w:rsidRDefault="00CD62C3">
            <w:pPr>
              <w:jc w:val="both"/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D62C3" w:rsidRPr="00D871BC" w:rsidRDefault="00CD62C3">
            <w:pPr>
              <w:jc w:val="both"/>
            </w:pPr>
            <w:r>
              <w:rPr>
                <w:rFonts w:ascii="Arial" w:hAnsi="Arial" w:cs="Arial"/>
              </w:rPr>
              <w:t>46936726</w:t>
            </w:r>
          </w:p>
        </w:tc>
      </w:tr>
      <w:tr w:rsidR="00CD62C3" w:rsidRPr="00D871BC">
        <w:tblPrEx>
          <w:tblCellMar>
            <w:top w:w="0" w:type="dxa"/>
            <w:bottom w:w="0" w:type="dxa"/>
          </w:tblCellMar>
        </w:tblPrEx>
        <w:trPr>
          <w:trHeight w:val="220"/>
        </w:trPr>
        <w:tc>
          <w:tcPr>
            <w:tcW w:w="3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D62C3" w:rsidRPr="00D871BC" w:rsidRDefault="00CD62C3">
            <w:pPr>
              <w:jc w:val="both"/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D62C3" w:rsidRPr="00D871BC" w:rsidRDefault="00CD62C3">
            <w:pPr>
              <w:jc w:val="both"/>
            </w:pPr>
            <w:r>
              <w:rPr>
                <w:rFonts w:ascii="Arial" w:hAnsi="Arial" w:cs="Arial"/>
              </w:rPr>
              <w:t>943 01 Štúrovo, Jesenského 74</w:t>
            </w:r>
          </w:p>
        </w:tc>
      </w:tr>
    </w:tbl>
    <w:p w:rsidR="00CD62C3" w:rsidRDefault="00CD62C3">
      <w:pPr>
        <w:jc w:val="both"/>
        <w:rPr>
          <w:rFonts w:ascii="Arial" w:hAnsi="Arial" w:cs="Arial"/>
        </w:rPr>
      </w:pPr>
    </w:p>
    <w:p w:rsidR="00CD62C3" w:rsidRDefault="00CD62C3">
      <w:pPr>
        <w:jc w:val="both"/>
        <w:rPr>
          <w:rFonts w:ascii="Arial" w:hAnsi="Arial" w:cs="Arial"/>
        </w:rPr>
      </w:pPr>
    </w:p>
    <w:p w:rsidR="00CD62C3" w:rsidRDefault="00CD62C3">
      <w:pPr>
        <w:tabs>
          <w:tab w:val="left" w:pos="808"/>
        </w:tabs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2. </w:t>
      </w:r>
      <w:r>
        <w:rPr>
          <w:rFonts w:ascii="Arial" w:hAnsi="Arial" w:cs="Arial"/>
          <w:u w:val="single"/>
        </w:rPr>
        <w:t>Údaje o konsolidovanom celku</w:t>
      </w:r>
      <w:r>
        <w:rPr>
          <w:rFonts w:ascii="Arial" w:hAnsi="Arial" w:cs="Arial"/>
        </w:rPr>
        <w:t xml:space="preserve"> - obchodné meno a sídlo konsolidujúcej účtovnej jednotky:</w:t>
      </w:r>
    </w:p>
    <w:p w:rsidR="00CD62C3" w:rsidRDefault="00CD62C3">
      <w:pPr>
        <w:tabs>
          <w:tab w:val="left" w:pos="808"/>
        </w:tabs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   - nie je</w:t>
      </w:r>
    </w:p>
    <w:p w:rsidR="00CD62C3" w:rsidRDefault="00CD62C3">
      <w:pPr>
        <w:tabs>
          <w:tab w:val="left" w:pos="808"/>
        </w:tabs>
        <w:rPr>
          <w:rFonts w:ascii="Arial" w:hAnsi="Arial" w:cs="Arial"/>
        </w:rPr>
      </w:pPr>
    </w:p>
    <w:p w:rsidR="00CD62C3" w:rsidRDefault="00CD62C3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Priemerný prepočítaný počet zamestnancov</w:t>
      </w:r>
      <w:r>
        <w:rPr>
          <w:rFonts w:ascii="Arial" w:hAnsi="Arial" w:cs="Arial"/>
        </w:rPr>
        <w:t>:</w:t>
      </w:r>
    </w:p>
    <w:p w:rsidR="00CD62C3" w:rsidRDefault="00CD62C3">
      <w:pPr>
        <w:jc w:val="both"/>
        <w:rPr>
          <w:rFonts w:ascii="Arial" w:hAnsi="Arial" w:cs="Arial"/>
        </w:rPr>
      </w:pPr>
    </w:p>
    <w:tbl>
      <w:tblPr>
        <w:tblW w:w="0" w:type="auto"/>
        <w:tblInd w:w="-8" w:type="dxa"/>
        <w:tblCellMar>
          <w:left w:w="10" w:type="dxa"/>
          <w:right w:w="10" w:type="dxa"/>
        </w:tblCellMar>
        <w:tblLook w:val="0000"/>
      </w:tblPr>
      <w:tblGrid>
        <w:gridCol w:w="4017"/>
        <w:gridCol w:w="2043"/>
        <w:gridCol w:w="3236"/>
      </w:tblGrid>
      <w:tr w:rsidR="00CD62C3" w:rsidRPr="00D871BC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D62C3" w:rsidRPr="00D871BC" w:rsidRDefault="00CD62C3">
            <w:pPr>
              <w:jc w:val="center"/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D62C3" w:rsidRDefault="00CD62C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CD62C3" w:rsidRPr="00D871BC" w:rsidRDefault="00CD62C3">
            <w:pPr>
              <w:jc w:val="center"/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D62C3" w:rsidRPr="00D871BC" w:rsidRDefault="00CD62C3">
            <w:pPr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CD62C3" w:rsidRPr="00D871BC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D62C3" w:rsidRPr="00D871BC" w:rsidRDefault="00CD62C3"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D62C3" w:rsidRPr="00D871BC" w:rsidRDefault="00CD62C3">
            <w:pPr>
              <w:jc w:val="both"/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D62C3" w:rsidRPr="00D871BC" w:rsidRDefault="00CD62C3">
            <w:pPr>
              <w:jc w:val="both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CD62C3" w:rsidRDefault="00CD62C3">
      <w:pPr>
        <w:jc w:val="both"/>
        <w:rPr>
          <w:rFonts w:ascii="Arial" w:hAnsi="Arial" w:cs="Arial"/>
        </w:rPr>
      </w:pPr>
    </w:p>
    <w:p w:rsidR="00CD62C3" w:rsidRDefault="00CD62C3">
      <w:pPr>
        <w:spacing w:before="1"/>
        <w:jc w:val="both"/>
        <w:rPr>
          <w:rFonts w:ascii="Arial" w:hAnsi="Arial" w:cs="Arial"/>
        </w:rPr>
      </w:pPr>
    </w:p>
    <w:p w:rsidR="00CD62C3" w:rsidRDefault="00CD62C3">
      <w:pPr>
        <w:numPr>
          <w:ilvl w:val="0"/>
          <w:numId w:val="2"/>
        </w:numPr>
        <w:ind w:right="839"/>
        <w:jc w:val="center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</w:rPr>
        <w:t>Článok II</w:t>
      </w:r>
    </w:p>
    <w:p w:rsidR="00CD62C3" w:rsidRDefault="00CD62C3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</w:rPr>
        <w:t>Informácie o prijatých postupoch</w:t>
      </w:r>
    </w:p>
    <w:p w:rsidR="00CD62C3" w:rsidRDefault="00CD62C3">
      <w:pPr>
        <w:spacing w:before="11"/>
        <w:jc w:val="both"/>
        <w:rPr>
          <w:rFonts w:ascii="Arial" w:hAnsi="Arial" w:cs="Arial"/>
        </w:rPr>
      </w:pPr>
    </w:p>
    <w:p w:rsidR="00CD62C3" w:rsidRDefault="00CD62C3">
      <w:pPr>
        <w:numPr>
          <w:ilvl w:val="0"/>
          <w:numId w:val="3"/>
        </w:numPr>
        <w:tabs>
          <w:tab w:val="left" w:pos="808"/>
        </w:tabs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Informácia, či je účtovná závierka zostavená za splnenia predpokladu, že účtovná jednotka bude </w:t>
      </w:r>
      <w:r>
        <w:rPr>
          <w:rFonts w:ascii="Arial" w:hAnsi="Arial" w:cs="Arial"/>
          <w:u w:val="single"/>
        </w:rPr>
        <w:t>nepretržite pokračovať</w:t>
      </w:r>
      <w:r>
        <w:rPr>
          <w:rFonts w:ascii="Arial" w:hAnsi="Arial" w:cs="Arial"/>
        </w:rPr>
        <w:t xml:space="preserve"> vo svojej činnosti:</w:t>
      </w:r>
    </w:p>
    <w:p w:rsidR="00CD62C3" w:rsidRDefault="00CD62C3">
      <w:pPr>
        <w:tabs>
          <w:tab w:val="left" w:pos="808"/>
        </w:tabs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        áno, predpokladá sa nepretržité pokračovanie činnosti.</w:t>
      </w:r>
    </w:p>
    <w:p w:rsidR="00CD62C3" w:rsidRDefault="00CD62C3">
      <w:pPr>
        <w:tabs>
          <w:tab w:val="left" w:pos="808"/>
        </w:tabs>
        <w:jc w:val="both"/>
        <w:rPr>
          <w:rFonts w:ascii="Arial" w:hAnsi="Arial" w:cs="Arial"/>
        </w:rPr>
      </w:pPr>
    </w:p>
    <w:p w:rsidR="00CD62C3" w:rsidRDefault="00CD62C3">
      <w:pPr>
        <w:tabs>
          <w:tab w:val="left" w:pos="808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2. </w:t>
      </w:r>
      <w:r>
        <w:rPr>
          <w:rFonts w:ascii="Arial" w:hAnsi="Arial" w:cs="Arial"/>
          <w:u w:val="single"/>
        </w:rPr>
        <w:t>Spôsob oceňovania</w:t>
      </w:r>
      <w:r>
        <w:rPr>
          <w:rFonts w:ascii="Arial" w:hAnsi="Arial" w:cs="Arial"/>
        </w:rPr>
        <w:t xml:space="preserve"> jednotlivých položiek majetku a záväzkov, a to:</w:t>
      </w:r>
    </w:p>
    <w:p w:rsidR="00CD62C3" w:rsidRDefault="00CD62C3">
      <w:pPr>
        <w:tabs>
          <w:tab w:val="left" w:pos="808"/>
        </w:tabs>
        <w:jc w:val="both"/>
        <w:rPr>
          <w:rFonts w:ascii="Arial" w:hAnsi="Arial" w:cs="Arial"/>
        </w:rPr>
      </w:pPr>
    </w:p>
    <w:tbl>
      <w:tblPr>
        <w:tblW w:w="0" w:type="auto"/>
        <w:tblInd w:w="-8" w:type="dxa"/>
        <w:tblCellMar>
          <w:left w:w="10" w:type="dxa"/>
          <w:right w:w="10" w:type="dxa"/>
        </w:tblCellMar>
        <w:tblLook w:val="0000"/>
      </w:tblPr>
      <w:tblGrid>
        <w:gridCol w:w="4640"/>
        <w:gridCol w:w="4656"/>
      </w:tblGrid>
      <w:tr w:rsidR="00CD62C3" w:rsidRPr="00D871BC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D62C3" w:rsidRPr="00D871BC" w:rsidRDefault="00CD62C3">
            <w:pPr>
              <w:tabs>
                <w:tab w:val="left" w:pos="808"/>
              </w:tabs>
              <w:jc w:val="center"/>
            </w:pPr>
            <w:r>
              <w:rPr>
                <w:rFonts w:ascii="Arial" w:hAnsi="Arial" w:cs="Arial"/>
                <w:b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D62C3" w:rsidRPr="00D871BC" w:rsidRDefault="00CD62C3">
            <w:pPr>
              <w:tabs>
                <w:tab w:val="left" w:pos="808"/>
              </w:tabs>
              <w:jc w:val="center"/>
            </w:pPr>
            <w:r>
              <w:rPr>
                <w:rFonts w:ascii="Arial" w:hAnsi="Arial" w:cs="Arial"/>
                <w:b/>
              </w:rPr>
              <w:t>Spôsob oceňovania</w:t>
            </w:r>
          </w:p>
        </w:tc>
      </w:tr>
      <w:tr w:rsidR="00CD62C3" w:rsidRPr="00D871BC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D62C3" w:rsidRPr="00D871BC" w:rsidRDefault="00CD62C3">
            <w:pPr>
              <w:tabs>
                <w:tab w:val="left" w:pos="808"/>
              </w:tabs>
              <w:jc w:val="both"/>
            </w:pPr>
            <w:r>
              <w:rPr>
                <w:rFonts w:ascii="Arial" w:hAnsi="Arial" w:cs="Arial"/>
              </w:rPr>
              <w:t>Dlhodobý nehmotný majetok: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D62C3" w:rsidRPr="00D871BC" w:rsidRDefault="00CD62C3">
            <w:pPr>
              <w:tabs>
                <w:tab w:val="left" w:pos="808"/>
              </w:tabs>
              <w:jc w:val="both"/>
            </w:pPr>
            <w:r>
              <w:rPr>
                <w:rFonts w:ascii="Arial" w:hAnsi="Arial" w:cs="Arial"/>
              </w:rPr>
              <w:t>Obstarávacia cena</w:t>
            </w:r>
          </w:p>
        </w:tc>
      </w:tr>
      <w:tr w:rsidR="00CD62C3" w:rsidRPr="00D871BC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D62C3" w:rsidRPr="00D871BC" w:rsidRDefault="00CD62C3">
            <w:pPr>
              <w:tabs>
                <w:tab w:val="left" w:pos="808"/>
              </w:tabs>
              <w:jc w:val="both"/>
            </w:pPr>
            <w:r>
              <w:rPr>
                <w:rFonts w:ascii="Arial" w:hAnsi="Arial" w:cs="Arial"/>
              </w:rPr>
              <w:t>Dlhodobý hmotný majetok: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D62C3" w:rsidRPr="00D871BC" w:rsidRDefault="00CD62C3">
            <w:pPr>
              <w:tabs>
                <w:tab w:val="left" w:pos="808"/>
              </w:tabs>
              <w:jc w:val="both"/>
            </w:pPr>
            <w:r>
              <w:rPr>
                <w:rFonts w:ascii="Arial" w:hAnsi="Arial" w:cs="Arial"/>
              </w:rPr>
              <w:t>Obstarávacia cena</w:t>
            </w:r>
          </w:p>
        </w:tc>
      </w:tr>
      <w:tr w:rsidR="00CD62C3" w:rsidRPr="00D871BC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D62C3" w:rsidRPr="00D871BC" w:rsidRDefault="00CD62C3">
            <w:pPr>
              <w:tabs>
                <w:tab w:val="left" w:pos="808"/>
              </w:tabs>
              <w:jc w:val="both"/>
            </w:pPr>
            <w:r>
              <w:rPr>
                <w:rFonts w:ascii="Arial" w:hAnsi="Arial" w:cs="Arial"/>
              </w:rPr>
              <w:t>Dlhodobý finančný majetok: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D62C3" w:rsidRPr="00D871BC" w:rsidRDefault="00CD62C3">
            <w:pPr>
              <w:tabs>
                <w:tab w:val="left" w:pos="808"/>
              </w:tabs>
              <w:jc w:val="both"/>
            </w:pPr>
            <w:r>
              <w:rPr>
                <w:rFonts w:ascii="Arial" w:hAnsi="Arial" w:cs="Arial"/>
              </w:rPr>
              <w:t>Obstarávacia cena</w:t>
            </w:r>
          </w:p>
        </w:tc>
      </w:tr>
      <w:tr w:rsidR="00CD62C3" w:rsidRPr="00D871BC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D62C3" w:rsidRPr="00D871BC" w:rsidRDefault="00CD62C3">
            <w:pPr>
              <w:tabs>
                <w:tab w:val="left" w:pos="808"/>
              </w:tabs>
              <w:jc w:val="both"/>
            </w:pPr>
            <w:r>
              <w:rPr>
                <w:rFonts w:ascii="Arial" w:hAnsi="Arial" w:cs="Arial"/>
              </w:rPr>
              <w:t>Zásoby obstarané kúpou: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D62C3" w:rsidRPr="00D871BC" w:rsidRDefault="00CD62C3">
            <w:pPr>
              <w:tabs>
                <w:tab w:val="left" w:pos="808"/>
              </w:tabs>
              <w:jc w:val="both"/>
            </w:pPr>
            <w:r>
              <w:rPr>
                <w:rFonts w:ascii="Arial" w:hAnsi="Arial" w:cs="Arial"/>
              </w:rPr>
              <w:t>Obstarávacia cena</w:t>
            </w:r>
          </w:p>
        </w:tc>
      </w:tr>
      <w:tr w:rsidR="00CD62C3" w:rsidRPr="00D871BC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D62C3" w:rsidRPr="00D871BC" w:rsidRDefault="00CD62C3">
            <w:pPr>
              <w:tabs>
                <w:tab w:val="left" w:pos="808"/>
              </w:tabs>
              <w:jc w:val="both"/>
            </w:pPr>
            <w:r>
              <w:rPr>
                <w:rFonts w:ascii="Arial" w:hAnsi="Arial" w:cs="Arial"/>
              </w:rPr>
              <w:t>Zásoby vytvorené 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D62C3" w:rsidRPr="00D871BC" w:rsidRDefault="00CD62C3">
            <w:pPr>
              <w:tabs>
                <w:tab w:val="left" w:pos="808"/>
              </w:tabs>
              <w:jc w:val="both"/>
            </w:pPr>
            <w:r>
              <w:rPr>
                <w:rFonts w:ascii="Arial" w:hAnsi="Arial" w:cs="Arial"/>
              </w:rPr>
              <w:t>Vlastné náklady</w:t>
            </w:r>
          </w:p>
        </w:tc>
      </w:tr>
      <w:tr w:rsidR="00CD62C3" w:rsidRPr="00D871BC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D62C3" w:rsidRPr="00D871BC" w:rsidRDefault="00CD62C3">
            <w:pPr>
              <w:tabs>
                <w:tab w:val="left" w:pos="808"/>
              </w:tabs>
              <w:jc w:val="both"/>
            </w:pPr>
            <w:r>
              <w:rPr>
                <w:rFonts w:ascii="Arial" w:hAnsi="Arial" w:cs="Arial"/>
              </w:rPr>
              <w:t>Vlastné pohľadávky: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D62C3" w:rsidRPr="00D871BC" w:rsidRDefault="00CD62C3">
            <w:pPr>
              <w:tabs>
                <w:tab w:val="left" w:pos="808"/>
              </w:tabs>
              <w:jc w:val="both"/>
            </w:pPr>
            <w:r>
              <w:rPr>
                <w:rFonts w:ascii="Arial" w:hAnsi="Arial" w:cs="Arial"/>
              </w:rPr>
              <w:t>Menovitá hodnota</w:t>
            </w:r>
          </w:p>
        </w:tc>
      </w:tr>
      <w:tr w:rsidR="00CD62C3" w:rsidRPr="00D871BC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D62C3" w:rsidRPr="00D871BC" w:rsidRDefault="00CD62C3">
            <w:pPr>
              <w:tabs>
                <w:tab w:val="left" w:pos="808"/>
              </w:tabs>
              <w:jc w:val="both"/>
            </w:pPr>
            <w:r>
              <w:rPr>
                <w:rFonts w:ascii="Arial" w:hAnsi="Arial" w:cs="Arial"/>
              </w:rPr>
              <w:t>Kúpené pohľadávky: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D62C3" w:rsidRPr="00D871BC" w:rsidRDefault="00CD62C3">
            <w:pPr>
              <w:tabs>
                <w:tab w:val="left" w:pos="808"/>
              </w:tabs>
              <w:jc w:val="both"/>
            </w:pPr>
            <w:r>
              <w:rPr>
                <w:rFonts w:ascii="Arial" w:hAnsi="Arial" w:cs="Arial"/>
              </w:rPr>
              <w:t>Obstarávacia cena</w:t>
            </w:r>
          </w:p>
        </w:tc>
      </w:tr>
      <w:tr w:rsidR="00CD62C3" w:rsidRPr="00D871BC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D62C3" w:rsidRPr="00D871BC" w:rsidRDefault="00CD62C3">
            <w:pPr>
              <w:tabs>
                <w:tab w:val="left" w:pos="808"/>
              </w:tabs>
              <w:jc w:val="both"/>
            </w:pPr>
            <w:r>
              <w:rPr>
                <w:rFonts w:ascii="Arial" w:hAnsi="Arial" w:cs="Arial"/>
              </w:rPr>
              <w:t>Krátkodobý finančný majetok: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D62C3" w:rsidRPr="00D871BC" w:rsidRDefault="00CD62C3">
            <w:pPr>
              <w:tabs>
                <w:tab w:val="left" w:pos="808"/>
              </w:tabs>
              <w:jc w:val="both"/>
            </w:pPr>
            <w:r>
              <w:rPr>
                <w:rFonts w:ascii="Arial" w:hAnsi="Arial" w:cs="Arial"/>
              </w:rPr>
              <w:t>Obstarávacia cena</w:t>
            </w:r>
          </w:p>
        </w:tc>
      </w:tr>
      <w:tr w:rsidR="00CD62C3" w:rsidRPr="00D871BC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D62C3" w:rsidRPr="00D871BC" w:rsidRDefault="00CD62C3">
            <w:pPr>
              <w:tabs>
                <w:tab w:val="left" w:pos="808"/>
              </w:tabs>
              <w:jc w:val="both"/>
            </w:pPr>
            <w:r>
              <w:rPr>
                <w:rFonts w:ascii="Arial" w:hAnsi="Arial" w:cs="Arial"/>
              </w:rPr>
              <w:t>Záväzky vrátane rezerv: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D62C3" w:rsidRPr="00D871BC" w:rsidRDefault="00CD62C3">
            <w:pPr>
              <w:tabs>
                <w:tab w:val="left" w:pos="808"/>
              </w:tabs>
              <w:jc w:val="both"/>
            </w:pPr>
            <w:r>
              <w:rPr>
                <w:rFonts w:ascii="Arial" w:hAnsi="Arial" w:cs="Arial"/>
              </w:rPr>
              <w:t>Menovitá hodnota</w:t>
            </w:r>
          </w:p>
        </w:tc>
      </w:tr>
      <w:tr w:rsidR="00CD62C3" w:rsidRPr="00D871BC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D62C3" w:rsidRPr="00D871BC" w:rsidRDefault="00CD62C3">
            <w:pPr>
              <w:tabs>
                <w:tab w:val="left" w:pos="808"/>
              </w:tabs>
              <w:jc w:val="both"/>
            </w:pPr>
            <w:r>
              <w:rPr>
                <w:rFonts w:ascii="Arial" w:hAnsi="Arial" w:cs="Arial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D62C3" w:rsidRPr="00D871BC" w:rsidRDefault="00CD62C3">
            <w:pPr>
              <w:tabs>
                <w:tab w:val="left" w:pos="808"/>
              </w:tabs>
              <w:jc w:val="both"/>
            </w:pPr>
            <w:r>
              <w:rPr>
                <w:rFonts w:ascii="Arial" w:hAnsi="Arial" w:cs="Arial"/>
              </w:rPr>
              <w:t>Menovitá hodnota</w:t>
            </w:r>
          </w:p>
        </w:tc>
      </w:tr>
      <w:tr w:rsidR="00CD62C3" w:rsidRPr="00D871BC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D62C3" w:rsidRPr="00D871BC" w:rsidRDefault="00CD62C3">
            <w:pPr>
              <w:tabs>
                <w:tab w:val="left" w:pos="808"/>
              </w:tabs>
              <w:jc w:val="both"/>
            </w:pPr>
            <w:r>
              <w:rPr>
                <w:rFonts w:ascii="Arial" w:hAnsi="Arial" w:cs="Arial"/>
              </w:rPr>
              <w:t>Pôžičky a úvery: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D62C3" w:rsidRPr="00D871BC" w:rsidRDefault="00CD62C3">
            <w:pPr>
              <w:tabs>
                <w:tab w:val="left" w:pos="808"/>
              </w:tabs>
              <w:jc w:val="both"/>
            </w:pPr>
            <w:r>
              <w:rPr>
                <w:rFonts w:ascii="Arial" w:hAnsi="Arial" w:cs="Arial"/>
              </w:rPr>
              <w:t>Menovitá hodnota</w:t>
            </w:r>
          </w:p>
        </w:tc>
      </w:tr>
      <w:tr w:rsidR="00CD62C3" w:rsidRPr="00D871BC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D62C3" w:rsidRPr="00D871BC" w:rsidRDefault="00CD62C3">
            <w:pPr>
              <w:tabs>
                <w:tab w:val="left" w:pos="808"/>
              </w:tabs>
              <w:jc w:val="both"/>
            </w:pPr>
            <w:r>
              <w:rPr>
                <w:rFonts w:ascii="Arial" w:hAnsi="Arial" w:cs="Arial"/>
              </w:rPr>
              <w:t>Derivátové operácie: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D62C3" w:rsidRPr="00D871BC" w:rsidRDefault="00CD62C3">
            <w:pPr>
              <w:tabs>
                <w:tab w:val="left" w:pos="808"/>
              </w:tabs>
              <w:jc w:val="both"/>
            </w:pPr>
            <w:r>
              <w:rPr>
                <w:rFonts w:ascii="Arial" w:hAnsi="Arial" w:cs="Arial"/>
              </w:rPr>
              <w:t>Menovitá hodnota</w:t>
            </w:r>
          </w:p>
        </w:tc>
      </w:tr>
    </w:tbl>
    <w:p w:rsidR="00CD62C3" w:rsidRDefault="00CD62C3">
      <w:pPr>
        <w:tabs>
          <w:tab w:val="left" w:pos="808"/>
        </w:tabs>
        <w:jc w:val="both"/>
        <w:rPr>
          <w:rFonts w:ascii="Arial" w:hAnsi="Arial" w:cs="Arial"/>
        </w:rPr>
      </w:pPr>
    </w:p>
    <w:p w:rsidR="00CD62C3" w:rsidRDefault="00CD62C3">
      <w:pPr>
        <w:tabs>
          <w:tab w:val="left" w:pos="808"/>
        </w:tabs>
        <w:jc w:val="both"/>
        <w:rPr>
          <w:rFonts w:ascii="Arial" w:hAnsi="Arial" w:cs="Arial"/>
        </w:rPr>
      </w:pPr>
    </w:p>
    <w:p w:rsidR="00CD62C3" w:rsidRDefault="00CD62C3">
      <w:pPr>
        <w:numPr>
          <w:ilvl w:val="0"/>
          <w:numId w:val="4"/>
        </w:numPr>
        <w:tabs>
          <w:tab w:val="left" w:pos="808"/>
        </w:tabs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Spôsob zostavenia </w:t>
      </w:r>
      <w:r>
        <w:rPr>
          <w:rFonts w:ascii="Arial" w:hAnsi="Arial" w:cs="Arial"/>
          <w:u w:val="single"/>
        </w:rPr>
        <w:t>odpisového plánu</w:t>
      </w:r>
      <w:r>
        <w:rPr>
          <w:rFonts w:ascii="Arial" w:hAnsi="Arial" w:cs="Arial"/>
        </w:rPr>
        <w:t xml:space="preserve"> pre jednotlivé druhy dlhodobého hmotného majetku a dlhodobého nehmotného majetku, pričom sa uvádza doba odpisovania, použité sadzby odpisov a odpisové metódy pri určení odpisov:</w:t>
      </w:r>
    </w:p>
    <w:p w:rsidR="00CD62C3" w:rsidRDefault="00CD62C3">
      <w:pPr>
        <w:tabs>
          <w:tab w:val="left" w:pos="808"/>
        </w:tabs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     Odpisuje sa sadzbami rovnakými ako daňové odpisy určené zákonom o dani z príjmov.</w:t>
      </w:r>
    </w:p>
    <w:p w:rsidR="00CD62C3" w:rsidRDefault="00CD62C3">
      <w:pPr>
        <w:tabs>
          <w:tab w:val="left" w:pos="808"/>
        </w:tabs>
        <w:jc w:val="both"/>
        <w:rPr>
          <w:rFonts w:ascii="Arial" w:hAnsi="Arial" w:cs="Arial"/>
        </w:rPr>
      </w:pPr>
    </w:p>
    <w:p w:rsidR="00CD62C3" w:rsidRDefault="00CD62C3">
      <w:pPr>
        <w:numPr>
          <w:ilvl w:val="0"/>
          <w:numId w:val="5"/>
        </w:numPr>
        <w:tabs>
          <w:tab w:val="left" w:pos="808"/>
        </w:tabs>
        <w:jc w:val="both"/>
        <w:rPr>
          <w:rFonts w:ascii="Arial" w:hAnsi="Arial" w:cs="Arial"/>
          <w:b/>
        </w:rPr>
      </w:pPr>
      <w:r>
        <w:rPr>
          <w:rFonts w:ascii="Arial" w:hAnsi="Arial" w:cs="Arial"/>
          <w:u w:val="single"/>
        </w:rPr>
        <w:t>Zmeny účtovných  zásad  a zmeny účtovných  metód</w:t>
      </w:r>
      <w:r>
        <w:rPr>
          <w:rFonts w:ascii="Arial" w:hAnsi="Arial" w:cs="Arial"/>
        </w:rPr>
        <w:t xml:space="preserve">  s uvedením  dôvodu  týchto  zmien a vyčíslením ich  vplyvu  na  finančnú  hodnotu  majetku,  záväzkov,  základného  imania a výsledku hospodárenia účtovnej jednotky:</w:t>
      </w:r>
    </w:p>
    <w:p w:rsidR="00CD62C3" w:rsidRDefault="00CD62C3">
      <w:pPr>
        <w:tabs>
          <w:tab w:val="left" w:pos="808"/>
        </w:tabs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            nie sú</w:t>
      </w:r>
    </w:p>
    <w:p w:rsidR="00CD62C3" w:rsidRDefault="00CD62C3">
      <w:pPr>
        <w:tabs>
          <w:tab w:val="left" w:pos="808"/>
        </w:tabs>
        <w:jc w:val="both"/>
        <w:rPr>
          <w:rFonts w:ascii="Arial" w:hAnsi="Arial" w:cs="Arial"/>
        </w:rPr>
      </w:pPr>
    </w:p>
    <w:p w:rsidR="00CD62C3" w:rsidRDefault="00CD62C3">
      <w:pPr>
        <w:tabs>
          <w:tab w:val="left" w:pos="808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5. </w:t>
      </w:r>
      <w:r>
        <w:rPr>
          <w:rFonts w:ascii="Arial" w:hAnsi="Arial" w:cs="Arial"/>
          <w:u w:val="single"/>
        </w:rPr>
        <w:t>Informácie o dotáciách</w:t>
      </w:r>
      <w:r>
        <w:rPr>
          <w:rFonts w:ascii="Arial" w:hAnsi="Arial" w:cs="Arial"/>
        </w:rPr>
        <w:t xml:space="preserve"> a ich oceňovanie v účtovníctve:  </w:t>
      </w:r>
      <w:r>
        <w:rPr>
          <w:rFonts w:ascii="Arial" w:hAnsi="Arial" w:cs="Arial"/>
          <w:b/>
        </w:rPr>
        <w:t>- dotácie nie sú</w:t>
      </w:r>
    </w:p>
    <w:p w:rsidR="00CD62C3" w:rsidRDefault="00CD62C3">
      <w:pPr>
        <w:tabs>
          <w:tab w:val="left" w:pos="808"/>
        </w:tabs>
        <w:jc w:val="both"/>
        <w:rPr>
          <w:rFonts w:ascii="Arial" w:hAnsi="Arial" w:cs="Arial"/>
        </w:rPr>
      </w:pPr>
    </w:p>
    <w:p w:rsidR="00CD62C3" w:rsidRDefault="00CD62C3">
      <w:pPr>
        <w:tabs>
          <w:tab w:val="left" w:pos="808"/>
        </w:tabs>
        <w:jc w:val="both"/>
        <w:rPr>
          <w:rFonts w:ascii="Arial" w:hAnsi="Arial" w:cs="Arial"/>
          <w:sz w:val="24"/>
        </w:rPr>
      </w:pPr>
      <w:r>
        <w:rPr>
          <w:rFonts w:ascii="Arial" w:hAnsi="Arial" w:cs="Arial"/>
        </w:rPr>
        <w:t xml:space="preserve">6. Informácie o účtovaní </w:t>
      </w:r>
      <w:r>
        <w:rPr>
          <w:rFonts w:ascii="Arial" w:hAnsi="Arial" w:cs="Arial"/>
          <w:u w:val="single"/>
        </w:rPr>
        <w:t>významných opráv chýb</w:t>
      </w:r>
      <w:r>
        <w:rPr>
          <w:rFonts w:ascii="Arial" w:hAnsi="Arial" w:cs="Arial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 </w:t>
      </w:r>
      <w:r>
        <w:rPr>
          <w:rFonts w:ascii="Arial" w:hAnsi="Arial" w:cs="Arial"/>
          <w:b/>
        </w:rPr>
        <w:t>- neboli vykonané významné opravy chýb</w:t>
      </w:r>
    </w:p>
    <w:p w:rsidR="00CD62C3" w:rsidRDefault="00CD62C3">
      <w:pPr>
        <w:spacing w:before="1"/>
        <w:jc w:val="both"/>
        <w:rPr>
          <w:rFonts w:ascii="Arial" w:hAnsi="Arial" w:cs="Arial"/>
        </w:rPr>
      </w:pPr>
    </w:p>
    <w:p w:rsidR="00CD62C3" w:rsidRDefault="00CD62C3">
      <w:pPr>
        <w:numPr>
          <w:ilvl w:val="0"/>
          <w:numId w:val="6"/>
        </w:numPr>
        <w:ind w:right="157"/>
        <w:jc w:val="center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</w:rPr>
        <w:t>Článok III</w:t>
      </w:r>
    </w:p>
    <w:p w:rsidR="00CD62C3" w:rsidRDefault="00CD62C3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</w:rPr>
        <w:t>Informácie, ktoré vysvetľujú a dopĺňajú súvahu a výkaz ziskov a strát</w:t>
      </w:r>
    </w:p>
    <w:p w:rsidR="00CD62C3" w:rsidRDefault="00CD62C3">
      <w:pPr>
        <w:spacing w:before="11"/>
        <w:jc w:val="both"/>
        <w:rPr>
          <w:rFonts w:ascii="Arial" w:hAnsi="Arial" w:cs="Arial"/>
        </w:rPr>
      </w:pPr>
    </w:p>
    <w:p w:rsidR="00CD62C3" w:rsidRDefault="00CD62C3">
      <w:pPr>
        <w:tabs>
          <w:tab w:val="left" w:pos="668"/>
        </w:tabs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1. Informácia o sume a dôvodoch vzniku jednotlivých položiek </w:t>
      </w:r>
      <w:r>
        <w:rPr>
          <w:rFonts w:ascii="Arial" w:hAnsi="Arial" w:cs="Arial"/>
          <w:b/>
        </w:rPr>
        <w:t>nákladov alebo výnosov</w:t>
      </w:r>
      <w:r>
        <w:rPr>
          <w:rFonts w:ascii="Arial" w:hAnsi="Arial" w:cs="Arial"/>
        </w:rPr>
        <w:t xml:space="preserve">, ktoré majú </w:t>
      </w:r>
      <w:r>
        <w:rPr>
          <w:rFonts w:ascii="Arial" w:hAnsi="Arial" w:cs="Arial"/>
          <w:u w:val="single"/>
        </w:rPr>
        <w:t>výnimočný rozsah alebo výskyt</w:t>
      </w:r>
      <w:r>
        <w:rPr>
          <w:rFonts w:ascii="Arial" w:hAnsi="Arial" w:cs="Arial"/>
        </w:rPr>
        <w:t>, napríklad výnosy z predaja podniku alebo časti podniku, náklady z dôvodu predaja podniku alebo časti podniku, škody z dôvodu živelných pohrôm:  -</w:t>
      </w:r>
      <w:r>
        <w:rPr>
          <w:rFonts w:ascii="Arial" w:hAnsi="Arial" w:cs="Arial"/>
          <w:b/>
        </w:rPr>
        <w:t xml:space="preserve"> nie sú takéto položky</w:t>
      </w:r>
    </w:p>
    <w:p w:rsidR="00CD62C3" w:rsidRDefault="00CD62C3">
      <w:pPr>
        <w:tabs>
          <w:tab w:val="left" w:pos="668"/>
        </w:tabs>
        <w:ind w:left="101" w:right="116"/>
        <w:jc w:val="both"/>
        <w:rPr>
          <w:rFonts w:ascii="Arial" w:hAnsi="Arial" w:cs="Arial"/>
        </w:rPr>
      </w:pPr>
    </w:p>
    <w:p w:rsidR="00CD62C3" w:rsidRDefault="00CD62C3">
      <w:pPr>
        <w:tabs>
          <w:tab w:val="left" w:pos="668"/>
        </w:tabs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2. </w:t>
      </w:r>
      <w:r>
        <w:rPr>
          <w:rFonts w:ascii="Arial" w:hAnsi="Arial" w:cs="Arial"/>
          <w:u w:val="single"/>
        </w:rPr>
        <w:t>Informácie o záväzkoch</w:t>
      </w:r>
      <w:r>
        <w:rPr>
          <w:rFonts w:ascii="Arial" w:hAnsi="Arial" w:cs="Arial"/>
        </w:rPr>
        <w:t>, a to:</w:t>
      </w:r>
    </w:p>
    <w:p w:rsidR="00CD62C3" w:rsidRDefault="00CD62C3">
      <w:pPr>
        <w:tabs>
          <w:tab w:val="left" w:pos="668"/>
        </w:tabs>
        <w:ind w:left="101" w:right="116"/>
        <w:jc w:val="both"/>
        <w:rPr>
          <w:rFonts w:ascii="Arial" w:hAnsi="Arial" w:cs="Arial"/>
        </w:rPr>
      </w:pPr>
    </w:p>
    <w:p w:rsidR="00CD62C3" w:rsidRDefault="00CD62C3">
      <w:pPr>
        <w:numPr>
          <w:ilvl w:val="0"/>
          <w:numId w:val="7"/>
        </w:numPr>
        <w:tabs>
          <w:tab w:val="left" w:pos="668"/>
        </w:tabs>
        <w:ind w:left="101" w:right="116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>celkovej sume záväzkov so zostatkovou dobou splatnosti dlhšou ako päť rokov:</w:t>
      </w:r>
    </w:p>
    <w:p w:rsidR="00CD62C3" w:rsidRDefault="00CD62C3">
      <w:pPr>
        <w:tabs>
          <w:tab w:val="left" w:pos="668"/>
        </w:tabs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               - spoločnosť nemá záväzky so splatnosťou dlhšou ako päť rokov</w:t>
      </w:r>
    </w:p>
    <w:p w:rsidR="00CD62C3" w:rsidRDefault="00CD62C3">
      <w:pPr>
        <w:tabs>
          <w:tab w:val="left" w:pos="668"/>
        </w:tabs>
        <w:ind w:left="101" w:right="116"/>
        <w:jc w:val="both"/>
        <w:rPr>
          <w:rFonts w:ascii="Arial" w:hAnsi="Arial" w:cs="Arial"/>
        </w:rPr>
      </w:pPr>
    </w:p>
    <w:p w:rsidR="00CD62C3" w:rsidRDefault="00CD62C3">
      <w:pPr>
        <w:numPr>
          <w:ilvl w:val="0"/>
          <w:numId w:val="8"/>
        </w:numPr>
        <w:tabs>
          <w:tab w:val="left" w:pos="668"/>
        </w:tabs>
        <w:ind w:left="101" w:right="116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>celkovej sume zabezpečených záväzkov, opis a spôsoby zabezpečenia záväzkov:</w:t>
      </w:r>
    </w:p>
    <w:p w:rsidR="00CD62C3" w:rsidRDefault="00CD62C3">
      <w:pPr>
        <w:tabs>
          <w:tab w:val="left" w:pos="668"/>
        </w:tabs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                - spoločnosť nemá zabezpečené záväzky</w:t>
      </w:r>
    </w:p>
    <w:p w:rsidR="00CD62C3" w:rsidRDefault="00CD62C3">
      <w:pPr>
        <w:tabs>
          <w:tab w:val="left" w:pos="668"/>
        </w:tabs>
        <w:ind w:left="101" w:right="116"/>
        <w:jc w:val="both"/>
        <w:rPr>
          <w:rFonts w:ascii="Arial" w:hAnsi="Arial" w:cs="Arial"/>
        </w:rPr>
      </w:pPr>
    </w:p>
    <w:p w:rsidR="00CD62C3" w:rsidRDefault="00CD62C3">
      <w:pPr>
        <w:tabs>
          <w:tab w:val="left" w:pos="668"/>
        </w:tabs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 xml:space="preserve">Informácie o vlastných akciách: </w:t>
      </w:r>
      <w:r>
        <w:rPr>
          <w:rFonts w:ascii="Arial" w:hAnsi="Arial" w:cs="Arial"/>
          <w:b/>
          <w:u w:val="single"/>
        </w:rPr>
        <w:t>- spoločnos</w:t>
      </w:r>
      <w:r>
        <w:rPr>
          <w:rFonts w:ascii="Arial" w:hAnsi="Arial" w:cs="Arial"/>
          <w:b/>
        </w:rPr>
        <w:t>ť</w:t>
      </w:r>
      <w:r>
        <w:rPr>
          <w:rFonts w:ascii="Arial" w:hAnsi="Arial" w:cs="Arial"/>
          <w:b/>
          <w:u w:val="single"/>
        </w:rPr>
        <w:t xml:space="preserve"> nevlastní vlastné akcie</w:t>
      </w:r>
    </w:p>
    <w:p w:rsidR="00CD62C3" w:rsidRDefault="00CD62C3">
      <w:pPr>
        <w:tabs>
          <w:tab w:val="left" w:pos="668"/>
        </w:tabs>
        <w:ind w:left="101" w:right="116"/>
        <w:jc w:val="both"/>
        <w:rPr>
          <w:rFonts w:ascii="Arial" w:hAnsi="Arial" w:cs="Arial"/>
        </w:rPr>
      </w:pPr>
    </w:p>
    <w:p w:rsidR="00CD62C3" w:rsidRDefault="00CD62C3">
      <w:pPr>
        <w:tabs>
          <w:tab w:val="left" w:pos="668"/>
        </w:tabs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4. </w:t>
      </w:r>
      <w:r>
        <w:rPr>
          <w:rFonts w:ascii="Arial" w:hAnsi="Arial" w:cs="Arial"/>
          <w:u w:val="single"/>
        </w:rPr>
        <w:t>Informácie o orgánoch účtovnej jednotky</w:t>
      </w:r>
      <w:r>
        <w:rPr>
          <w:rFonts w:ascii="Arial" w:hAnsi="Arial" w:cs="Arial"/>
        </w:rPr>
        <w:t>, a to:</w:t>
      </w:r>
    </w:p>
    <w:p w:rsidR="00CD62C3" w:rsidRDefault="00CD62C3">
      <w:pPr>
        <w:tabs>
          <w:tab w:val="left" w:pos="668"/>
        </w:tabs>
        <w:ind w:left="101" w:right="116"/>
        <w:jc w:val="both"/>
        <w:rPr>
          <w:rFonts w:ascii="Arial" w:hAnsi="Arial" w:cs="Arial"/>
        </w:rPr>
      </w:pPr>
    </w:p>
    <w:p w:rsidR="00CD62C3" w:rsidRDefault="00CD62C3">
      <w:pPr>
        <w:tabs>
          <w:tab w:val="left" w:pos="668"/>
        </w:tabs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a) výške jednotlivých druhov záruk alebo iných zabezpečení poskytnutých pre členov štatutárneho orgánu,  dozorného  orgánu  a  iného  orgánu  účtovnej  jednotky,  a to v členení za jednotlivé orgány:  </w:t>
      </w:r>
      <w:r>
        <w:rPr>
          <w:rFonts w:ascii="Arial" w:hAnsi="Arial" w:cs="Arial"/>
          <w:b/>
        </w:rPr>
        <w:t>- neboli poskytnuté záruky</w:t>
      </w:r>
    </w:p>
    <w:p w:rsidR="00CD62C3" w:rsidRDefault="00CD62C3">
      <w:pPr>
        <w:tabs>
          <w:tab w:val="left" w:pos="668"/>
        </w:tabs>
        <w:ind w:left="101" w:right="116"/>
        <w:jc w:val="both"/>
        <w:rPr>
          <w:rFonts w:ascii="Arial" w:hAnsi="Arial" w:cs="Arial"/>
        </w:rPr>
      </w:pPr>
    </w:p>
    <w:p w:rsidR="00CD62C3" w:rsidRDefault="00CD62C3">
      <w:pPr>
        <w:tabs>
          <w:tab w:val="left" w:pos="668"/>
        </w:tabs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  <w:r>
        <w:rPr>
          <w:rFonts w:ascii="Arial" w:hAnsi="Arial" w:cs="Arial"/>
          <w:b/>
        </w:rPr>
        <w:t>- neboli im poskytnuté pôžičky</w:t>
      </w:r>
    </w:p>
    <w:p w:rsidR="00CD62C3" w:rsidRDefault="00CD62C3">
      <w:pPr>
        <w:tabs>
          <w:tab w:val="left" w:pos="668"/>
        </w:tabs>
        <w:ind w:left="101" w:right="116"/>
        <w:jc w:val="both"/>
        <w:rPr>
          <w:rFonts w:ascii="Arial" w:hAnsi="Arial" w:cs="Arial"/>
        </w:rPr>
      </w:pPr>
    </w:p>
    <w:p w:rsidR="00CD62C3" w:rsidRDefault="00CD62C3">
      <w:pPr>
        <w:tabs>
          <w:tab w:val="left" w:pos="668"/>
        </w:tabs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c) hlavných podmienkach, na základe ktorých im boli záruky alebo iné zabezpečenie a pôžičky poskytnuté; pri pôžičkách sa uvádzajú úrokové sadzby: </w:t>
      </w:r>
      <w:r>
        <w:rPr>
          <w:rFonts w:ascii="Arial" w:hAnsi="Arial" w:cs="Arial"/>
          <w:b/>
        </w:rPr>
        <w:t>- nie sú</w:t>
      </w:r>
    </w:p>
    <w:p w:rsidR="00CD62C3" w:rsidRDefault="00CD62C3">
      <w:pPr>
        <w:tabs>
          <w:tab w:val="left" w:pos="668"/>
        </w:tabs>
        <w:ind w:left="101" w:right="116"/>
        <w:jc w:val="both"/>
        <w:rPr>
          <w:rFonts w:ascii="Arial" w:hAnsi="Arial" w:cs="Arial"/>
        </w:rPr>
      </w:pPr>
    </w:p>
    <w:p w:rsidR="00CD62C3" w:rsidRDefault="00CD62C3">
      <w:pPr>
        <w:tabs>
          <w:tab w:val="left" w:pos="668"/>
        </w:tabs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d) celkovej sume použitých finančných prostriedkov alebo iného plnenia na súkromné účely členmi štatutárneho orgánu, dozorného orgánu a iného orgánu účtovnej jednotky, ktoré je potrebné vyúčtovať: </w:t>
      </w:r>
      <w:r>
        <w:rPr>
          <w:rFonts w:ascii="Arial" w:hAnsi="Arial" w:cs="Arial"/>
          <w:b/>
        </w:rPr>
        <w:t>- neboli poskytnuté prostriedky na tento účel</w:t>
      </w:r>
    </w:p>
    <w:p w:rsidR="00CD62C3" w:rsidRDefault="00CD62C3">
      <w:pPr>
        <w:tabs>
          <w:tab w:val="left" w:pos="668"/>
        </w:tabs>
        <w:ind w:left="101" w:right="116"/>
        <w:jc w:val="both"/>
        <w:rPr>
          <w:rFonts w:ascii="Arial" w:hAnsi="Arial" w:cs="Arial"/>
        </w:rPr>
      </w:pPr>
    </w:p>
    <w:p w:rsidR="00CD62C3" w:rsidRDefault="00CD62C3">
      <w:pPr>
        <w:tabs>
          <w:tab w:val="left" w:pos="668"/>
        </w:tabs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5. </w:t>
      </w:r>
      <w:r>
        <w:rPr>
          <w:rFonts w:ascii="Arial" w:hAnsi="Arial" w:cs="Arial"/>
          <w:u w:val="single"/>
        </w:rPr>
        <w:t>Informácie o povinnostiach</w:t>
      </w:r>
      <w:r>
        <w:rPr>
          <w:rFonts w:ascii="Arial" w:hAnsi="Arial" w:cs="Arial"/>
        </w:rPr>
        <w:t xml:space="preserve"> účtovnej jednotky, a to:</w:t>
      </w:r>
    </w:p>
    <w:p w:rsidR="00CD62C3" w:rsidRDefault="00CD62C3">
      <w:pPr>
        <w:tabs>
          <w:tab w:val="left" w:pos="668"/>
        </w:tabs>
        <w:ind w:left="101" w:right="116"/>
        <w:jc w:val="both"/>
        <w:rPr>
          <w:rFonts w:ascii="Arial" w:hAnsi="Arial" w:cs="Arial"/>
        </w:rPr>
      </w:pPr>
    </w:p>
    <w:p w:rsidR="00CD62C3" w:rsidRDefault="00CD62C3">
      <w:pPr>
        <w:tabs>
          <w:tab w:val="left" w:pos="668"/>
        </w:tabs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a) celkovej sume </w:t>
      </w:r>
      <w:r>
        <w:rPr>
          <w:rFonts w:ascii="Arial" w:hAnsi="Arial" w:cs="Arial"/>
          <w:u w:val="single"/>
        </w:rPr>
        <w:t>finančných povinností</w:t>
      </w:r>
      <w:r>
        <w:rPr>
          <w:rFonts w:ascii="Arial" w:hAnsi="Arial" w:cs="Arial"/>
        </w:rPr>
        <w:t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</w:p>
    <w:p w:rsidR="00CD62C3" w:rsidRDefault="00CD62C3">
      <w:pPr>
        <w:tabs>
          <w:tab w:val="left" w:pos="668"/>
        </w:tabs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  <w:b/>
        </w:rPr>
        <w:t>- spoločnosť nemá finančné povinnosti nevykazované v súvahe</w:t>
      </w:r>
    </w:p>
    <w:p w:rsidR="00CD62C3" w:rsidRDefault="00CD62C3">
      <w:pPr>
        <w:tabs>
          <w:tab w:val="left" w:pos="668"/>
        </w:tabs>
        <w:ind w:left="101" w:right="116"/>
        <w:jc w:val="both"/>
        <w:rPr>
          <w:rFonts w:ascii="Arial" w:hAnsi="Arial" w:cs="Arial"/>
        </w:rPr>
      </w:pPr>
    </w:p>
    <w:p w:rsidR="00CD62C3" w:rsidRDefault="00CD62C3">
      <w:pPr>
        <w:tabs>
          <w:tab w:val="left" w:pos="668"/>
        </w:tabs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b) celkovej sume významných </w:t>
      </w:r>
      <w:r>
        <w:rPr>
          <w:rFonts w:ascii="Arial" w:hAnsi="Arial" w:cs="Arial"/>
          <w:u w:val="single"/>
        </w:rPr>
        <w:t>podmienených záväzkov</w:t>
      </w:r>
      <w:r>
        <w:rPr>
          <w:rFonts w:ascii="Arial" w:hAnsi="Arial" w:cs="Arial"/>
        </w:rP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  <w:r>
        <w:rPr>
          <w:rFonts w:ascii="Arial" w:hAnsi="Arial" w:cs="Arial"/>
          <w:b/>
        </w:rPr>
        <w:t>- spoločnosť nemá podmienené záväzky</w:t>
      </w:r>
    </w:p>
    <w:p w:rsidR="00CD62C3" w:rsidRDefault="00CD62C3">
      <w:pPr>
        <w:tabs>
          <w:tab w:val="left" w:pos="668"/>
        </w:tabs>
        <w:ind w:left="101" w:right="116"/>
        <w:jc w:val="both"/>
        <w:rPr>
          <w:rFonts w:ascii="Arial" w:hAnsi="Arial" w:cs="Arial"/>
        </w:rPr>
      </w:pPr>
    </w:p>
    <w:p w:rsidR="00CD62C3" w:rsidRDefault="00CD62C3">
      <w:pPr>
        <w:numPr>
          <w:ilvl w:val="0"/>
          <w:numId w:val="9"/>
        </w:numPr>
        <w:tabs>
          <w:tab w:val="left" w:pos="668"/>
        </w:tabs>
        <w:ind w:left="101" w:right="116"/>
        <w:jc w:val="both"/>
        <w:rPr>
          <w:rFonts w:ascii="Arial" w:hAnsi="Arial" w:cs="Arial"/>
          <w:b/>
        </w:rPr>
      </w:pPr>
      <w:r>
        <w:rPr>
          <w:rFonts w:ascii="Arial" w:hAnsi="Arial" w:cs="Arial"/>
          <w:u w:val="single"/>
        </w:rPr>
        <w:t>opise významných finančných povinností</w:t>
      </w:r>
      <w:r>
        <w:rPr>
          <w:rFonts w:ascii="Arial" w:hAnsi="Arial" w:cs="Arial"/>
        </w:rPr>
        <w:t xml:space="preserve"> a významných podmienených záväzkov, a to celkovej sume významných finančných povinností a významných podmienených záväzkoch voči dcérskej účtovnej jednotke a účtovnej jednotke s podstatným vplyvom:</w:t>
      </w:r>
    </w:p>
    <w:p w:rsidR="00CD62C3" w:rsidRDefault="00CD62C3">
      <w:pPr>
        <w:tabs>
          <w:tab w:val="left" w:pos="668"/>
        </w:tabs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        - spoločnosť nemá takéto povinnosti</w:t>
      </w:r>
    </w:p>
    <w:p w:rsidR="00CD62C3" w:rsidRDefault="00CD62C3">
      <w:pPr>
        <w:tabs>
          <w:tab w:val="left" w:pos="668"/>
        </w:tabs>
        <w:ind w:left="101" w:right="116"/>
        <w:jc w:val="both"/>
        <w:rPr>
          <w:rFonts w:ascii="Arial" w:hAnsi="Arial" w:cs="Arial"/>
        </w:rPr>
      </w:pPr>
    </w:p>
    <w:p w:rsidR="00CD62C3" w:rsidRDefault="00CD62C3">
      <w:pPr>
        <w:tabs>
          <w:tab w:val="left" w:pos="668"/>
        </w:tabs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d) </w:t>
      </w:r>
      <w:r>
        <w:rPr>
          <w:rFonts w:ascii="Arial" w:hAnsi="Arial" w:cs="Arial"/>
          <w:u w:val="single"/>
        </w:rPr>
        <w:t>opise významných povinností</w:t>
      </w:r>
      <w:r>
        <w:rPr>
          <w:rFonts w:ascii="Arial" w:hAnsi="Arial" w:cs="Arial"/>
        </w:rPr>
        <w:t xml:space="preserve"> účtovnej jednotky vyplývajúcich </w:t>
      </w:r>
      <w:r>
        <w:rPr>
          <w:rFonts w:ascii="Arial" w:hAnsi="Arial" w:cs="Arial"/>
          <w:u w:val="single"/>
        </w:rPr>
        <w:t>z dôchodkových programov</w:t>
      </w:r>
      <w:r>
        <w:rPr>
          <w:rFonts w:ascii="Arial" w:hAnsi="Arial" w:cs="Arial"/>
        </w:rPr>
        <w:t xml:space="preserve"> pre zamestnancov: </w:t>
      </w:r>
      <w:r>
        <w:rPr>
          <w:rFonts w:ascii="Arial" w:hAnsi="Arial" w:cs="Arial"/>
          <w:b/>
        </w:rPr>
        <w:t xml:space="preserve">        - spoločnosť nemá takéto povinnosti</w:t>
      </w:r>
    </w:p>
    <w:p w:rsidR="00CD62C3" w:rsidRDefault="00CD62C3">
      <w:pPr>
        <w:tabs>
          <w:tab w:val="left" w:pos="668"/>
        </w:tabs>
        <w:ind w:left="101" w:right="116"/>
        <w:jc w:val="both"/>
        <w:rPr>
          <w:rFonts w:ascii="Arial" w:hAnsi="Arial" w:cs="Arial"/>
        </w:rPr>
      </w:pPr>
    </w:p>
    <w:p w:rsidR="00CD62C3" w:rsidRDefault="00CD62C3">
      <w:pPr>
        <w:tabs>
          <w:tab w:val="left" w:pos="668"/>
        </w:tabs>
        <w:ind w:left="101" w:right="116"/>
        <w:jc w:val="both"/>
        <w:rPr>
          <w:rFonts w:ascii="Times New Roman" w:hAnsi="Times New Roman"/>
          <w:sz w:val="24"/>
        </w:rPr>
      </w:pPr>
      <w:r>
        <w:rPr>
          <w:rFonts w:ascii="Arial" w:hAnsi="Arial" w:cs="Arial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u w:val="single"/>
        </w:rPr>
        <w:t>služby vo verejnom záujme</w:t>
      </w:r>
      <w:r>
        <w:rPr>
          <w:rFonts w:ascii="Arial" w:hAnsi="Arial" w:cs="Arial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 </w:t>
      </w:r>
      <w:r>
        <w:rPr>
          <w:rFonts w:ascii="Arial" w:hAnsi="Arial" w:cs="Arial"/>
          <w:b/>
        </w:rPr>
        <w:t>- spoločnosť nemá</w:t>
      </w:r>
    </w:p>
    <w:sectPr w:rsidR="00CD62C3" w:rsidSect="00CE4E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F41FB2"/>
    <w:multiLevelType w:val="multilevel"/>
    <w:tmpl w:val="FFFFFFFF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">
    <w:nsid w:val="1F290C86"/>
    <w:multiLevelType w:val="multilevel"/>
    <w:tmpl w:val="FFFFFFFF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2">
    <w:nsid w:val="25EF0565"/>
    <w:multiLevelType w:val="multilevel"/>
    <w:tmpl w:val="FFFFFFFF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3">
    <w:nsid w:val="2A5129FF"/>
    <w:multiLevelType w:val="multilevel"/>
    <w:tmpl w:val="FFFFFFFF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4">
    <w:nsid w:val="34E97CAA"/>
    <w:multiLevelType w:val="multilevel"/>
    <w:tmpl w:val="FFFFFFFF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5">
    <w:nsid w:val="3B9C1508"/>
    <w:multiLevelType w:val="multilevel"/>
    <w:tmpl w:val="FFFFFFFF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6">
    <w:nsid w:val="475A12B3"/>
    <w:multiLevelType w:val="multilevel"/>
    <w:tmpl w:val="FFFFFFFF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7">
    <w:nsid w:val="47AB2787"/>
    <w:multiLevelType w:val="multilevel"/>
    <w:tmpl w:val="FFFFFFFF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8">
    <w:nsid w:val="535079E3"/>
    <w:multiLevelType w:val="multilevel"/>
    <w:tmpl w:val="FFFFFFFF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num w:numId="1">
    <w:abstractNumId w:val="6"/>
  </w:num>
  <w:num w:numId="2">
    <w:abstractNumId w:val="8"/>
  </w:num>
  <w:num w:numId="3">
    <w:abstractNumId w:val="4"/>
  </w:num>
  <w:num w:numId="4">
    <w:abstractNumId w:val="1"/>
  </w:num>
  <w:num w:numId="5">
    <w:abstractNumId w:val="2"/>
  </w:num>
  <w:num w:numId="6">
    <w:abstractNumId w:val="7"/>
  </w:num>
  <w:num w:numId="7">
    <w:abstractNumId w:val="3"/>
  </w:num>
  <w:num w:numId="8">
    <w:abstractNumId w:val="0"/>
  </w:num>
  <w:num w:numId="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C4FC2"/>
    <w:rsid w:val="00756AC7"/>
    <w:rsid w:val="00CC4FC2"/>
    <w:rsid w:val="00CD62C3"/>
    <w:rsid w:val="00CE4EF6"/>
    <w:rsid w:val="00D871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3</Pages>
  <Words>996</Words>
  <Characters>5682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Livia</cp:lastModifiedBy>
  <cp:revision>2</cp:revision>
  <dcterms:created xsi:type="dcterms:W3CDTF">2019-06-30T22:52:00Z</dcterms:created>
  <dcterms:modified xsi:type="dcterms:W3CDTF">2019-06-30T22:53:00Z</dcterms:modified>
</cp:coreProperties>
</file>