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1A222EB" w14:textId="77777777" w:rsidR="00D633F7" w:rsidRDefault="00D633F7" w:rsidP="00D633F7">
      <w:pPr>
        <w:pStyle w:val="Vchodzie"/>
        <w:pBdr>
          <w:top w:val="single" w:sz="4" w:space="0" w:color="00000A"/>
          <w:left w:val="single" w:sz="4" w:space="0" w:color="00000A"/>
          <w:bottom w:val="single" w:sz="4" w:space="25" w:color="00000A"/>
          <w:right w:val="single" w:sz="4" w:space="0" w:color="00000A"/>
        </w:pBdr>
        <w:tabs>
          <w:tab w:val="center" w:pos="4323"/>
          <w:tab w:val="left" w:pos="6237"/>
          <w:tab w:val="right" w:pos="8363"/>
        </w:tabs>
        <w:spacing w:after="120"/>
        <w:ind w:left="-142" w:right="142"/>
        <w:jc w:val="center"/>
      </w:pPr>
      <w:r>
        <w:rPr>
          <w:b/>
        </w:rPr>
        <w:t>POZNÁMKY K ÚČTOVNEJ ZÁVIERKE  ZOSTAVENEJ K 31. decembru 2018</w:t>
      </w:r>
    </w:p>
    <w:p w14:paraId="24227A7F" w14:textId="77777777" w:rsidR="00D633F7" w:rsidRDefault="00D633F7" w:rsidP="00D633F7">
      <w:pPr>
        <w:pStyle w:val="Vchodzie"/>
        <w:tabs>
          <w:tab w:val="left" w:pos="3375"/>
        </w:tabs>
        <w:jc w:val="both"/>
      </w:pPr>
      <w:r>
        <w:rPr>
          <w:rFonts w:ascii="Calibri" w:hAnsi="Calibri"/>
          <w:sz w:val="20"/>
        </w:rPr>
        <w:tab/>
      </w:r>
    </w:p>
    <w:p w14:paraId="59C22DE8" w14:textId="77777777"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>VŠEOBECNÉ INFORMÁCIE</w:t>
      </w:r>
    </w:p>
    <w:p w14:paraId="0967F9F9" w14:textId="77777777" w:rsidR="00D633F7" w:rsidRPr="00B76474" w:rsidRDefault="00D633F7" w:rsidP="00D633F7">
      <w:pPr>
        <w:pStyle w:val="Vchodzie"/>
        <w:rPr>
          <w:color w:val="auto"/>
        </w:rPr>
      </w:pPr>
    </w:p>
    <w:p w14:paraId="74ED6D04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(1)  Informácie o účtovnej jednotke</w:t>
      </w:r>
    </w:p>
    <w:p w14:paraId="537C2F0F" w14:textId="77777777" w:rsidR="00D633F7" w:rsidRPr="00B76474" w:rsidRDefault="00D633F7" w:rsidP="00D633F7">
      <w:pPr>
        <w:pStyle w:val="Vchodzie"/>
        <w:rPr>
          <w:color w:val="auto"/>
        </w:rPr>
      </w:pPr>
    </w:p>
    <w:p w14:paraId="5E262EFC" w14:textId="77777777" w:rsidR="00D633F7" w:rsidRPr="00B76474" w:rsidRDefault="00D633F7" w:rsidP="00D633F7">
      <w:pPr>
        <w:pStyle w:val="Odsekzoznamu"/>
        <w:ind w:left="0"/>
        <w:rPr>
          <w:color w:val="auto"/>
        </w:rPr>
      </w:pPr>
      <w:r w:rsidRPr="00B76474">
        <w:rPr>
          <w:rFonts w:cs="Calibri"/>
          <w:bCs/>
          <w:color w:val="auto"/>
          <w:sz w:val="20"/>
          <w:szCs w:val="20"/>
        </w:rPr>
        <w:t>a) Základné informácie o účtovnej jednotke:</w:t>
      </w:r>
    </w:p>
    <w:tbl>
      <w:tblPr>
        <w:tblW w:w="0" w:type="auto"/>
        <w:tblInd w:w="-226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770"/>
        <w:gridCol w:w="6499"/>
      </w:tblGrid>
      <w:tr w:rsidR="00D633F7" w:rsidRPr="00B76474" w14:paraId="6F3F306B" w14:textId="77777777" w:rsidTr="0015223F">
        <w:trPr>
          <w:trHeight w:val="336"/>
        </w:trPr>
        <w:tc>
          <w:tcPr>
            <w:tcW w:w="277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9E55FE5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Obchodné meno:</w:t>
            </w:r>
          </w:p>
        </w:tc>
        <w:tc>
          <w:tcPr>
            <w:tcW w:w="649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F9CD909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>
              <w:rPr>
                <w:rFonts w:ascii="Calibri" w:hAnsi="Calibri"/>
                <w:color w:val="auto"/>
                <w:sz w:val="20"/>
                <w:szCs w:val="20"/>
              </w:rPr>
              <w:t xml:space="preserve">LEMIR Design, </w:t>
            </w:r>
            <w:proofErr w:type="spellStart"/>
            <w:r>
              <w:rPr>
                <w:rFonts w:ascii="Calibri" w:hAnsi="Calibri"/>
                <w:color w:val="auto"/>
                <w:sz w:val="20"/>
                <w:szCs w:val="20"/>
              </w:rPr>
              <w:t>s.r.o</w:t>
            </w:r>
            <w:proofErr w:type="spellEnd"/>
            <w:r>
              <w:rPr>
                <w:rFonts w:ascii="Calibri" w:hAnsi="Calibri"/>
                <w:color w:val="auto"/>
                <w:sz w:val="20"/>
                <w:szCs w:val="20"/>
              </w:rPr>
              <w:t>.</w:t>
            </w: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.</w:t>
            </w:r>
          </w:p>
        </w:tc>
      </w:tr>
      <w:tr w:rsidR="00D633F7" w:rsidRPr="00B76474" w14:paraId="1C7C1B00" w14:textId="77777777" w:rsidTr="0015223F">
        <w:trPr>
          <w:trHeight w:val="336"/>
        </w:trPr>
        <w:tc>
          <w:tcPr>
            <w:tcW w:w="277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6316657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Sídlo:</w:t>
            </w:r>
          </w:p>
        </w:tc>
        <w:tc>
          <w:tcPr>
            <w:tcW w:w="64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02FFFFC" w14:textId="77777777" w:rsidR="00D633F7" w:rsidRPr="003512FF" w:rsidRDefault="00D633F7" w:rsidP="0015223F">
            <w:pPr>
              <w:pStyle w:val="Vchodzie"/>
              <w:rPr>
                <w:color w:val="auto"/>
                <w:sz w:val="16"/>
                <w:szCs w:val="16"/>
              </w:rPr>
            </w:pPr>
            <w:r w:rsidRPr="003512FF">
              <w:rPr>
                <w:color w:val="auto"/>
                <w:sz w:val="16"/>
                <w:szCs w:val="16"/>
              </w:rPr>
              <w:t>Dvorská cesta 23</w:t>
            </w:r>
            <w:r>
              <w:rPr>
                <w:color w:val="auto"/>
                <w:sz w:val="16"/>
                <w:szCs w:val="16"/>
              </w:rPr>
              <w:t>, 940 02 Nové Zámky</w:t>
            </w:r>
          </w:p>
        </w:tc>
      </w:tr>
      <w:tr w:rsidR="00D633F7" w:rsidRPr="00B76474" w14:paraId="3EC0805B" w14:textId="77777777" w:rsidTr="0015223F">
        <w:trPr>
          <w:trHeight w:val="336"/>
        </w:trPr>
        <w:tc>
          <w:tcPr>
            <w:tcW w:w="2770" w:type="dxa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6024882B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Dátum založenia:</w:t>
            </w:r>
          </w:p>
        </w:tc>
        <w:tc>
          <w:tcPr>
            <w:tcW w:w="6499" w:type="dxa"/>
            <w:tcBorders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488CA29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>
              <w:rPr>
                <w:rFonts w:ascii="Calibri" w:hAnsi="Calibri"/>
                <w:color w:val="auto"/>
                <w:sz w:val="20"/>
                <w:szCs w:val="20"/>
              </w:rPr>
              <w:t>05</w:t>
            </w: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.</w:t>
            </w:r>
            <w:r>
              <w:rPr>
                <w:rFonts w:ascii="Calibri" w:hAnsi="Calibri"/>
                <w:color w:val="auto"/>
                <w:sz w:val="20"/>
                <w:szCs w:val="20"/>
              </w:rPr>
              <w:t>11</w:t>
            </w: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.20</w:t>
            </w:r>
            <w:r>
              <w:rPr>
                <w:rFonts w:ascii="Calibri" w:hAnsi="Calibri"/>
                <w:color w:val="auto"/>
                <w:sz w:val="20"/>
                <w:szCs w:val="20"/>
              </w:rPr>
              <w:t>16</w:t>
            </w:r>
          </w:p>
        </w:tc>
      </w:tr>
      <w:tr w:rsidR="00D633F7" w:rsidRPr="00B76474" w14:paraId="44889EBB" w14:textId="77777777" w:rsidTr="0015223F">
        <w:trPr>
          <w:trHeight w:val="336"/>
        </w:trPr>
        <w:tc>
          <w:tcPr>
            <w:tcW w:w="2770" w:type="dxa"/>
            <w:tcBorders>
              <w:top w:val="single" w:sz="4" w:space="0" w:color="00000A"/>
              <w:left w:val="single" w:sz="4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7A08E777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Dátum vzniku:</w:t>
            </w:r>
          </w:p>
        </w:tc>
        <w:tc>
          <w:tcPr>
            <w:tcW w:w="6499" w:type="dxa"/>
            <w:tcBorders>
              <w:top w:val="single" w:sz="4" w:space="0" w:color="00000A"/>
              <w:bottom w:val="single" w:sz="4" w:space="0" w:color="auto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2A4BA37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>
              <w:rPr>
                <w:rFonts w:ascii="Calibri" w:hAnsi="Calibri"/>
                <w:color w:val="auto"/>
                <w:sz w:val="20"/>
                <w:szCs w:val="20"/>
              </w:rPr>
              <w:t>05</w:t>
            </w: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.</w:t>
            </w:r>
            <w:r>
              <w:rPr>
                <w:rFonts w:ascii="Calibri" w:hAnsi="Calibri"/>
                <w:color w:val="auto"/>
                <w:sz w:val="20"/>
                <w:szCs w:val="20"/>
              </w:rPr>
              <w:t>11</w:t>
            </w: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.20</w:t>
            </w:r>
            <w:r>
              <w:rPr>
                <w:rFonts w:ascii="Calibri" w:hAnsi="Calibri"/>
                <w:color w:val="auto"/>
                <w:sz w:val="20"/>
                <w:szCs w:val="20"/>
              </w:rPr>
              <w:t>16</w:t>
            </w:r>
          </w:p>
        </w:tc>
      </w:tr>
      <w:tr w:rsidR="00D633F7" w:rsidRPr="00B76474" w14:paraId="597C3EB1" w14:textId="77777777" w:rsidTr="0015223F">
        <w:trPr>
          <w:trHeight w:val="336"/>
        </w:trPr>
        <w:tc>
          <w:tcPr>
            <w:tcW w:w="2770" w:type="dxa"/>
            <w:tcBorders>
              <w:top w:val="single" w:sz="4" w:space="0" w:color="auto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483E421A" w14:textId="77777777" w:rsidR="00D633F7" w:rsidRPr="00B76474" w:rsidRDefault="00D633F7" w:rsidP="0015223F">
            <w:pPr>
              <w:pStyle w:val="Vchodzie"/>
              <w:rPr>
                <w:rFonts w:ascii="Calibri" w:hAnsi="Calibri"/>
                <w:color w:val="auto"/>
                <w:sz w:val="20"/>
                <w:szCs w:val="20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Subjekt verejného záujmu:</w:t>
            </w:r>
          </w:p>
        </w:tc>
        <w:tc>
          <w:tcPr>
            <w:tcW w:w="6499" w:type="dxa"/>
            <w:tcBorders>
              <w:top w:val="single" w:sz="4" w:space="0" w:color="auto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14:paraId="177AB4F1" w14:textId="77777777" w:rsidR="00D633F7" w:rsidRPr="00B76474" w:rsidRDefault="00D633F7" w:rsidP="0015223F">
            <w:pPr>
              <w:pStyle w:val="Vchodzie"/>
              <w:rPr>
                <w:rFonts w:ascii="Calibri" w:hAnsi="Calibri"/>
                <w:color w:val="auto"/>
                <w:sz w:val="20"/>
                <w:szCs w:val="20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 xml:space="preserve">Spoločnosť nie je subjektom verejného záujmu (§ 2/14 </w:t>
            </w:r>
            <w:proofErr w:type="spellStart"/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ZoU</w:t>
            </w:r>
            <w:proofErr w:type="spellEnd"/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).</w:t>
            </w:r>
          </w:p>
        </w:tc>
      </w:tr>
    </w:tbl>
    <w:p w14:paraId="0E7DEE89" w14:textId="77777777" w:rsidR="00D633F7" w:rsidRPr="00B76474" w:rsidRDefault="00D633F7" w:rsidP="00D633F7">
      <w:pPr>
        <w:pStyle w:val="Odsekzoznamu"/>
        <w:rPr>
          <w:color w:val="auto"/>
        </w:rPr>
      </w:pPr>
    </w:p>
    <w:p w14:paraId="1034B645" w14:textId="77777777" w:rsidR="00D633F7" w:rsidRDefault="00D633F7" w:rsidP="00D633F7">
      <w:pPr>
        <w:pStyle w:val="Odsekzoznamu"/>
        <w:spacing w:after="0" w:line="100" w:lineRule="atLeast"/>
        <w:ind w:left="0"/>
        <w:jc w:val="both"/>
        <w:rPr>
          <w:rFonts w:cs="ArialNarrow"/>
          <w:color w:val="auto"/>
          <w:sz w:val="20"/>
          <w:szCs w:val="20"/>
        </w:rPr>
      </w:pPr>
      <w:r w:rsidRPr="00B76474">
        <w:rPr>
          <w:color w:val="auto"/>
          <w:sz w:val="20"/>
          <w:szCs w:val="20"/>
        </w:rPr>
        <w:t xml:space="preserve">b) </w:t>
      </w:r>
      <w:r w:rsidRPr="00B76474">
        <w:rPr>
          <w:rFonts w:cs="ArialNarrow"/>
          <w:color w:val="auto"/>
          <w:sz w:val="20"/>
          <w:szCs w:val="20"/>
        </w:rPr>
        <w:t>Opis hospodárskej činnosti účtovnej jednotky:</w:t>
      </w:r>
    </w:p>
    <w:p w14:paraId="514126E5" w14:textId="77777777" w:rsidR="00D633F7" w:rsidRDefault="00D633F7" w:rsidP="00D633F7">
      <w:pPr>
        <w:pStyle w:val="Odsekzoznamu"/>
        <w:spacing w:after="0" w:line="100" w:lineRule="atLeast"/>
        <w:ind w:left="0"/>
        <w:jc w:val="both"/>
        <w:rPr>
          <w:rFonts w:cs="ArialNarrow"/>
          <w:color w:val="auto"/>
          <w:sz w:val="20"/>
          <w:szCs w:val="20"/>
        </w:rPr>
      </w:pPr>
      <w:r>
        <w:rPr>
          <w:rFonts w:cs="ArialNarrow"/>
          <w:color w:val="auto"/>
          <w:sz w:val="20"/>
          <w:szCs w:val="20"/>
        </w:rPr>
        <w:t>Kúpa tovaru za účelom jeho predaja konečnému spotrebiteľovi /maloobchod/ alebo iným prevádzkovateľom živnosti / veľkoobchod/</w:t>
      </w:r>
    </w:p>
    <w:p w14:paraId="4B7DF103" w14:textId="77777777" w:rsidR="00D633F7" w:rsidRDefault="00D633F7" w:rsidP="00D633F7">
      <w:pPr>
        <w:pStyle w:val="Odsekzoznamu"/>
        <w:spacing w:after="0" w:line="100" w:lineRule="atLeast"/>
        <w:ind w:left="0"/>
        <w:jc w:val="both"/>
        <w:rPr>
          <w:rFonts w:cs="ArialNarrow"/>
          <w:color w:val="auto"/>
          <w:sz w:val="20"/>
          <w:szCs w:val="20"/>
        </w:rPr>
      </w:pPr>
      <w:r>
        <w:rPr>
          <w:rFonts w:cs="ArialNarrow"/>
          <w:color w:val="auto"/>
          <w:sz w:val="20"/>
          <w:szCs w:val="20"/>
        </w:rPr>
        <w:t>Textilná výroba</w:t>
      </w:r>
    </w:p>
    <w:p w14:paraId="3993E76B" w14:textId="77777777" w:rsidR="00D633F7" w:rsidRPr="00B76474" w:rsidRDefault="00D633F7" w:rsidP="00D633F7">
      <w:pPr>
        <w:pStyle w:val="Odsekzoznamu"/>
        <w:spacing w:after="0" w:line="100" w:lineRule="atLeast"/>
        <w:ind w:left="0"/>
        <w:jc w:val="both"/>
        <w:rPr>
          <w:color w:val="auto"/>
        </w:rPr>
      </w:pPr>
      <w:r>
        <w:rPr>
          <w:rFonts w:cs="ArialNarrow"/>
          <w:color w:val="auto"/>
          <w:sz w:val="20"/>
          <w:szCs w:val="20"/>
        </w:rPr>
        <w:t>Úprava bytových doplnkov všetkého druhu z textilných materiálov</w:t>
      </w:r>
    </w:p>
    <w:p w14:paraId="7A21B9DA" w14:textId="77777777" w:rsidR="00D633F7" w:rsidRPr="00B76474" w:rsidRDefault="00D633F7" w:rsidP="00D633F7">
      <w:pPr>
        <w:pStyle w:val="Vchodzie"/>
        <w:widowControl w:val="0"/>
        <w:jc w:val="both"/>
        <w:rPr>
          <w:rFonts w:ascii="Calibri" w:hAnsi="Calibri" w:cs="Calibri"/>
          <w:b/>
          <w:color w:val="auto"/>
          <w:sz w:val="22"/>
          <w:szCs w:val="22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 (2) </w:t>
      </w:r>
      <w:r w:rsidRPr="00B76474">
        <w:rPr>
          <w:rFonts w:ascii="Calibri" w:hAnsi="Calibri" w:cs="Calibri"/>
          <w:b/>
          <w:color w:val="auto"/>
          <w:sz w:val="22"/>
          <w:szCs w:val="22"/>
        </w:rPr>
        <w:t>Schválenie účtovnej závierky za predchádzajúce obdobie</w:t>
      </w:r>
    </w:p>
    <w:p w14:paraId="7AE3D30F" w14:textId="77777777" w:rsidR="00D633F7" w:rsidRPr="00B76474" w:rsidRDefault="00D633F7" w:rsidP="00D633F7">
      <w:pPr>
        <w:pStyle w:val="Vchodzie"/>
        <w:widowControl w:val="0"/>
        <w:jc w:val="both"/>
        <w:rPr>
          <w:color w:val="auto"/>
        </w:rPr>
      </w:pPr>
    </w:p>
    <w:p w14:paraId="1124D1D3" w14:textId="77777777" w:rsidR="00D633F7" w:rsidRPr="00B76474" w:rsidRDefault="00D633F7" w:rsidP="00D633F7">
      <w:pPr>
        <w:spacing w:after="0" w:line="240" w:lineRule="auto"/>
        <w:jc w:val="both"/>
        <w:rPr>
          <w:rFonts w:eastAsia="Times New Roman" w:cstheme="minorHAnsi"/>
          <w:sz w:val="20"/>
          <w:szCs w:val="20"/>
        </w:rPr>
      </w:pPr>
      <w:r w:rsidRPr="00B76474">
        <w:rPr>
          <w:rFonts w:eastAsia="Times New Roman" w:cstheme="minorHAnsi"/>
          <w:sz w:val="20"/>
          <w:szCs w:val="20"/>
        </w:rPr>
        <w:t>Účtovná závierka za bezprostredne predchádzajúce účtovné obdobie bola schválená dňa 2</w:t>
      </w:r>
      <w:r>
        <w:rPr>
          <w:rFonts w:eastAsia="Times New Roman" w:cstheme="minorHAnsi"/>
          <w:sz w:val="20"/>
          <w:szCs w:val="20"/>
        </w:rPr>
        <w:t>5</w:t>
      </w:r>
      <w:r w:rsidRPr="00B76474">
        <w:rPr>
          <w:rFonts w:eastAsia="Times New Roman" w:cstheme="minorHAnsi"/>
          <w:sz w:val="20"/>
          <w:szCs w:val="20"/>
        </w:rPr>
        <w:t xml:space="preserve">. </w:t>
      </w:r>
      <w:r>
        <w:rPr>
          <w:rFonts w:eastAsia="Times New Roman" w:cstheme="minorHAnsi"/>
          <w:sz w:val="20"/>
          <w:szCs w:val="20"/>
        </w:rPr>
        <w:t>júna</w:t>
      </w:r>
      <w:r w:rsidRPr="00B76474">
        <w:rPr>
          <w:rFonts w:eastAsia="Times New Roman" w:cstheme="minorHAnsi"/>
          <w:sz w:val="20"/>
          <w:szCs w:val="20"/>
        </w:rPr>
        <w:t xml:space="preserve">  201</w:t>
      </w:r>
      <w:r>
        <w:rPr>
          <w:rFonts w:eastAsia="Times New Roman" w:cstheme="minorHAnsi"/>
          <w:sz w:val="20"/>
          <w:szCs w:val="20"/>
        </w:rPr>
        <w:t>8</w:t>
      </w:r>
      <w:r w:rsidRPr="00B76474">
        <w:rPr>
          <w:rFonts w:eastAsia="Times New Roman" w:cstheme="minorHAnsi"/>
          <w:sz w:val="20"/>
          <w:szCs w:val="20"/>
        </w:rPr>
        <w:t>.</w:t>
      </w:r>
    </w:p>
    <w:p w14:paraId="4C924A5E" w14:textId="77777777" w:rsidR="00D633F7" w:rsidRPr="00B76474" w:rsidRDefault="00D633F7" w:rsidP="00D633F7">
      <w:pPr>
        <w:pStyle w:val="Vchodzie"/>
        <w:widowControl w:val="0"/>
        <w:jc w:val="both"/>
        <w:rPr>
          <w:color w:val="auto"/>
        </w:rPr>
      </w:pPr>
    </w:p>
    <w:p w14:paraId="233BD343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(3) Právny dôvod na zostavenie účtovnej závierky</w:t>
      </w:r>
    </w:p>
    <w:p w14:paraId="49248662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19443DAA" w14:textId="77777777" w:rsidR="00D633F7" w:rsidRPr="00B76474" w:rsidRDefault="00D633F7" w:rsidP="00D633F7">
      <w:pPr>
        <w:pStyle w:val="Vchodzie"/>
        <w:widowControl w:val="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Účtovná závierka k 31.12.201</w:t>
      </w:r>
      <w:r>
        <w:rPr>
          <w:rFonts w:ascii="Calibri" w:hAnsi="Calibri" w:cs="Calibri"/>
          <w:color w:val="auto"/>
          <w:sz w:val="20"/>
          <w:szCs w:val="20"/>
        </w:rPr>
        <w:t>8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 je zostavená ako riadna účtovná závierka podľa § 17 ods. 6 zákona NR SR č. 431/2002 Z. z. o účtovníctve, za účtovné obdobie od 1.januára 201</w:t>
      </w:r>
      <w:r>
        <w:rPr>
          <w:rFonts w:ascii="Calibri" w:hAnsi="Calibri" w:cs="Calibri"/>
          <w:color w:val="auto"/>
          <w:sz w:val="20"/>
          <w:szCs w:val="20"/>
        </w:rPr>
        <w:t>8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 do 31. decembra 201</w:t>
      </w:r>
      <w:r>
        <w:rPr>
          <w:rFonts w:ascii="Calibri" w:hAnsi="Calibri" w:cs="Calibri"/>
          <w:color w:val="auto"/>
          <w:sz w:val="20"/>
          <w:szCs w:val="20"/>
        </w:rPr>
        <w:t>8</w:t>
      </w:r>
      <w:r w:rsidRPr="00B76474">
        <w:rPr>
          <w:rFonts w:ascii="Calibri" w:hAnsi="Calibri" w:cs="Calibri"/>
          <w:color w:val="auto"/>
          <w:sz w:val="20"/>
          <w:szCs w:val="20"/>
        </w:rPr>
        <w:t>,  k poslednému dňu kalendárneho roka 201</w:t>
      </w:r>
      <w:r>
        <w:rPr>
          <w:rFonts w:ascii="Calibri" w:hAnsi="Calibri" w:cs="Calibri"/>
          <w:color w:val="auto"/>
          <w:sz w:val="20"/>
          <w:szCs w:val="20"/>
        </w:rPr>
        <w:t>8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. </w:t>
      </w:r>
    </w:p>
    <w:p w14:paraId="69FE50FD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5C75D685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(4) Údaje o skupine účtovných jednotiek, a to: </w:t>
      </w:r>
    </w:p>
    <w:p w14:paraId="2FB399A3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1819DC95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eastAsia="Times New Roman" w:hAnsi="Calibri" w:cs="Times New Roman"/>
          <w:color w:val="auto"/>
          <w:sz w:val="20"/>
          <w:szCs w:val="20"/>
        </w:rPr>
        <w:t>Účtovná jednotka nie je súčasťou konsolidovaného celku a účtovná jednotka nie je materskou účtovnou jednotkou.</w:t>
      </w:r>
    </w:p>
    <w:p w14:paraId="332FF5DB" w14:textId="77777777" w:rsidR="00D633F7" w:rsidRPr="00B76474" w:rsidRDefault="00D633F7" w:rsidP="00D633F7">
      <w:pPr>
        <w:pStyle w:val="Vchodzie"/>
        <w:rPr>
          <w:color w:val="auto"/>
        </w:rPr>
      </w:pPr>
    </w:p>
    <w:p w14:paraId="51F78F1A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(5) Informácia o počte zamestnancov</w:t>
      </w:r>
    </w:p>
    <w:tbl>
      <w:tblPr>
        <w:tblW w:w="0" w:type="auto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851"/>
        <w:gridCol w:w="2872"/>
        <w:gridCol w:w="2680"/>
      </w:tblGrid>
      <w:tr w:rsidR="00D633F7" w:rsidRPr="00B76474" w14:paraId="61FC26B1" w14:textId="77777777" w:rsidTr="0015223F">
        <w:trPr>
          <w:jc w:val="center"/>
        </w:trPr>
        <w:tc>
          <w:tcPr>
            <w:tcW w:w="39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139A94C" w14:textId="77777777"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Názov položky</w:t>
            </w:r>
          </w:p>
        </w:tc>
        <w:tc>
          <w:tcPr>
            <w:tcW w:w="2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207BB6" w14:textId="77777777"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Bežné účtovné obdobie</w:t>
            </w:r>
          </w:p>
        </w:tc>
        <w:tc>
          <w:tcPr>
            <w:tcW w:w="27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536CA50" w14:textId="77777777"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 w:cs="Calibri"/>
                <w:b w:val="0"/>
                <w:color w:val="auto"/>
                <w:sz w:val="20"/>
                <w:szCs w:val="20"/>
              </w:rPr>
              <w:t>Bezprostredne predchádzajúce účtovné obdobie</w:t>
            </w:r>
          </w:p>
        </w:tc>
      </w:tr>
      <w:tr w:rsidR="00D633F7" w:rsidRPr="00B76474" w14:paraId="07D745A0" w14:textId="77777777" w:rsidTr="0015223F">
        <w:trPr>
          <w:jc w:val="center"/>
        </w:trPr>
        <w:tc>
          <w:tcPr>
            <w:tcW w:w="395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1654705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9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56241D0" w14:textId="77777777" w:rsidR="00D633F7" w:rsidRPr="00D30A0F" w:rsidRDefault="00D633F7" w:rsidP="0015223F">
            <w:pPr>
              <w:pStyle w:val="Vchodzie"/>
              <w:spacing w:line="360" w:lineRule="auto"/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6</w:t>
            </w:r>
          </w:p>
        </w:tc>
        <w:tc>
          <w:tcPr>
            <w:tcW w:w="272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583AED6" w14:textId="77777777" w:rsidR="00D633F7" w:rsidRPr="00B76474" w:rsidRDefault="00D633F7" w:rsidP="0015223F">
            <w:pPr>
              <w:pStyle w:val="Vchodzie"/>
              <w:spacing w:line="360" w:lineRule="auto"/>
              <w:jc w:val="center"/>
              <w:rPr>
                <w:rFonts w:asciiTheme="minorHAnsi" w:hAnsiTheme="minorHAnsi" w:cstheme="minorHAnsi"/>
                <w:color w:val="auto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auto"/>
                <w:sz w:val="20"/>
                <w:szCs w:val="20"/>
              </w:rPr>
              <w:t>10</w:t>
            </w:r>
          </w:p>
        </w:tc>
      </w:tr>
    </w:tbl>
    <w:p w14:paraId="6896C498" w14:textId="77777777" w:rsidR="00D633F7" w:rsidRPr="00B76474" w:rsidRDefault="00D633F7" w:rsidP="00D633F7">
      <w:pPr>
        <w:pStyle w:val="Vchodzie"/>
        <w:rPr>
          <w:color w:val="auto"/>
        </w:rPr>
      </w:pPr>
    </w:p>
    <w:p w14:paraId="7B00E145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6BCEFD0A" w14:textId="77777777"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>Informácie o orgánoch spoločnosti</w:t>
      </w:r>
    </w:p>
    <w:p w14:paraId="7ECE54E7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4C9C0DE4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Informácie o orgánoch účtovnej jednotky</w:t>
      </w:r>
    </w:p>
    <w:p w14:paraId="19CDB3EE" w14:textId="77777777" w:rsidR="00D633F7" w:rsidRPr="00B76474" w:rsidRDefault="00D633F7" w:rsidP="00D633F7">
      <w:pPr>
        <w:pStyle w:val="Vchodzie"/>
        <w:rPr>
          <w:color w:val="auto"/>
        </w:rPr>
      </w:pPr>
    </w:p>
    <w:p w14:paraId="037C6B9C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bCs/>
          <w:color w:val="auto"/>
          <w:sz w:val="20"/>
          <w:szCs w:val="20"/>
        </w:rPr>
        <w:t>Členovia štatutárneho orgánu spoločnosti nepoberali žiadne príjmy za výkon svojej funkcie člena tohto</w:t>
      </w:r>
    </w:p>
    <w:p w14:paraId="5738F159" w14:textId="77777777" w:rsidR="00D633F7" w:rsidRPr="00B76474" w:rsidRDefault="00D633F7" w:rsidP="00D633F7">
      <w:pPr>
        <w:pStyle w:val="Vchodzie"/>
        <w:jc w:val="both"/>
        <w:rPr>
          <w:rFonts w:ascii="Calibri" w:hAnsi="Calibri"/>
          <w:bCs/>
          <w:color w:val="auto"/>
          <w:sz w:val="20"/>
          <w:szCs w:val="20"/>
        </w:rPr>
      </w:pPr>
      <w:r w:rsidRPr="00B76474">
        <w:rPr>
          <w:rFonts w:ascii="Calibri" w:hAnsi="Calibri"/>
          <w:bCs/>
          <w:color w:val="auto"/>
          <w:sz w:val="20"/>
          <w:szCs w:val="20"/>
        </w:rPr>
        <w:t>orgánu ani im neboli poskytnuté žiadne pôžičky alebo záruky.</w:t>
      </w:r>
    </w:p>
    <w:p w14:paraId="3E8FCD95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2DCE9656" w14:textId="77777777" w:rsidR="00D633F7" w:rsidRDefault="00D633F7" w:rsidP="00D633F7">
      <w:pPr>
        <w:pStyle w:val="Vchodzie"/>
        <w:jc w:val="center"/>
        <w:rPr>
          <w:rFonts w:ascii="Calibri" w:hAnsi="Calibri"/>
          <w:b/>
          <w:bCs/>
          <w:color w:val="auto"/>
          <w:sz w:val="22"/>
          <w:szCs w:val="22"/>
        </w:rPr>
      </w:pPr>
    </w:p>
    <w:p w14:paraId="696A2679" w14:textId="77777777" w:rsidR="00D633F7" w:rsidRDefault="00D633F7" w:rsidP="00D633F7">
      <w:pPr>
        <w:pStyle w:val="Vchodzie"/>
        <w:jc w:val="center"/>
        <w:rPr>
          <w:rFonts w:ascii="Calibri" w:hAnsi="Calibri"/>
          <w:b/>
          <w:bCs/>
          <w:color w:val="auto"/>
          <w:sz w:val="22"/>
          <w:szCs w:val="22"/>
        </w:rPr>
      </w:pPr>
    </w:p>
    <w:p w14:paraId="2852E9DE" w14:textId="77777777"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lastRenderedPageBreak/>
        <w:t xml:space="preserve">  Informácie o prijatých postupoch</w:t>
      </w:r>
    </w:p>
    <w:p w14:paraId="0FE2B16F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06BDA341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color w:val="auto"/>
          <w:sz w:val="20"/>
          <w:szCs w:val="20"/>
        </w:rPr>
        <w:t>(1) Účtovná závierka spoločnosti bola zostavená za predpokladu nepretržitého trvania jej činnosti v súlade so zákonom o účtovníctve platným v Slovenskej republike a nadväzujúcimi postupmi účtovania.</w:t>
      </w:r>
    </w:p>
    <w:p w14:paraId="342CA35F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2F84342D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 w:cs="Calibri"/>
          <w:bCs/>
          <w:color w:val="auto"/>
          <w:sz w:val="20"/>
          <w:szCs w:val="20"/>
          <w:lang w:eastAsia="cs-CZ"/>
        </w:rPr>
        <w:t>Účtovníctvo spoločnosť vedie na základe dodržania časovej a vecnej súvislosti nákladov a výnosov. Za základ sa berú všetky náklady a výnosy, ktoré sa vzťahujú na účtovné obdobie bez ohľadu na dátum ich platenia.</w:t>
      </w:r>
    </w:p>
    <w:p w14:paraId="7DD272D1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0D8BBF47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 w:cs="Calibri"/>
          <w:bCs/>
          <w:color w:val="auto"/>
          <w:sz w:val="20"/>
          <w:szCs w:val="20"/>
          <w:lang w:eastAsia="cs-CZ"/>
        </w:rPr>
        <w:t>Peňažné údaje v účtovnej závierke sú uvedené v celých EUR.</w:t>
      </w:r>
    </w:p>
    <w:p w14:paraId="4535CA4E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3B9EDF10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color w:val="auto"/>
          <w:sz w:val="22"/>
          <w:szCs w:val="22"/>
        </w:rPr>
        <w:t xml:space="preserve"> (2) Zmena metód účtovania a zásad účtovania</w:t>
      </w:r>
    </w:p>
    <w:p w14:paraId="58E042A6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2E69D257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eastAsia="Times New Roman" w:hAnsi="Calibri" w:cs="Calibri"/>
          <w:bCs/>
          <w:color w:val="auto"/>
          <w:sz w:val="20"/>
          <w:szCs w:val="20"/>
          <w:lang w:eastAsia="cs-CZ"/>
        </w:rPr>
        <w:t>Účtovné metódy a všeobecné účtovné zásady spoločnosť aplikovala konzistentne s predchádzajúcim účtovným obdobím.</w:t>
      </w:r>
    </w:p>
    <w:p w14:paraId="2CB72CFF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0A4600DE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color w:val="auto"/>
          <w:sz w:val="22"/>
          <w:szCs w:val="22"/>
        </w:rPr>
        <w:t xml:space="preserve">(3) Informácia o ocenení majetku a záväzkov </w:t>
      </w:r>
    </w:p>
    <w:p w14:paraId="3A9BEA0A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0A6E4D9D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1. Dlhodobý nehmotný a dlhodobý hmotný majetok</w:t>
      </w:r>
    </w:p>
    <w:p w14:paraId="44A43A8E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Dlhodobý majetok nakupovaný sa oceňuje obstarávacou cenou, ktorá zahrňuje cenu, za ktorú sa majetok obstaral a náklady súvisiace s obstaraním (clo, prepravu, montáž, poistné a pod.). </w:t>
      </w:r>
    </w:p>
    <w:p w14:paraId="6B672E1A" w14:textId="77777777" w:rsidR="00D633F7" w:rsidRPr="00B76474" w:rsidRDefault="00D633F7" w:rsidP="00D633F7">
      <w:pPr>
        <w:pStyle w:val="Vchodzie"/>
        <w:spacing w:after="120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Dlhodobý nehmotný a dlhodobý hmotný majetok sa odpisuje podľa odpisového plánu, ktorý bol zostavený na základe predpokladanej doby jeho používania zodpovedajúcej spotrebe budúcich ekonomických úžitkov z majetku. Odpisovať sa začína v mesiaci uvedenia  majetku do používania. Podrobný účtovný odpisový plán po položkách sa vedie účtovnom software Pohoda (taktiež daňové odpisy podľa zákona o dani z príjmov).</w:t>
      </w:r>
    </w:p>
    <w:p w14:paraId="70609773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Nehmotný majetok, ktorého obstarávacia cena (resp. vlastné náklady) neprevýši 2 400 EUR, sa nezaraďuje na účty dlhodobého majetku a odpisuje sa jednorazovo pri uvedení do používania. Drobný dlhodobý hmotný majetok, ktorého obstarávacia cena (resp. vlastné náklady) je 1 700 EUR a nižšia, sa odpisuje jednorazovo pri uvedení do používania - účtuje sa na účet 501. Spoločnosť uvedený majetok eviduje v podsúvahovej evidencii.</w:t>
      </w:r>
    </w:p>
    <w:p w14:paraId="449F084B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Predpokladaná doba používania, metóda odpisovania a odpisová sadzba sú uvedené v nasledujúcej tabuľke:</w:t>
      </w:r>
    </w:p>
    <w:tbl>
      <w:tblPr>
        <w:tblW w:w="9604" w:type="dxa"/>
        <w:tblInd w:w="108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15"/>
        <w:gridCol w:w="1012"/>
        <w:gridCol w:w="2105"/>
        <w:gridCol w:w="2272"/>
      </w:tblGrid>
      <w:tr w:rsidR="00D633F7" w:rsidRPr="00B76474" w14:paraId="68DB3E0D" w14:textId="77777777" w:rsidTr="0015223F">
        <w:tc>
          <w:tcPr>
            <w:tcW w:w="4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40E0648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Dlhodobý hmotný a nehmotný</w:t>
            </w:r>
          </w:p>
          <w:p w14:paraId="4913B440" w14:textId="77777777" w:rsidR="00D633F7" w:rsidRPr="00B76474" w:rsidRDefault="00D633F7" w:rsidP="0015223F">
            <w:pPr>
              <w:pStyle w:val="Vchodzie"/>
              <w:ind w:left="324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odpisovaný majetok</w:t>
            </w:r>
          </w:p>
        </w:tc>
        <w:tc>
          <w:tcPr>
            <w:tcW w:w="10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3F6C8A7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číslo</w:t>
            </w:r>
          </w:p>
          <w:p w14:paraId="7D7C7A7E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účtu</w:t>
            </w:r>
          </w:p>
        </w:tc>
        <w:tc>
          <w:tcPr>
            <w:tcW w:w="2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742D15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doba odpisovania</w:t>
            </w:r>
          </w:p>
          <w:p w14:paraId="22F25B78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(počet rokov)</w:t>
            </w:r>
          </w:p>
        </w:tc>
        <w:tc>
          <w:tcPr>
            <w:tcW w:w="2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6ABC018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 xml:space="preserve">odpisová skupina </w:t>
            </w:r>
          </w:p>
          <w:p w14:paraId="45F526B8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b/>
                <w:color w:val="auto"/>
                <w:sz w:val="20"/>
                <w:szCs w:val="20"/>
              </w:rPr>
              <w:t>-sadzba v %</w:t>
            </w:r>
          </w:p>
        </w:tc>
      </w:tr>
      <w:tr w:rsidR="00D633F7" w:rsidRPr="00B76474" w14:paraId="7B558FCE" w14:textId="77777777" w:rsidTr="0015223F">
        <w:tc>
          <w:tcPr>
            <w:tcW w:w="4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DE8776D" w14:textId="77777777" w:rsidR="00D633F7" w:rsidRPr="00B76474" w:rsidRDefault="00D633F7" w:rsidP="0015223F">
            <w:pPr>
              <w:pStyle w:val="Vchodzie"/>
              <w:jc w:val="both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Aktivovane náklady na vývoj</w:t>
            </w:r>
          </w:p>
        </w:tc>
        <w:tc>
          <w:tcPr>
            <w:tcW w:w="10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A3A705C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019</w:t>
            </w:r>
          </w:p>
        </w:tc>
        <w:tc>
          <w:tcPr>
            <w:tcW w:w="2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EF53224" w14:textId="77777777" w:rsidR="00D633F7" w:rsidRPr="00B76474" w:rsidRDefault="00D633F7" w:rsidP="0015223F">
            <w:pPr>
              <w:pStyle w:val="Vchodzie"/>
              <w:jc w:val="center"/>
              <w:rPr>
                <w:rFonts w:ascii="Calibri" w:hAnsi="Calibri" w:cs="Calibri"/>
                <w:color w:val="auto"/>
                <w:sz w:val="20"/>
                <w:szCs w:val="20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0</w:t>
            </w:r>
          </w:p>
        </w:tc>
        <w:tc>
          <w:tcPr>
            <w:tcW w:w="2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F917C2D" w14:textId="77777777" w:rsidR="00D633F7" w:rsidRPr="003512FF" w:rsidRDefault="00D633F7" w:rsidP="0015223F">
            <w:pPr>
              <w:pStyle w:val="Vchodzie"/>
              <w:jc w:val="center"/>
              <w:rPr>
                <w:color w:val="auto"/>
                <w:sz w:val="18"/>
                <w:szCs w:val="18"/>
              </w:rPr>
            </w:pPr>
            <w:r w:rsidRPr="003512FF">
              <w:rPr>
                <w:color w:val="auto"/>
                <w:sz w:val="18"/>
                <w:szCs w:val="18"/>
              </w:rPr>
              <w:t>0</w:t>
            </w:r>
          </w:p>
        </w:tc>
      </w:tr>
      <w:tr w:rsidR="00D633F7" w:rsidRPr="00B76474" w14:paraId="52C9BF4C" w14:textId="77777777" w:rsidTr="0015223F">
        <w:tc>
          <w:tcPr>
            <w:tcW w:w="4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C7ABA4A" w14:textId="77777777" w:rsidR="00D633F7" w:rsidRPr="00B76474" w:rsidRDefault="00D633F7" w:rsidP="0015223F">
            <w:pPr>
              <w:pStyle w:val="Vchodzie"/>
              <w:jc w:val="both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Stavby</w:t>
            </w:r>
          </w:p>
        </w:tc>
        <w:tc>
          <w:tcPr>
            <w:tcW w:w="10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B496474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021</w:t>
            </w:r>
          </w:p>
        </w:tc>
        <w:tc>
          <w:tcPr>
            <w:tcW w:w="2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9F7921" w14:textId="77777777" w:rsidR="00D633F7" w:rsidRPr="003512FF" w:rsidRDefault="00D633F7" w:rsidP="0015223F">
            <w:pPr>
              <w:pStyle w:val="Vchodzie"/>
              <w:jc w:val="center"/>
              <w:rPr>
                <w:color w:val="auto"/>
                <w:sz w:val="16"/>
                <w:szCs w:val="16"/>
              </w:rPr>
            </w:pPr>
            <w:r w:rsidRPr="003512FF">
              <w:rPr>
                <w:color w:val="auto"/>
                <w:sz w:val="16"/>
                <w:szCs w:val="16"/>
              </w:rPr>
              <w:t>0</w:t>
            </w:r>
          </w:p>
        </w:tc>
        <w:tc>
          <w:tcPr>
            <w:tcW w:w="2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5F6A94D" w14:textId="77777777" w:rsidR="00D633F7" w:rsidRPr="003512FF" w:rsidRDefault="00D633F7" w:rsidP="0015223F">
            <w:pPr>
              <w:pStyle w:val="Vchodzie"/>
              <w:jc w:val="center"/>
              <w:rPr>
                <w:color w:val="auto"/>
                <w:sz w:val="18"/>
                <w:szCs w:val="18"/>
              </w:rPr>
            </w:pPr>
            <w:r w:rsidRPr="003512FF">
              <w:rPr>
                <w:color w:val="auto"/>
                <w:sz w:val="18"/>
                <w:szCs w:val="18"/>
              </w:rPr>
              <w:t>0</w:t>
            </w:r>
          </w:p>
        </w:tc>
      </w:tr>
      <w:tr w:rsidR="00D633F7" w:rsidRPr="00B76474" w14:paraId="144B4C53" w14:textId="77777777" w:rsidTr="0015223F">
        <w:tc>
          <w:tcPr>
            <w:tcW w:w="4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0BC95A9" w14:textId="77777777" w:rsidR="00D633F7" w:rsidRPr="00B76474" w:rsidRDefault="00D633F7" w:rsidP="0015223F">
            <w:pPr>
              <w:pStyle w:val="Vchodzie"/>
              <w:jc w:val="both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Dopravné prostriedky</w:t>
            </w:r>
          </w:p>
        </w:tc>
        <w:tc>
          <w:tcPr>
            <w:tcW w:w="10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C64012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022</w:t>
            </w:r>
          </w:p>
        </w:tc>
        <w:tc>
          <w:tcPr>
            <w:tcW w:w="2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994DDE9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4</w:t>
            </w:r>
          </w:p>
        </w:tc>
        <w:tc>
          <w:tcPr>
            <w:tcW w:w="2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F1218BA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25 %</w:t>
            </w:r>
          </w:p>
        </w:tc>
      </w:tr>
      <w:tr w:rsidR="00D633F7" w:rsidRPr="00B76474" w14:paraId="4F1FB086" w14:textId="77777777" w:rsidTr="0015223F">
        <w:tc>
          <w:tcPr>
            <w:tcW w:w="421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7BBBAD6" w14:textId="77777777" w:rsidR="00D633F7" w:rsidRPr="00B76474" w:rsidRDefault="00D633F7" w:rsidP="0015223F">
            <w:pPr>
              <w:pStyle w:val="Vchodzie"/>
              <w:jc w:val="both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Ostatné stroje</w:t>
            </w:r>
          </w:p>
        </w:tc>
        <w:tc>
          <w:tcPr>
            <w:tcW w:w="101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67FB5D6F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 w:rsidRPr="00B76474">
              <w:rPr>
                <w:rFonts w:ascii="Calibri" w:hAnsi="Calibri" w:cs="Calibri"/>
                <w:color w:val="auto"/>
                <w:sz w:val="20"/>
                <w:szCs w:val="20"/>
              </w:rPr>
              <w:t>022</w:t>
            </w:r>
          </w:p>
        </w:tc>
        <w:tc>
          <w:tcPr>
            <w:tcW w:w="21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313C6648" w14:textId="77777777" w:rsidR="00D633F7" w:rsidRPr="003512FF" w:rsidRDefault="00D633F7" w:rsidP="0015223F">
            <w:pPr>
              <w:pStyle w:val="Vchodzie"/>
              <w:ind w:left="360"/>
              <w:jc w:val="center"/>
              <w:rPr>
                <w:color w:val="auto"/>
                <w:sz w:val="16"/>
                <w:szCs w:val="16"/>
              </w:rPr>
            </w:pPr>
            <w:r w:rsidRPr="003512FF">
              <w:rPr>
                <w:color w:val="auto"/>
                <w:sz w:val="16"/>
                <w:szCs w:val="16"/>
              </w:rPr>
              <w:t>6</w:t>
            </w:r>
          </w:p>
        </w:tc>
        <w:tc>
          <w:tcPr>
            <w:tcW w:w="227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52CB4C4" w14:textId="77777777" w:rsidR="00D633F7" w:rsidRPr="00B76474" w:rsidRDefault="00D633F7" w:rsidP="0015223F">
            <w:pPr>
              <w:pStyle w:val="Vchodzie"/>
              <w:jc w:val="center"/>
              <w:rPr>
                <w:color w:val="auto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2/16,6</w:t>
            </w:r>
          </w:p>
        </w:tc>
      </w:tr>
    </w:tbl>
    <w:p w14:paraId="0DC3DF1F" w14:textId="77777777" w:rsidR="00D633F7" w:rsidRPr="00B76474" w:rsidRDefault="00D633F7" w:rsidP="00D633F7">
      <w:pPr>
        <w:pStyle w:val="Telotextu"/>
        <w:rPr>
          <w:color w:val="auto"/>
        </w:rPr>
      </w:pPr>
    </w:p>
    <w:p w14:paraId="2E5364F4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 prípade prechodného zníženia úžitkovej hodnoty dlhodobého majetku, ktorá bola zistená pri inventarizácii a je výrazne nižšia ako jeho ocenenie v účtovníctve po odpočítaní oprávok, je vytvorená opravná položka na úroveň jeho zistenej úžitkovej hodnoty.</w:t>
      </w:r>
    </w:p>
    <w:p w14:paraId="5054C36D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2. Zásoby</w:t>
      </w:r>
    </w:p>
    <w:p w14:paraId="5ED9FDD2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Zásoby nakupované sa oceňujú obstarávacou cenou. Obstarávacia cena zásob sa rozdeľuje na cenu, za ktoré sa zásoby  obstarali, a náklady súvisiace s obstaraním (VON.) vo výške prepravného Pri vyskladnení sa VON rozpúšťajú nasledovne : VON/(PS zásob + príjem zásob) x výdaj zásob. Ostatné náklady súvisiace s obstaraním ako clo, poistné, provízie a pod. znížené o zľavy z ceny , sú súčasťou obstarávacej ceny nakupovaných zásob. Zľava z ceny poskytnutá k už predaným alebo spotrebovaným zásobám sa účtuje ako zníženie nákladov na predané alebo spotrebované zásoby. Spoločnosť účtuje o zásobách spôsobom A tak, ako to definujú postupy účtovania. Úbytok zásob sa účtuje v cene zistenej metódou FIFO. </w:t>
      </w:r>
    </w:p>
    <w:p w14:paraId="6BEB373B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V prípade prechodného zníženia úžitkovej hodnoty zásob sa tvorí opravná položka. </w:t>
      </w:r>
    </w:p>
    <w:p w14:paraId="39B2B963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Zásoby vytvorené vlastnou činnosťou oceňuje účtovná jednotka na úrovni vlastných nákladov vo svojej skutočnej výške, alebo vo výške vlastných nákladov podľa operatívnych (plánových) kalkulácií. </w:t>
      </w:r>
    </w:p>
    <w:p w14:paraId="187ED49F" w14:textId="77777777" w:rsidR="00D633F7" w:rsidRPr="00B76474" w:rsidRDefault="00D633F7" w:rsidP="00D633F7">
      <w:pPr>
        <w:pStyle w:val="Vchodzie"/>
        <w:spacing w:after="120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Vlastné náklady zahŕňajú:</w:t>
      </w:r>
    </w:p>
    <w:p w14:paraId="54AFA071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lastRenderedPageBreak/>
        <w:t xml:space="preserve">▪ priame náklady (priamy materiál, priame mzdy a ostatné priame náklady)  a </w:t>
      </w:r>
    </w:p>
    <w:p w14:paraId="70AAF03B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▪ časť nepriamych nákladov, ktorá sa vzťahuje na výrobu (výrobná réžia). </w:t>
      </w:r>
    </w:p>
    <w:p w14:paraId="68CEF7D3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14:paraId="6706452C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3. Pohľadávky</w:t>
      </w:r>
    </w:p>
    <w:p w14:paraId="76989BEC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Pohľadávky sa pri ich vzniku oceňujú ich menovitou hodnotou. Opravná položka sa vytvára k pochybným a nedobytným pohľadávkam, kde existuje riziko nevymožiteľnosti pohľadávok. Spoločnosť tvorí opravné položky k pohľadávkam u týchto pohľadávok:</w:t>
      </w:r>
    </w:p>
    <w:p w14:paraId="57A29F00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-pohľadávok,  u ktorých sa dá predpokladať, že dlžník pohľadávku nevyrovná čiastočne alebo úplne,</w:t>
      </w:r>
    </w:p>
    <w:p w14:paraId="14BA9CFE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-pri sporných pohľadávkach, </w:t>
      </w:r>
      <w:proofErr w:type="spellStart"/>
      <w:r w:rsidRPr="00B76474">
        <w:rPr>
          <w:rFonts w:ascii="Calibri" w:hAnsi="Calibri" w:cs="Calibri"/>
          <w:color w:val="auto"/>
          <w:sz w:val="20"/>
          <w:szCs w:val="20"/>
        </w:rPr>
        <w:t>t.j</w:t>
      </w:r>
      <w:proofErr w:type="spellEnd"/>
      <w:r w:rsidRPr="00B76474">
        <w:rPr>
          <w:rFonts w:ascii="Calibri" w:hAnsi="Calibri" w:cs="Calibri"/>
          <w:color w:val="auto"/>
          <w:sz w:val="20"/>
          <w:szCs w:val="20"/>
        </w:rPr>
        <w:t xml:space="preserve">. k pohľadávkam voči dlžníkom, s ktorými vedie spor o uznanie </w:t>
      </w:r>
    </w:p>
    <w:p w14:paraId="56257585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Spoločnosť tvorí opravné položky nasledovne:</w:t>
      </w:r>
    </w:p>
    <w:p w14:paraId="761A4076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bookmarkStart w:id="0" w:name="__DdeLink__613_1483637937"/>
      <w:bookmarkEnd w:id="0"/>
      <w:r w:rsidRPr="00B76474">
        <w:rPr>
          <w:rFonts w:ascii="Calibri" w:hAnsi="Calibri" w:cs="Calibri"/>
          <w:color w:val="auto"/>
          <w:sz w:val="20"/>
          <w:szCs w:val="20"/>
        </w:rPr>
        <w:t>1080 dní, sa zahrnie do výdavkov do výšky 100% menovitej hodnoty pohľadávky alebo jej nesplatenej časti bez príslušenstva v zdaňovacom období v ktorom uplynula táto doba</w:t>
      </w:r>
    </w:p>
    <w:p w14:paraId="6827E434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4. Finančné účty</w:t>
      </w:r>
    </w:p>
    <w:p w14:paraId="5D6A8A1D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Finančné účty tvorí peňažná hotovosť, zostatky na bankových účtoch a ceniny. </w:t>
      </w:r>
    </w:p>
    <w:p w14:paraId="5B41519A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5. Náklady budúcich období a príjmy budúcich období</w:t>
      </w:r>
    </w:p>
    <w:p w14:paraId="73E45D54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Náklady budúcich období a príjmy budúcich období sú vykázané vo výške, ktorá je potrebná na dodržanie zásady vecnej a časovej súvislosti s účtovným obdobím.</w:t>
      </w:r>
    </w:p>
    <w:p w14:paraId="1ADD5E4C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6. Opravné položky</w:t>
      </w:r>
    </w:p>
    <w:p w14:paraId="397749F9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305DB06C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 xml:space="preserve"> 7. Rezervy</w:t>
      </w:r>
    </w:p>
    <w:p w14:paraId="1545E658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35A27FE8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</w:t>
      </w:r>
    </w:p>
    <w:p w14:paraId="3611BB20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Rezerva na bonusy, rabaty, skontá a vrátenie kúpnej ceny pri reklamácii sa tvorí ako zníženie pôvodne dosiahnutých výnosov so súvzťažným zápisom v prospech účtu rezerv.</w:t>
      </w:r>
    </w:p>
    <w:p w14:paraId="61449E47" w14:textId="77777777" w:rsidR="00D633F7" w:rsidRPr="00B76474" w:rsidRDefault="00D633F7" w:rsidP="00D633F7">
      <w:pPr>
        <w:pStyle w:val="Vchodzie"/>
        <w:spacing w:after="120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Spoločnosť tvorila zákonné rezervy na zostatkové dovolenky a odvody z týchto súm  a z ostatných rezerv vytvorila rezervu na  overenie účtovnej závierky a výročnej správy. Spoločnosť predpokladá, že rezervy použije v roku 201</w:t>
      </w:r>
      <w:r>
        <w:rPr>
          <w:rFonts w:ascii="Calibri" w:hAnsi="Calibri" w:cs="Calibri"/>
          <w:color w:val="auto"/>
          <w:sz w:val="20"/>
          <w:szCs w:val="20"/>
        </w:rPr>
        <w:t>9</w:t>
      </w:r>
      <w:r w:rsidRPr="00B76474">
        <w:rPr>
          <w:rFonts w:ascii="Calibri" w:hAnsi="Calibri" w:cs="Calibri"/>
          <w:color w:val="auto"/>
          <w:sz w:val="20"/>
          <w:szCs w:val="20"/>
        </w:rPr>
        <w:t>.</w:t>
      </w:r>
    </w:p>
    <w:p w14:paraId="2078F9F6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</w:p>
    <w:p w14:paraId="5C1A28FC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8.  Záväzky</w:t>
      </w:r>
    </w:p>
    <w:p w14:paraId="72A3247C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Záväzky pri ich vzniku sa oceňujú menovitou hodnotou. Záväzky pri ich prevzatí sa oceňujú obstarávacou cenou. </w:t>
      </w:r>
    </w:p>
    <w:p w14:paraId="77BB9A2F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9. Zamestnanecké požitky</w:t>
      </w:r>
    </w:p>
    <w:p w14:paraId="73170810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Platy, mzdy, príspevky do štátnych dôchodkových a poistných fondov, platená ročná dovolenka a  bonusy a ostatné nepeňažné požitky (napr. zdravotná starostlivosť, poistenie zodpovednosti za škodu) sa účtujú v účtovnom období, s ktorým vecne a časovo súvisia.</w:t>
      </w:r>
    </w:p>
    <w:p w14:paraId="559D4BEA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Zamestnanec má na základe Zákonníka práce pri odchode do starobného dôchodku nárok na odmenu vo výške jednej priemernej mesačnej mzdy.    </w:t>
      </w:r>
    </w:p>
    <w:p w14:paraId="0E7644D3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lastRenderedPageBreak/>
        <w:t>10. Splatná daň z príjmu</w:t>
      </w:r>
    </w:p>
    <w:p w14:paraId="6A3B0CF2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výsledný daňový záväzok.</w:t>
      </w:r>
    </w:p>
    <w:p w14:paraId="766C85E3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11. Odložená daň z príjmu</w:t>
      </w:r>
    </w:p>
    <w:p w14:paraId="3C595DD6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Odložená daň z príjmu vyplýva z:</w:t>
      </w:r>
    </w:p>
    <w:p w14:paraId="4B71A4B2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a) rozdielov medzi účtovnou hodnotou majetku a účtovnou hodnotou záväzkov vykázanou v súvahe </w:t>
      </w:r>
      <w:r w:rsidRPr="00B76474">
        <w:rPr>
          <w:rFonts w:ascii="Calibri" w:hAnsi="Calibri" w:cs="Calibri"/>
          <w:color w:val="auto"/>
          <w:sz w:val="20"/>
          <w:szCs w:val="20"/>
        </w:rPr>
        <w:tab/>
        <w:t>a ich daňovou základňou,</w:t>
      </w:r>
    </w:p>
    <w:p w14:paraId="61C82537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b) možnosti umorovať daňovú stratu v budúcnosti, pod ktorou sa rozumie možnosť odpočítať daňovú </w:t>
      </w:r>
      <w:r w:rsidRPr="00B76474">
        <w:rPr>
          <w:rFonts w:ascii="Calibri" w:hAnsi="Calibri" w:cs="Calibri"/>
          <w:color w:val="auto"/>
          <w:sz w:val="20"/>
          <w:szCs w:val="20"/>
        </w:rPr>
        <w:tab/>
        <w:t>stratu od základu dane v budúcnosti,</w:t>
      </w:r>
    </w:p>
    <w:p w14:paraId="5648A60A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c) možnosti previesť nevyužité daňové odpočty a iné daňové nároky do budúcich období.</w:t>
      </w:r>
    </w:p>
    <w:p w14:paraId="3C16BF86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Odložená daňová pohľadávka sa účtuje iba do takej výšky, do akej je pravdepodobné, že bude možné dočasné rozdiely vyrovnať voči budúcemu základu dane.</w:t>
      </w:r>
    </w:p>
    <w:p w14:paraId="4FBE551D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Pri výpočte odloženej dane sa použije sadzba dane z príjmov, o ktorej sa predpokladá, že bude platiť v čase vyrovnania odloženej dane. </w:t>
      </w:r>
    </w:p>
    <w:p w14:paraId="53D426C8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12. Výdavky budúcich období a výnosy budúcich období</w:t>
      </w:r>
    </w:p>
    <w:p w14:paraId="0CE09A0E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Výdavky budúcich období a výnosy budúcich období sú vykázané vo výške, ktorá je potrebná na dodržanie zásady vecnej a časovej súvislosti s účtovným obdobím.</w:t>
      </w:r>
    </w:p>
    <w:p w14:paraId="1F82C4EF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13. Leasing (Spoločnosť je nájomca)</w:t>
      </w:r>
    </w:p>
    <w:p w14:paraId="76C9C0FD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Finančný leasing. Finančný leasing je obstaranie dlhodobého hmotného majetku na základe nájomnej zmluvy s dojednaným právom kúpy prenajatej veci za dohodnuté platby počas dohodnutej doby nájmu tohto majetku. Súčasťou dohodnutých platieb je aj kúpna cena, za ktorú na konci dohodnutej doby prechádza vlastnícke právo k prenajatému majetku z prenajímateľa na nájomcu. Dohodnutá doba nájmu je najmenej 60% doby odpisovania podľa daňových predpisov, nie však menej ako 3 roky. Finančné náklady sa vykazujú ako úroky. </w:t>
      </w:r>
    </w:p>
    <w:p w14:paraId="34FDA4A5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Finančný leasing (zmluvy uzatvorené po 1. januári 2004) sa aktivuje v účtovníctve nájomcu v deň prijatia majetku na príslušný účet majetku so súvzťažným zápisom v prospech záväzkov z nájmu v ocenení, ktoré sa rovná celkovej výške dohodnutých platieb znížených o nerealizované finančné náklady. Majetok obstaraný formou finančného prenájmu sa odpisuje v účtovníctve nájomcu.</w:t>
      </w:r>
    </w:p>
    <w:p w14:paraId="01A215CD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14. Cudzia mena</w:t>
      </w:r>
    </w:p>
    <w:p w14:paraId="422B145E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Majetok a záväzky vyjadrené v cudzej mene (okrem preddavkov prijatých a poskytnutých) sa prepočítavajú na eurá referenčným výmenným kurzom určeným a vyhláseným Európskou centrálnou bankou alebo Národnou bankou Slovenska v deň predchádzajúci dňu uskutočnenia účtovného prípadu alebo v deň, ku ktorému sa zostavuje účtovná závierka. Vzniknuté kurzové rozdiely sa účtujú s vplyvom na výsledok hospodárenia. </w:t>
      </w:r>
    </w:p>
    <w:p w14:paraId="09B92B27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t>15. Vykazovanie výnosov</w:t>
      </w:r>
    </w:p>
    <w:p w14:paraId="1FB91D4F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Výnosy z predaja výrobkov sa vykazujú v momente prenosu rizika a vlastníctva výrobku, obvykle po dodávke. Ak sa spoločnosť zaviaže dopraviť výrobky na určité miesto, výnosy sa vykazujú v momente doručenia výrobku do cieľového miesta.</w:t>
      </w:r>
    </w:p>
    <w:p w14:paraId="1BA624A3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Výnosy z predaja služieb sa vykazujú v účtovnom období, v ktorom boli služby poskytnuté s ohľadom na stav rozpracovanosti danej služby. Tento je zistený na základe skutočne poskytnutých služieb ako pomernej časti k celkovému rozsahu dohodnutých služieb</w:t>
      </w:r>
    </w:p>
    <w:p w14:paraId="4FD838E3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Výnosy sa vykazujú po odpočítaní dane z pridanej hodnoty, zliav a zrážok (rabaty, bonusy, skontá, dobropisy a pod.). Výnosové úroky sa účtujú rovnomerne v účtovných obdobiach, ktorých sa vecne a časovo týkajú.</w:t>
      </w:r>
    </w:p>
    <w:p w14:paraId="350B34BB" w14:textId="77777777" w:rsidR="00D633F7" w:rsidRPr="00B76474" w:rsidRDefault="00D633F7" w:rsidP="00D633F7">
      <w:pPr>
        <w:pStyle w:val="Vchodzie"/>
        <w:spacing w:after="120"/>
        <w:jc w:val="both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Výnosy spoločnosti tvoria z veľkej časti tržby za </w:t>
      </w:r>
      <w:r>
        <w:rPr>
          <w:rFonts w:ascii="Calibri" w:hAnsi="Calibri" w:cs="Calibri"/>
          <w:color w:val="auto"/>
          <w:sz w:val="20"/>
          <w:szCs w:val="20"/>
        </w:rPr>
        <w:t>predaj tovaru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 a tržby z poskytovaných služieb hlavne tržby z</w:t>
      </w:r>
      <w:r>
        <w:rPr>
          <w:rFonts w:ascii="Calibri" w:hAnsi="Calibri" w:cs="Calibri"/>
          <w:color w:val="auto"/>
          <w:sz w:val="20"/>
          <w:szCs w:val="20"/>
        </w:rPr>
        <w:t> textilnej výroby s montážou</w:t>
      </w:r>
      <w:r w:rsidRPr="00B76474">
        <w:rPr>
          <w:rFonts w:ascii="Calibri" w:hAnsi="Calibri" w:cs="Calibri"/>
          <w:color w:val="auto"/>
          <w:sz w:val="20"/>
          <w:szCs w:val="20"/>
        </w:rPr>
        <w:t>.</w:t>
      </w:r>
    </w:p>
    <w:p w14:paraId="09F2C2BA" w14:textId="77777777" w:rsidR="00D633F7" w:rsidRPr="00B76474" w:rsidRDefault="00D633F7" w:rsidP="00D633F7">
      <w:pPr>
        <w:pStyle w:val="Vchodzie"/>
        <w:spacing w:after="120"/>
        <w:jc w:val="both"/>
        <w:rPr>
          <w:rFonts w:ascii="Calibri" w:hAnsi="Calibri" w:cs="Calibri"/>
          <w:color w:val="auto"/>
          <w:sz w:val="22"/>
          <w:szCs w:val="22"/>
        </w:rPr>
      </w:pPr>
      <w:r w:rsidRPr="00B76474">
        <w:rPr>
          <w:rFonts w:ascii="Calibri" w:hAnsi="Calibri" w:cs="Calibri"/>
          <w:b/>
          <w:color w:val="auto"/>
          <w:sz w:val="22"/>
          <w:szCs w:val="22"/>
        </w:rPr>
        <w:lastRenderedPageBreak/>
        <w:t>1</w:t>
      </w:r>
      <w:r>
        <w:rPr>
          <w:rFonts w:ascii="Calibri" w:hAnsi="Calibri" w:cs="Calibri"/>
          <w:b/>
          <w:color w:val="auto"/>
          <w:sz w:val="22"/>
          <w:szCs w:val="22"/>
        </w:rPr>
        <w:t>6</w:t>
      </w:r>
      <w:r w:rsidRPr="00B76474">
        <w:rPr>
          <w:rFonts w:ascii="Calibri" w:hAnsi="Calibri" w:cs="Calibri"/>
          <w:b/>
          <w:color w:val="auto"/>
          <w:sz w:val="22"/>
          <w:szCs w:val="22"/>
        </w:rPr>
        <w:t>. Oprava chýb minulých období.</w:t>
      </w:r>
    </w:p>
    <w:p w14:paraId="4125166A" w14:textId="77777777" w:rsidR="00D633F7" w:rsidRPr="00B76474" w:rsidRDefault="00D633F7" w:rsidP="00D633F7">
      <w:pPr>
        <w:pStyle w:val="Vchodzie"/>
        <w:spacing w:after="120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 roku 201</w:t>
      </w:r>
      <w:r>
        <w:rPr>
          <w:rFonts w:ascii="Calibri" w:hAnsi="Calibri" w:cs="Calibri"/>
          <w:color w:val="auto"/>
          <w:sz w:val="20"/>
          <w:szCs w:val="20"/>
        </w:rPr>
        <w:t>8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 spoločnosť neúčtovala o oprave významných chýb na účte nerozdelené zisky minulých období.</w:t>
      </w:r>
    </w:p>
    <w:p w14:paraId="46D9A6DE" w14:textId="77777777" w:rsidR="00D633F7" w:rsidRPr="00B76474" w:rsidRDefault="00D633F7" w:rsidP="00D633F7">
      <w:pPr>
        <w:pStyle w:val="Vchodzie"/>
        <w:spacing w:after="120"/>
        <w:jc w:val="both"/>
        <w:rPr>
          <w:rFonts w:asciiTheme="minorHAnsi" w:hAnsiTheme="minorHAnsi" w:cstheme="minorHAnsi"/>
          <w:b/>
          <w:color w:val="auto"/>
          <w:sz w:val="22"/>
          <w:szCs w:val="22"/>
        </w:rPr>
      </w:pPr>
      <w:r w:rsidRPr="00B76474">
        <w:rPr>
          <w:rFonts w:asciiTheme="minorHAnsi" w:hAnsiTheme="minorHAnsi" w:cstheme="minorHAnsi"/>
          <w:b/>
          <w:color w:val="auto"/>
          <w:sz w:val="22"/>
          <w:szCs w:val="22"/>
        </w:rPr>
        <w:t>1</w:t>
      </w:r>
      <w:r>
        <w:rPr>
          <w:rFonts w:asciiTheme="minorHAnsi" w:hAnsiTheme="minorHAnsi" w:cstheme="minorHAnsi"/>
          <w:b/>
          <w:color w:val="auto"/>
          <w:sz w:val="22"/>
          <w:szCs w:val="22"/>
        </w:rPr>
        <w:t>7</w:t>
      </w:r>
      <w:r w:rsidRPr="00B76474">
        <w:rPr>
          <w:rFonts w:asciiTheme="minorHAnsi" w:hAnsiTheme="minorHAnsi" w:cstheme="minorHAnsi"/>
          <w:b/>
          <w:color w:val="auto"/>
          <w:sz w:val="22"/>
          <w:szCs w:val="22"/>
        </w:rPr>
        <w:t>.  Porovnateľné údaje</w:t>
      </w:r>
    </w:p>
    <w:p w14:paraId="26E35BA1" w14:textId="77777777" w:rsidR="00D633F7" w:rsidRPr="00B76474" w:rsidRDefault="00D633F7" w:rsidP="00D633F7">
      <w:pPr>
        <w:pStyle w:val="Vchodzie"/>
        <w:spacing w:after="120"/>
        <w:jc w:val="both"/>
        <w:rPr>
          <w:rFonts w:asciiTheme="minorHAnsi" w:hAnsiTheme="minorHAnsi" w:cstheme="minorHAnsi"/>
          <w:color w:val="auto"/>
          <w:sz w:val="22"/>
          <w:szCs w:val="22"/>
        </w:rPr>
      </w:pPr>
      <w:r w:rsidRPr="00B76474">
        <w:rPr>
          <w:rFonts w:asciiTheme="minorHAnsi" w:hAnsiTheme="minorHAnsi" w:cstheme="minorHAnsi"/>
          <w:color w:val="auto"/>
          <w:sz w:val="22"/>
          <w:szCs w:val="22"/>
        </w:rPr>
        <w:t>Niektoré údaje za predošlé účtovné obdobie boli pozmenené pre ich lepšiu porovnateľnosť s údajmi uvedenými v bežnom účtovnom období. Zmena v prezentácii porovnateľných údajov nemala dopad na celkovú výšku aktív, vlastného imania a výsledku hospodárenia v predchádzajúcom období.</w:t>
      </w:r>
    </w:p>
    <w:p w14:paraId="7B3F062D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3BDCF29F" w14:textId="77777777"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>Informácie, ktoré vysvetľujú a dopĺňajú súvahu a výkaz ziskov a strát</w:t>
      </w:r>
    </w:p>
    <w:p w14:paraId="2654846C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1368E1BA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(1) Účtovná jednotka neúčtovala o </w:t>
      </w:r>
      <w:proofErr w:type="spellStart"/>
      <w:r w:rsidRPr="00B76474">
        <w:rPr>
          <w:rFonts w:ascii="Calibri" w:hAnsi="Calibri"/>
          <w:b/>
          <w:color w:val="auto"/>
          <w:sz w:val="22"/>
          <w:szCs w:val="22"/>
        </w:rPr>
        <w:t>goodwille</w:t>
      </w:r>
      <w:proofErr w:type="spellEnd"/>
      <w:r w:rsidRPr="00B76474">
        <w:rPr>
          <w:rFonts w:ascii="Calibri" w:hAnsi="Calibri"/>
          <w:b/>
          <w:color w:val="auto"/>
          <w:sz w:val="22"/>
          <w:szCs w:val="22"/>
        </w:rPr>
        <w:t xml:space="preserve"> v bežnom účtovnom období ani v minulých účtovných obdobiach.</w:t>
      </w:r>
    </w:p>
    <w:p w14:paraId="39A862C7" w14:textId="77777777" w:rsidR="00D633F7" w:rsidRDefault="00D633F7" w:rsidP="00D633F7">
      <w:pPr>
        <w:pStyle w:val="Vchodzie"/>
        <w:rPr>
          <w:color w:val="auto"/>
        </w:rPr>
      </w:pPr>
    </w:p>
    <w:p w14:paraId="0BE24DB4" w14:textId="77777777" w:rsidR="00D633F7" w:rsidRPr="00B76474" w:rsidRDefault="00D633F7" w:rsidP="00D633F7">
      <w:pPr>
        <w:pStyle w:val="Vchodzie"/>
        <w:rPr>
          <w:color w:val="auto"/>
        </w:rPr>
      </w:pPr>
    </w:p>
    <w:p w14:paraId="03CBAAF7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(2) Informácie o významných položkách majetku a záväzkoch zabezpečených derivátmi</w:t>
      </w:r>
    </w:p>
    <w:p w14:paraId="376A7E87" w14:textId="77777777" w:rsidR="00D633F7" w:rsidRPr="00B76474" w:rsidRDefault="00D633F7" w:rsidP="00D633F7">
      <w:pPr>
        <w:pStyle w:val="Vchodzie"/>
        <w:ind w:left="-142" w:right="-468" w:firstLine="142"/>
        <w:rPr>
          <w:color w:val="auto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 účtovnom období 201</w:t>
      </w:r>
      <w:r>
        <w:rPr>
          <w:rFonts w:ascii="Calibri" w:hAnsi="Calibri" w:cs="Calibri"/>
          <w:color w:val="auto"/>
          <w:sz w:val="20"/>
          <w:szCs w:val="20"/>
        </w:rPr>
        <w:t>8</w:t>
      </w:r>
      <w:r w:rsidRPr="00B76474">
        <w:rPr>
          <w:rFonts w:ascii="Calibri" w:hAnsi="Calibri" w:cs="Calibri"/>
          <w:color w:val="auto"/>
          <w:sz w:val="20"/>
          <w:szCs w:val="20"/>
        </w:rPr>
        <w:t xml:space="preserve"> účtovná jednotka nevykonala žiadne derivátové operácie. </w:t>
      </w:r>
    </w:p>
    <w:p w14:paraId="0B84CEBF" w14:textId="77777777" w:rsidR="00D633F7" w:rsidRDefault="00D633F7" w:rsidP="00D633F7">
      <w:pPr>
        <w:pStyle w:val="Vchodzie"/>
        <w:rPr>
          <w:color w:val="auto"/>
        </w:rPr>
      </w:pPr>
    </w:p>
    <w:p w14:paraId="00FC36BA" w14:textId="77777777" w:rsidR="00D633F7" w:rsidRDefault="00D633F7" w:rsidP="00D633F7">
      <w:pPr>
        <w:pStyle w:val="Vchodzie"/>
        <w:rPr>
          <w:color w:val="auto"/>
        </w:rPr>
      </w:pPr>
    </w:p>
    <w:p w14:paraId="66CC4008" w14:textId="77777777" w:rsidR="00D633F7" w:rsidRDefault="00D633F7" w:rsidP="00D633F7">
      <w:pPr>
        <w:pStyle w:val="Vchodzie"/>
        <w:rPr>
          <w:color w:val="auto"/>
        </w:rPr>
      </w:pPr>
    </w:p>
    <w:p w14:paraId="44C1512B" w14:textId="77777777" w:rsidR="00D633F7" w:rsidRDefault="00D633F7" w:rsidP="00D633F7">
      <w:pPr>
        <w:pStyle w:val="Vchodzie"/>
        <w:rPr>
          <w:color w:val="auto"/>
        </w:rPr>
      </w:pPr>
    </w:p>
    <w:p w14:paraId="4753B0E4" w14:textId="77777777" w:rsidR="00D633F7" w:rsidRDefault="00D633F7" w:rsidP="00D633F7">
      <w:pPr>
        <w:pStyle w:val="Vchodzie"/>
        <w:rPr>
          <w:color w:val="auto"/>
        </w:rPr>
      </w:pPr>
    </w:p>
    <w:p w14:paraId="70B60599" w14:textId="77777777" w:rsidR="00D633F7" w:rsidRDefault="00D633F7" w:rsidP="00D633F7">
      <w:pPr>
        <w:pStyle w:val="Vchodzie"/>
        <w:rPr>
          <w:color w:val="auto"/>
        </w:rPr>
      </w:pPr>
    </w:p>
    <w:p w14:paraId="1201B892" w14:textId="77777777" w:rsidR="00D633F7" w:rsidRDefault="00D633F7" w:rsidP="00D633F7">
      <w:pPr>
        <w:pStyle w:val="Vchodzie"/>
        <w:rPr>
          <w:color w:val="auto"/>
        </w:rPr>
      </w:pPr>
    </w:p>
    <w:p w14:paraId="6712616C" w14:textId="77777777" w:rsidR="00D633F7" w:rsidRDefault="00D633F7" w:rsidP="00D633F7">
      <w:pPr>
        <w:pStyle w:val="Vchodzie"/>
        <w:rPr>
          <w:color w:val="auto"/>
        </w:rPr>
      </w:pPr>
    </w:p>
    <w:p w14:paraId="473068C4" w14:textId="77777777" w:rsidR="00D633F7" w:rsidRDefault="00D633F7" w:rsidP="00D633F7">
      <w:pPr>
        <w:pStyle w:val="Vchodzie"/>
        <w:rPr>
          <w:color w:val="auto"/>
        </w:rPr>
      </w:pPr>
    </w:p>
    <w:p w14:paraId="272FFCB3" w14:textId="77777777" w:rsidR="00D633F7" w:rsidRDefault="00D633F7" w:rsidP="00D633F7">
      <w:pPr>
        <w:pStyle w:val="Vchodzie"/>
        <w:rPr>
          <w:color w:val="auto"/>
        </w:rPr>
      </w:pPr>
    </w:p>
    <w:p w14:paraId="76FE1C2A" w14:textId="77777777" w:rsidR="00D633F7" w:rsidRPr="00B76474" w:rsidRDefault="00D633F7" w:rsidP="00D633F7">
      <w:pPr>
        <w:pStyle w:val="Vchodzie"/>
        <w:spacing w:after="14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 (3) Informácie o záväzkoch</w:t>
      </w:r>
    </w:p>
    <w:p w14:paraId="0D8B7FDB" w14:textId="77777777" w:rsidR="00D633F7" w:rsidRPr="00B76474" w:rsidRDefault="00D633F7" w:rsidP="00D633F7">
      <w:pPr>
        <w:pStyle w:val="Vchodzie"/>
        <w:spacing w:after="14"/>
        <w:rPr>
          <w:color w:val="auto"/>
        </w:rPr>
      </w:pPr>
    </w:p>
    <w:p w14:paraId="3BB4AD21" w14:textId="77777777" w:rsidR="00D633F7" w:rsidRPr="00B76474" w:rsidRDefault="00D633F7" w:rsidP="00D633F7">
      <w:pPr>
        <w:pStyle w:val="Vchodzie"/>
        <w:spacing w:after="14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a) Informácie o štruktúre záväzkov podľa zostatkovej doby splatnosti </w:t>
      </w:r>
    </w:p>
    <w:tbl>
      <w:tblPr>
        <w:tblW w:w="0" w:type="auto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90"/>
        <w:gridCol w:w="3001"/>
        <w:gridCol w:w="2712"/>
      </w:tblGrid>
      <w:tr w:rsidR="00D633F7" w:rsidRPr="00B76474" w14:paraId="2EC65223" w14:textId="77777777" w:rsidTr="0015223F">
        <w:trPr>
          <w:trHeight w:val="941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D62AA26" w14:textId="77777777"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/>
                <w:b w:val="0"/>
                <w:color w:val="auto"/>
                <w:sz w:val="20"/>
                <w:szCs w:val="20"/>
              </w:rPr>
              <w:t>Názov položky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D264181" w14:textId="77777777"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/>
                <w:b w:val="0"/>
                <w:color w:val="auto"/>
                <w:sz w:val="20"/>
                <w:szCs w:val="20"/>
              </w:rPr>
              <w:t>Bežné účtovné obdobie</w:t>
            </w: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FABD990" w14:textId="77777777" w:rsidR="00D633F7" w:rsidRPr="00B76474" w:rsidRDefault="00D633F7" w:rsidP="0015223F">
            <w:pPr>
              <w:pStyle w:val="TopHeader"/>
              <w:rPr>
                <w:color w:val="auto"/>
              </w:rPr>
            </w:pPr>
            <w:r w:rsidRPr="00B76474">
              <w:rPr>
                <w:rFonts w:ascii="Calibri" w:hAnsi="Calibri"/>
                <w:b w:val="0"/>
                <w:color w:val="auto"/>
                <w:sz w:val="20"/>
                <w:szCs w:val="20"/>
              </w:rPr>
              <w:t>Bezprostredne predchádzajúce účtovné obdobie</w:t>
            </w:r>
          </w:p>
        </w:tc>
      </w:tr>
      <w:tr w:rsidR="00D633F7" w:rsidRPr="00B76474" w14:paraId="668A649D" w14:textId="77777777" w:rsidTr="0015223F">
        <w:trPr>
          <w:trHeight w:val="407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949E70E" w14:textId="77777777" w:rsidR="00D633F7" w:rsidRPr="00B76474" w:rsidRDefault="00D633F7" w:rsidP="0015223F">
            <w:pPr>
              <w:pStyle w:val="Vchodzie"/>
              <w:rPr>
                <w:rFonts w:ascii="Calibri" w:hAnsi="Calibri" w:cs="Calibri"/>
                <w:color w:val="auto"/>
              </w:rPr>
            </w:pPr>
            <w:r w:rsidRPr="00B76474">
              <w:rPr>
                <w:rFonts w:ascii="Calibri" w:hAnsi="Calibri" w:cs="Calibri"/>
                <w:b/>
                <w:bCs/>
                <w:color w:val="auto"/>
                <w:sz w:val="20"/>
                <w:szCs w:val="20"/>
              </w:rPr>
              <w:t>Dlhodobé záväzky spolu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331AB7F" w14:textId="77777777" w:rsidR="00D633F7" w:rsidRPr="00B76474" w:rsidRDefault="00D633F7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8435</w:t>
            </w: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38D15CE" w14:textId="77777777" w:rsidR="00D633F7" w:rsidRPr="00B76474" w:rsidRDefault="00D633F7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10469</w:t>
            </w:r>
          </w:p>
        </w:tc>
      </w:tr>
      <w:tr w:rsidR="00D633F7" w:rsidRPr="00B76474" w14:paraId="0D36F3D0" w14:textId="77777777" w:rsidTr="0015223F">
        <w:trPr>
          <w:trHeight w:val="580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6642C0A3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9E512BF" w14:textId="77777777" w:rsidR="00D633F7" w:rsidRPr="00B76474" w:rsidRDefault="00D633F7" w:rsidP="0015223F">
            <w:pPr>
              <w:pStyle w:val="Vchodzie"/>
              <w:jc w:val="right"/>
              <w:rPr>
                <w:color w:val="auto"/>
              </w:rPr>
            </w:pP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540CE195" w14:textId="77777777" w:rsidR="00D633F7" w:rsidRPr="00B76474" w:rsidRDefault="00D633F7" w:rsidP="0015223F">
            <w:pPr>
              <w:pStyle w:val="Vchodzie"/>
              <w:jc w:val="right"/>
              <w:rPr>
                <w:color w:val="auto"/>
              </w:rPr>
            </w:pPr>
          </w:p>
        </w:tc>
      </w:tr>
      <w:tr w:rsidR="00D633F7" w:rsidRPr="00B76474" w14:paraId="2BD730B6" w14:textId="77777777" w:rsidTr="0015223F">
        <w:trPr>
          <w:trHeight w:val="580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0342E82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CE8F0B1" w14:textId="77777777" w:rsidR="00D633F7" w:rsidRPr="00186F87" w:rsidRDefault="00D633F7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8435</w:t>
            </w: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F668A5F" w14:textId="77777777" w:rsidR="00D633F7" w:rsidRPr="00B76474" w:rsidRDefault="00D633F7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10469</w:t>
            </w:r>
          </w:p>
        </w:tc>
      </w:tr>
      <w:tr w:rsidR="00D633F7" w:rsidRPr="00B76474" w14:paraId="06E29669" w14:textId="77777777" w:rsidTr="0015223F">
        <w:trPr>
          <w:trHeight w:val="407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974738E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b/>
                <w:bCs/>
                <w:color w:val="auto"/>
                <w:sz w:val="20"/>
                <w:szCs w:val="20"/>
              </w:rPr>
              <w:t>Krátkodobé záväzky spolu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03820CB2" w14:textId="77777777" w:rsidR="00D633F7" w:rsidRPr="00186F87" w:rsidRDefault="00D633F7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119249</w:t>
            </w: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2F2DB0C1" w14:textId="77777777" w:rsidR="00D633F7" w:rsidRPr="00186F87" w:rsidRDefault="00D633F7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121615</w:t>
            </w:r>
          </w:p>
        </w:tc>
      </w:tr>
      <w:tr w:rsidR="00D633F7" w:rsidRPr="00B76474" w14:paraId="289DD88E" w14:textId="77777777" w:rsidTr="0015223F">
        <w:trPr>
          <w:trHeight w:val="580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3DB0F9C2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96A697C" w14:textId="77777777" w:rsidR="00D633F7" w:rsidRPr="00B76474" w:rsidRDefault="00D633F7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119249</w:t>
            </w: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25D8401" w14:textId="77777777" w:rsidR="00D633F7" w:rsidRPr="00B76474" w:rsidRDefault="00D633F7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  <w:highlight w:val="yellow"/>
              </w:rPr>
            </w:pPr>
            <w:r>
              <w:rPr>
                <w:rFonts w:ascii="Calibri" w:hAnsi="Calibri" w:cs="Calibri"/>
                <w:color w:val="auto"/>
                <w:sz w:val="20"/>
                <w:szCs w:val="20"/>
              </w:rPr>
              <w:t>121615</w:t>
            </w:r>
          </w:p>
        </w:tc>
      </w:tr>
      <w:tr w:rsidR="00D633F7" w:rsidRPr="00B76474" w14:paraId="493329FE" w14:textId="77777777" w:rsidTr="0015223F">
        <w:trPr>
          <w:trHeight w:val="407"/>
          <w:jc w:val="center"/>
        </w:trPr>
        <w:tc>
          <w:tcPr>
            <w:tcW w:w="376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4A899049" w14:textId="77777777" w:rsidR="00D633F7" w:rsidRPr="00B76474" w:rsidRDefault="00D633F7" w:rsidP="0015223F">
            <w:pPr>
              <w:pStyle w:val="Vchodzie"/>
              <w:rPr>
                <w:color w:val="auto"/>
              </w:rPr>
            </w:pPr>
            <w:r w:rsidRPr="00B76474">
              <w:rPr>
                <w:rFonts w:ascii="Calibri" w:hAnsi="Calibri"/>
                <w:color w:val="auto"/>
                <w:sz w:val="20"/>
                <w:szCs w:val="20"/>
              </w:rPr>
              <w:t>Záväzky po lehote splatnosti</w:t>
            </w:r>
          </w:p>
        </w:tc>
        <w:tc>
          <w:tcPr>
            <w:tcW w:w="30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1A710C0D" w14:textId="77777777" w:rsidR="00D633F7" w:rsidRPr="003A29AE" w:rsidRDefault="00D633F7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  <w:tc>
          <w:tcPr>
            <w:tcW w:w="27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14:paraId="7DE805CB" w14:textId="77777777" w:rsidR="00D633F7" w:rsidRPr="00B76474" w:rsidRDefault="00D633F7" w:rsidP="0015223F">
            <w:pPr>
              <w:pStyle w:val="Vchodzie"/>
              <w:jc w:val="right"/>
              <w:rPr>
                <w:rFonts w:ascii="Calibri" w:hAnsi="Calibri" w:cs="Calibri"/>
                <w:color w:val="auto"/>
                <w:sz w:val="20"/>
                <w:szCs w:val="20"/>
              </w:rPr>
            </w:pPr>
          </w:p>
        </w:tc>
      </w:tr>
    </w:tbl>
    <w:p w14:paraId="4ADEC8D1" w14:textId="77777777" w:rsidR="00D633F7" w:rsidRPr="00B76474" w:rsidRDefault="00D633F7" w:rsidP="00D633F7">
      <w:pPr>
        <w:pStyle w:val="Vchodzie"/>
        <w:spacing w:after="14"/>
        <w:rPr>
          <w:color w:val="auto"/>
        </w:rPr>
      </w:pPr>
    </w:p>
    <w:p w14:paraId="5FCAE812" w14:textId="77777777" w:rsidR="00D633F7" w:rsidRPr="00B76474" w:rsidRDefault="00D633F7" w:rsidP="00D633F7">
      <w:pPr>
        <w:pStyle w:val="Vchodzie"/>
        <w:spacing w:after="14"/>
        <w:rPr>
          <w:rFonts w:ascii="Calibri" w:hAnsi="Calibri"/>
          <w:b/>
          <w:color w:val="auto"/>
          <w:sz w:val="22"/>
          <w:szCs w:val="22"/>
        </w:rPr>
      </w:pPr>
    </w:p>
    <w:p w14:paraId="0635D4D5" w14:textId="77777777" w:rsidR="00D633F7" w:rsidRPr="00B76474" w:rsidRDefault="00D633F7" w:rsidP="00D633F7">
      <w:pPr>
        <w:pStyle w:val="Vchodzie"/>
        <w:spacing w:after="14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b) Informácie o záväzkoch s obmedzeným právom  nakladania</w:t>
      </w:r>
    </w:p>
    <w:p w14:paraId="5A329E22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color w:val="auto"/>
          <w:sz w:val="20"/>
          <w:szCs w:val="20"/>
        </w:rPr>
        <w:t>Účtovná jednotka nemá záväzky kryté záložným právom, nemá zriadené obmedzenie v prospech veriteľov na ich pohľadávky.</w:t>
      </w:r>
    </w:p>
    <w:p w14:paraId="62E96560" w14:textId="77777777" w:rsidR="00D633F7" w:rsidRPr="00B76474" w:rsidRDefault="00D633F7" w:rsidP="00D633F7">
      <w:pPr>
        <w:pStyle w:val="Vchodzie"/>
        <w:rPr>
          <w:color w:val="auto"/>
        </w:rPr>
      </w:pPr>
    </w:p>
    <w:p w14:paraId="2EE30AB6" w14:textId="77777777" w:rsidR="00D633F7" w:rsidRPr="00B76474" w:rsidRDefault="00D633F7" w:rsidP="00D633F7">
      <w:pPr>
        <w:pStyle w:val="Vchodzie"/>
        <w:spacing w:after="14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(4) Informácie o vlastných akciách </w:t>
      </w:r>
    </w:p>
    <w:p w14:paraId="571EC51A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color w:val="auto"/>
          <w:sz w:val="20"/>
          <w:szCs w:val="20"/>
        </w:rPr>
        <w:t>Spoločnosť nevydala a nemá vlastné akcie.</w:t>
      </w:r>
    </w:p>
    <w:p w14:paraId="527C603E" w14:textId="77777777" w:rsidR="00D633F7" w:rsidRPr="00B76474" w:rsidRDefault="00D633F7" w:rsidP="00D633F7">
      <w:pPr>
        <w:pStyle w:val="Vchodzie"/>
        <w:rPr>
          <w:color w:val="auto"/>
        </w:rPr>
      </w:pPr>
    </w:p>
    <w:p w14:paraId="088516A6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(5) Informácia o sume a dôvodoch vzniku jednotlivých položiek nákladov alebo výnosov, ktoré majú výnimočný rozsah alebo výskyt </w:t>
      </w:r>
    </w:p>
    <w:p w14:paraId="74C295E6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color w:val="auto"/>
          <w:sz w:val="20"/>
          <w:szCs w:val="20"/>
        </w:rPr>
        <w:t>Účtovná jednotka neúčtovala v roku 201</w:t>
      </w:r>
      <w:r>
        <w:rPr>
          <w:rFonts w:ascii="Calibri" w:hAnsi="Calibri"/>
          <w:color w:val="auto"/>
          <w:sz w:val="20"/>
          <w:szCs w:val="20"/>
        </w:rPr>
        <w:t>8</w:t>
      </w:r>
      <w:r w:rsidRPr="00B76474">
        <w:rPr>
          <w:rFonts w:ascii="Calibri" w:hAnsi="Calibri"/>
          <w:color w:val="auto"/>
          <w:sz w:val="20"/>
          <w:szCs w:val="20"/>
        </w:rPr>
        <w:t xml:space="preserve"> o výnosoch alebo nákladoch, ktoré majú výnimočný rozsah alebo výskyt.</w:t>
      </w:r>
    </w:p>
    <w:p w14:paraId="67FD9037" w14:textId="77777777" w:rsidR="00D633F7" w:rsidRPr="00B76474" w:rsidRDefault="00D633F7" w:rsidP="00D633F7">
      <w:pPr>
        <w:pStyle w:val="Vchodzie"/>
        <w:rPr>
          <w:color w:val="auto"/>
        </w:rPr>
      </w:pPr>
    </w:p>
    <w:p w14:paraId="05926AF8" w14:textId="77777777" w:rsidR="00D633F7" w:rsidRPr="00B76474" w:rsidRDefault="00D633F7" w:rsidP="00D633F7">
      <w:pPr>
        <w:pStyle w:val="Vchodzie"/>
        <w:rPr>
          <w:color w:val="auto"/>
        </w:rPr>
      </w:pPr>
    </w:p>
    <w:p w14:paraId="5D1E6F87" w14:textId="77777777"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>Informácie o iných aktívach a iných pasívach</w:t>
      </w:r>
    </w:p>
    <w:p w14:paraId="73A97A29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47C07B38" w14:textId="77777777" w:rsidR="00D633F7" w:rsidRPr="00B76474" w:rsidRDefault="00D633F7" w:rsidP="00D633F7">
      <w:pPr>
        <w:pStyle w:val="Vchodzie"/>
        <w:spacing w:after="17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(1) Informácie o iných aktívach a iných pasívach: </w:t>
      </w:r>
    </w:p>
    <w:p w14:paraId="3E43E4CB" w14:textId="77777777" w:rsidR="00D633F7" w:rsidRPr="00B76474" w:rsidRDefault="00D633F7" w:rsidP="00D633F7">
      <w:pPr>
        <w:pStyle w:val="Vchodzie"/>
        <w:spacing w:after="17"/>
        <w:rPr>
          <w:color w:val="auto"/>
        </w:rPr>
      </w:pPr>
    </w:p>
    <w:p w14:paraId="4DAD043B" w14:textId="77777777" w:rsidR="00D633F7" w:rsidRPr="00B76474" w:rsidRDefault="00D633F7" w:rsidP="00D633F7">
      <w:pPr>
        <w:pStyle w:val="Vchodzie"/>
        <w:spacing w:after="17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>a) Informácie o podmienenom majetku</w:t>
      </w:r>
    </w:p>
    <w:p w14:paraId="01882607" w14:textId="77777777" w:rsidR="00D633F7" w:rsidRPr="00B76474" w:rsidRDefault="00D633F7" w:rsidP="00D633F7">
      <w:pPr>
        <w:pStyle w:val="Vchodzie"/>
        <w:spacing w:after="17"/>
        <w:rPr>
          <w:rFonts w:ascii="Calibri" w:hAnsi="Calibri"/>
          <w:color w:val="auto"/>
          <w:sz w:val="20"/>
          <w:szCs w:val="20"/>
        </w:rPr>
      </w:pPr>
      <w:r w:rsidRPr="00B76474">
        <w:rPr>
          <w:rFonts w:ascii="Calibri" w:hAnsi="Calibri"/>
          <w:color w:val="auto"/>
          <w:sz w:val="20"/>
          <w:szCs w:val="20"/>
        </w:rPr>
        <w:t>Účtovná jednotka nemá vedomosť o  žiadnom podmienenom majetku, ktorý sa nevykazuje v súvahe.</w:t>
      </w:r>
    </w:p>
    <w:p w14:paraId="5F277ECF" w14:textId="77777777" w:rsidR="00D633F7" w:rsidRPr="00B76474" w:rsidRDefault="00D633F7" w:rsidP="00D633F7">
      <w:pPr>
        <w:pStyle w:val="Vchodzie"/>
        <w:spacing w:after="17"/>
        <w:rPr>
          <w:color w:val="auto"/>
        </w:rPr>
      </w:pPr>
    </w:p>
    <w:p w14:paraId="0938A1BF" w14:textId="77777777" w:rsidR="00D633F7" w:rsidRPr="00B76474" w:rsidRDefault="00D633F7" w:rsidP="00D633F7">
      <w:pPr>
        <w:pStyle w:val="Nzov"/>
        <w:widowControl w:val="0"/>
        <w:spacing w:after="0"/>
        <w:jc w:val="left"/>
        <w:rPr>
          <w:color w:val="auto"/>
          <w:sz w:val="22"/>
          <w:szCs w:val="22"/>
        </w:rPr>
      </w:pPr>
      <w:r w:rsidRPr="00B76474">
        <w:rPr>
          <w:rFonts w:ascii="Calibri" w:hAnsi="Calibri"/>
          <w:color w:val="auto"/>
          <w:sz w:val="22"/>
          <w:szCs w:val="22"/>
        </w:rPr>
        <w:t>b) Informácie o podmienených záväzkoch</w:t>
      </w:r>
    </w:p>
    <w:p w14:paraId="5CA1D375" w14:textId="77777777" w:rsidR="00D633F7" w:rsidRPr="00B76474" w:rsidRDefault="00D633F7" w:rsidP="00D633F7">
      <w:pPr>
        <w:pStyle w:val="Vchodzie"/>
        <w:spacing w:after="17"/>
        <w:jc w:val="both"/>
        <w:rPr>
          <w:color w:val="auto"/>
        </w:rPr>
      </w:pPr>
    </w:p>
    <w:p w14:paraId="473A1CC0" w14:textId="77777777" w:rsidR="00D633F7" w:rsidRPr="00B76474" w:rsidRDefault="00D633F7" w:rsidP="00D633F7">
      <w:pPr>
        <w:pStyle w:val="Vchodzie"/>
        <w:spacing w:after="17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Vzhľadom na to, že viaceré oblasti slovenského daňového práva</w:t>
      </w:r>
      <w:r w:rsidRPr="00B76474">
        <w:rPr>
          <w:color w:val="auto"/>
        </w:rPr>
        <w:t xml:space="preserve"> </w:t>
      </w:r>
      <w:r w:rsidRPr="00B76474">
        <w:rPr>
          <w:rFonts w:ascii="Calibri" w:hAnsi="Calibri" w:cs="Calibri"/>
          <w:color w:val="auto"/>
          <w:sz w:val="20"/>
          <w:szCs w:val="20"/>
        </w:rPr>
        <w:t>( napr. legislatíva ohľadom transferového oceňovania) doteraz neboli dostatočne overené praxou, existuje neistota v tom, ako ich budú daňové orgány  aplikovať. Mieru tejto neistoty nie je možné kvantifikovať a zanikne až potom, keď budú k dispozícii právne precedensy príp. oficiálne interpretácie príslušných orgánov. Vedenie Spoločnosti si nie je vedomé žiadnych okolností, v dôsledku ktorých by jej vznikol v budúcnosti významný náklad.</w:t>
      </w:r>
    </w:p>
    <w:p w14:paraId="1B6DC526" w14:textId="77777777" w:rsidR="00D633F7" w:rsidRPr="00B76474" w:rsidRDefault="00D633F7" w:rsidP="00D633F7">
      <w:pPr>
        <w:pStyle w:val="Vchodzie"/>
        <w:spacing w:after="17"/>
        <w:jc w:val="both"/>
        <w:rPr>
          <w:color w:val="auto"/>
        </w:rPr>
      </w:pPr>
    </w:p>
    <w:p w14:paraId="5D30FCA6" w14:textId="77777777" w:rsidR="00D633F7" w:rsidRPr="00B76474" w:rsidRDefault="00D633F7" w:rsidP="00D633F7">
      <w:pPr>
        <w:pStyle w:val="Vchodzie"/>
        <w:spacing w:after="17"/>
        <w:jc w:val="both"/>
        <w:rPr>
          <w:rFonts w:ascii="Calibri" w:hAnsi="Calibri" w:cs="Calibri"/>
          <w:color w:val="auto"/>
          <w:sz w:val="20"/>
          <w:szCs w:val="20"/>
        </w:rPr>
      </w:pPr>
    </w:p>
    <w:p w14:paraId="3B594ED6" w14:textId="77777777" w:rsidR="00D633F7" w:rsidRPr="00B76474" w:rsidRDefault="00D633F7" w:rsidP="00D633F7">
      <w:pPr>
        <w:pStyle w:val="Vchodzie"/>
        <w:spacing w:after="17"/>
        <w:jc w:val="both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>Okrem vyššie uvedeného, nemá Spoločnosť vedomosť o inom podmienenom majetku alebo podmienených záväzkoch, ktoré sa nevykazujú v súvahe.</w:t>
      </w:r>
    </w:p>
    <w:p w14:paraId="6C323C1C" w14:textId="77777777" w:rsidR="00D633F7" w:rsidRPr="00B76474" w:rsidRDefault="00D633F7" w:rsidP="00D633F7">
      <w:pPr>
        <w:pStyle w:val="Vchodzie"/>
        <w:spacing w:after="17"/>
        <w:rPr>
          <w:color w:val="auto"/>
          <w:sz w:val="20"/>
          <w:szCs w:val="20"/>
        </w:rPr>
      </w:pPr>
    </w:p>
    <w:p w14:paraId="5E38EC3D" w14:textId="77777777" w:rsidR="00D633F7" w:rsidRPr="00B76474" w:rsidRDefault="00D633F7" w:rsidP="00D633F7">
      <w:pPr>
        <w:pStyle w:val="Vchodzie"/>
        <w:spacing w:after="17"/>
        <w:rPr>
          <w:color w:val="auto"/>
        </w:rPr>
      </w:pPr>
    </w:p>
    <w:p w14:paraId="48CBD9EB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 (2) Informácia o ostatných finančných povinnostiach, ktoré sa nevykazujú v účtovných výkazoch</w:t>
      </w:r>
    </w:p>
    <w:p w14:paraId="4F73EC94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color w:val="auto"/>
          <w:sz w:val="20"/>
          <w:szCs w:val="20"/>
        </w:rPr>
        <w:t>Spoločnosti nebolo udelené výlučné právo alebo osobitné právo poskytovať služby vo verejnom záujme. Na spoločnosť sa rovnako nevzťahuje § 23d ods. 6 zákona o účtovníctve.</w:t>
      </w:r>
    </w:p>
    <w:p w14:paraId="2D47CC4C" w14:textId="77777777" w:rsidR="00D633F7" w:rsidRPr="00B76474" w:rsidRDefault="00D633F7" w:rsidP="00D633F7">
      <w:pPr>
        <w:pStyle w:val="Vchodzie"/>
        <w:rPr>
          <w:color w:val="auto"/>
        </w:rPr>
      </w:pPr>
    </w:p>
    <w:p w14:paraId="367553FB" w14:textId="77777777" w:rsidR="00D633F7" w:rsidRPr="00B76474" w:rsidRDefault="00D633F7" w:rsidP="00D633F7">
      <w:pPr>
        <w:pStyle w:val="Vchodzie"/>
        <w:rPr>
          <w:color w:val="auto"/>
        </w:rPr>
      </w:pPr>
    </w:p>
    <w:p w14:paraId="4E238BE4" w14:textId="77777777" w:rsidR="00D633F7" w:rsidRPr="00B76474" w:rsidRDefault="00D633F7" w:rsidP="00D633F7">
      <w:pPr>
        <w:pStyle w:val="Vchodzie"/>
        <w:rPr>
          <w:color w:val="auto"/>
        </w:rPr>
      </w:pPr>
      <w:r w:rsidRPr="00B76474">
        <w:rPr>
          <w:rFonts w:ascii="Calibri" w:hAnsi="Calibri"/>
          <w:b/>
          <w:color w:val="auto"/>
          <w:sz w:val="22"/>
          <w:szCs w:val="22"/>
        </w:rPr>
        <w:t xml:space="preserve">(3) Informácie ku skutočnostiam sledovaným na podsúvahových účtoch  </w:t>
      </w:r>
    </w:p>
    <w:p w14:paraId="44BA7D26" w14:textId="77777777" w:rsidR="00D633F7" w:rsidRPr="00B76474" w:rsidRDefault="00D633F7" w:rsidP="00D633F7">
      <w:pPr>
        <w:pStyle w:val="Vchodzie"/>
        <w:rPr>
          <w:color w:val="auto"/>
        </w:rPr>
      </w:pPr>
    </w:p>
    <w:p w14:paraId="415FF40B" w14:textId="77777777" w:rsidR="00D633F7" w:rsidRPr="00B76474" w:rsidRDefault="00D633F7" w:rsidP="00D633F7">
      <w:pPr>
        <w:pStyle w:val="Vchodzie"/>
        <w:rPr>
          <w:rFonts w:ascii="Calibri" w:hAnsi="Calibri" w:cs="Calibri"/>
          <w:color w:val="auto"/>
          <w:sz w:val="20"/>
          <w:szCs w:val="20"/>
        </w:rPr>
      </w:pPr>
      <w:r w:rsidRPr="00B76474">
        <w:rPr>
          <w:rFonts w:ascii="Calibri" w:hAnsi="Calibri" w:cs="Calibri"/>
          <w:color w:val="auto"/>
          <w:sz w:val="20"/>
          <w:szCs w:val="20"/>
        </w:rPr>
        <w:t xml:space="preserve"> Spoločnosť nemá vedomosť o inom podmienenom majetku alebo podmienených záväzkoch, ktoré sa nevykazujú v súvahe. </w:t>
      </w:r>
    </w:p>
    <w:p w14:paraId="192230A7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4FB1244C" w14:textId="77777777" w:rsidR="00D633F7" w:rsidRPr="00B76474" w:rsidRDefault="00D633F7" w:rsidP="00D633F7">
      <w:pPr>
        <w:pStyle w:val="Vchodzie"/>
        <w:jc w:val="center"/>
        <w:rPr>
          <w:color w:val="auto"/>
        </w:rPr>
      </w:pPr>
      <w:r w:rsidRPr="00B76474">
        <w:rPr>
          <w:rFonts w:ascii="Calibri" w:hAnsi="Calibri"/>
          <w:b/>
          <w:bCs/>
          <w:color w:val="auto"/>
          <w:sz w:val="22"/>
          <w:szCs w:val="22"/>
        </w:rPr>
        <w:t>Udalosti, ktoré nastali po dni, ku ktorému sa zostavuje účtovná závierka</w:t>
      </w:r>
    </w:p>
    <w:p w14:paraId="59CA6933" w14:textId="77777777" w:rsidR="00D633F7" w:rsidRPr="00B76474" w:rsidRDefault="00D633F7" w:rsidP="00D633F7">
      <w:pPr>
        <w:pStyle w:val="Vchodzie"/>
        <w:jc w:val="center"/>
        <w:rPr>
          <w:color w:val="auto"/>
        </w:rPr>
      </w:pPr>
    </w:p>
    <w:p w14:paraId="4532B174" w14:textId="77777777" w:rsidR="00D633F7" w:rsidRPr="00B76474" w:rsidRDefault="00D633F7" w:rsidP="00D633F7">
      <w:pPr>
        <w:pStyle w:val="Vchodzie"/>
        <w:jc w:val="both"/>
        <w:rPr>
          <w:color w:val="auto"/>
        </w:rPr>
      </w:pPr>
      <w:r w:rsidRPr="00B76474">
        <w:rPr>
          <w:rFonts w:ascii="Calibri" w:hAnsi="Calibri"/>
          <w:bCs/>
          <w:color w:val="auto"/>
          <w:sz w:val="20"/>
          <w:szCs w:val="20"/>
        </w:rPr>
        <w:t>Po 31. decembri 201</w:t>
      </w:r>
      <w:r>
        <w:rPr>
          <w:rFonts w:ascii="Calibri" w:hAnsi="Calibri"/>
          <w:bCs/>
          <w:color w:val="auto"/>
          <w:sz w:val="20"/>
          <w:szCs w:val="20"/>
        </w:rPr>
        <w:t>8</w:t>
      </w:r>
      <w:r w:rsidRPr="00B76474">
        <w:rPr>
          <w:rFonts w:ascii="Calibri" w:hAnsi="Calibri"/>
          <w:bCs/>
          <w:color w:val="auto"/>
          <w:sz w:val="20"/>
          <w:szCs w:val="20"/>
        </w:rPr>
        <w:t xml:space="preserve"> do dňa zostavenia účtovnej závierky spoločnosti nenastali také udalosti, ktoré by si vyžadovali zverejnenie alebo vykázanie v účtovnej závierke za rok 201</w:t>
      </w:r>
      <w:r>
        <w:rPr>
          <w:rFonts w:ascii="Calibri" w:hAnsi="Calibri"/>
          <w:bCs/>
          <w:color w:val="auto"/>
          <w:sz w:val="20"/>
          <w:szCs w:val="20"/>
        </w:rPr>
        <w:t>8</w:t>
      </w:r>
      <w:r w:rsidRPr="00B76474">
        <w:rPr>
          <w:rFonts w:ascii="Calibri" w:hAnsi="Calibri"/>
          <w:bCs/>
          <w:color w:val="auto"/>
          <w:sz w:val="20"/>
          <w:szCs w:val="20"/>
        </w:rPr>
        <w:t>.</w:t>
      </w:r>
    </w:p>
    <w:p w14:paraId="44CE8682" w14:textId="77777777" w:rsidR="00D633F7" w:rsidRPr="00B76474" w:rsidRDefault="00D633F7" w:rsidP="00D633F7">
      <w:pPr>
        <w:pStyle w:val="Vchodzie"/>
        <w:jc w:val="both"/>
        <w:rPr>
          <w:color w:val="auto"/>
        </w:rPr>
      </w:pPr>
    </w:p>
    <w:p w14:paraId="539363A7" w14:textId="77777777" w:rsidR="00170FA2" w:rsidRDefault="00170FA2">
      <w:bookmarkStart w:id="1" w:name="_GoBack"/>
      <w:bookmarkEnd w:id="1"/>
    </w:p>
    <w:sectPr w:rsidR="00170FA2" w:rsidSect="00101961">
      <w:headerReference w:type="default" r:id="rId4"/>
      <w:pgSz w:w="11906" w:h="16838" w:code="9"/>
      <w:pgMar w:top="1717" w:right="1156" w:bottom="879" w:left="1337" w:header="708" w:footer="0" w:gutter="0"/>
      <w:cols w:space="708"/>
      <w:formProt w:val="0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ArialNarrow"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20AFB20" w14:textId="77777777" w:rsidR="00BD32F9" w:rsidRDefault="00D633F7">
    <w:pPr>
      <w:pStyle w:val="Hlavika"/>
    </w:pPr>
    <w:r>
      <w:rPr>
        <w:sz w:val="21"/>
        <w:szCs w:val="21"/>
      </w:rPr>
      <w:t xml:space="preserve">Poznámky </w:t>
    </w:r>
    <w:proofErr w:type="spellStart"/>
    <w:r>
      <w:rPr>
        <w:sz w:val="21"/>
        <w:szCs w:val="21"/>
      </w:rPr>
      <w:t>Úč</w:t>
    </w:r>
    <w:proofErr w:type="spellEnd"/>
    <w:r>
      <w:rPr>
        <w:sz w:val="21"/>
        <w:szCs w:val="21"/>
      </w:rPr>
      <w:t xml:space="preserve"> POD 3-01                 </w:t>
    </w:r>
    <w:r>
      <w:rPr>
        <w:sz w:val="21"/>
        <w:szCs w:val="21"/>
      </w:rPr>
      <w:tab/>
    </w:r>
    <w:r>
      <w:rPr>
        <w:sz w:val="21"/>
        <w:szCs w:val="21"/>
      </w:rPr>
      <w:tab/>
      <w:t>IČO:36765431</w:t>
    </w:r>
  </w:p>
  <w:p w14:paraId="3A50C28F" w14:textId="77777777" w:rsidR="00BD32F9" w:rsidRDefault="00D633F7">
    <w:pPr>
      <w:pStyle w:val="Hlavika"/>
    </w:pPr>
    <w:r>
      <w:rPr>
        <w:sz w:val="21"/>
        <w:szCs w:val="21"/>
      </w:rPr>
      <w:t xml:space="preserve">                                 </w:t>
    </w:r>
    <w:r>
      <w:rPr>
        <w:sz w:val="21"/>
        <w:szCs w:val="21"/>
      </w:rPr>
      <w:t xml:space="preserve">                                             </w:t>
    </w:r>
    <w:r>
      <w:rPr>
        <w:sz w:val="21"/>
        <w:szCs w:val="21"/>
      </w:rPr>
      <w:tab/>
    </w:r>
    <w:r>
      <w:rPr>
        <w:sz w:val="21"/>
        <w:szCs w:val="21"/>
      </w:rPr>
      <w:tab/>
      <w:t xml:space="preserve">   DIČ:2022370306 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646D"/>
    <w:rsid w:val="00170FA2"/>
    <w:rsid w:val="0062646D"/>
    <w:rsid w:val="00D633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E6B503F-B066-4460-93FF-AB7864B7D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633F7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Vchodzie">
    <w:name w:val="Východzie"/>
    <w:rsid w:val="00D633F7"/>
    <w:pPr>
      <w:suppressAutoHyphens/>
      <w:spacing w:after="0" w:line="100" w:lineRule="atLeast"/>
    </w:pPr>
    <w:rPr>
      <w:rFonts w:ascii="Arial" w:eastAsia="Arial Unicode MS" w:hAnsi="Arial" w:cs="Arial"/>
      <w:color w:val="000000"/>
      <w:sz w:val="24"/>
      <w:szCs w:val="24"/>
    </w:rPr>
  </w:style>
  <w:style w:type="paragraph" w:customStyle="1" w:styleId="Telotextu">
    <w:name w:val="Telo textu"/>
    <w:basedOn w:val="Vchodzie"/>
    <w:rsid w:val="00D633F7"/>
    <w:pPr>
      <w:spacing w:after="120"/>
      <w:jc w:val="both"/>
    </w:pPr>
    <w:rPr>
      <w:rFonts w:ascii="Times New Roman" w:hAnsi="Times New Roman"/>
      <w:b/>
      <w:bCs/>
      <w:lang w:eastAsia="cs-CZ"/>
    </w:rPr>
  </w:style>
  <w:style w:type="paragraph" w:styleId="Hlavika">
    <w:name w:val="header"/>
    <w:basedOn w:val="Vchodzie"/>
    <w:link w:val="HlavikaChar"/>
    <w:rsid w:val="00D633F7"/>
    <w:pPr>
      <w:suppressLineNumbers/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D633F7"/>
    <w:rPr>
      <w:rFonts w:ascii="Arial" w:eastAsia="Arial Unicode MS" w:hAnsi="Arial" w:cs="Arial"/>
      <w:color w:val="000000"/>
      <w:sz w:val="24"/>
      <w:szCs w:val="24"/>
    </w:rPr>
  </w:style>
  <w:style w:type="paragraph" w:styleId="Odsekzoznamu">
    <w:name w:val="List Paragraph"/>
    <w:basedOn w:val="Vchodzie"/>
    <w:rsid w:val="00D633F7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customStyle="1" w:styleId="TopHeader">
    <w:name w:val="Top Header"/>
    <w:basedOn w:val="Vchodzie"/>
    <w:rsid w:val="00D633F7"/>
    <w:pPr>
      <w:jc w:val="center"/>
    </w:pPr>
    <w:rPr>
      <w:b/>
      <w:bCs/>
      <w:sz w:val="22"/>
      <w:szCs w:val="22"/>
    </w:rPr>
  </w:style>
  <w:style w:type="paragraph" w:styleId="Nzov">
    <w:name w:val="Title"/>
    <w:basedOn w:val="Vchodzie"/>
    <w:next w:val="Normlny"/>
    <w:link w:val="NzovChar"/>
    <w:rsid w:val="00D633F7"/>
    <w:pPr>
      <w:keepNext/>
      <w:spacing w:before="28" w:after="220"/>
      <w:jc w:val="center"/>
    </w:pPr>
    <w:rPr>
      <w:b/>
      <w:bCs/>
      <w:sz w:val="32"/>
      <w:szCs w:val="32"/>
    </w:rPr>
  </w:style>
  <w:style w:type="character" w:customStyle="1" w:styleId="NzovChar">
    <w:name w:val="Názov Char"/>
    <w:basedOn w:val="Predvolenpsmoodseku"/>
    <w:link w:val="Nzov"/>
    <w:rsid w:val="00D633F7"/>
    <w:rPr>
      <w:rFonts w:ascii="Arial" w:eastAsia="Arial Unicode MS" w:hAnsi="Arial" w:cs="Arial"/>
      <w:b/>
      <w:bCs/>
      <w:color w:val="000000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2311</Words>
  <Characters>13178</Characters>
  <Application>Microsoft Office Word</Application>
  <DocSecurity>0</DocSecurity>
  <Lines>109</Lines>
  <Paragraphs>30</Paragraphs>
  <ScaleCrop>false</ScaleCrop>
  <Company/>
  <LinksUpToDate>false</LinksUpToDate>
  <CharactersWithSpaces>15459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HPSERV</dc:creator>
  <cp:keywords/>
  <dc:description/>
  <cp:lastModifiedBy>HPSERV</cp:lastModifiedBy>
  <cp:revision>2</cp:revision>
  <dcterms:created xsi:type="dcterms:W3CDTF">2019-07-02T16:37:00Z</dcterms:created>
  <dcterms:modified xsi:type="dcterms:W3CDTF">2019-07-02T16:37:00Z</dcterms:modified>
</cp:coreProperties>
</file>