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200" w:line="240"/>
        <w:ind w:right="-568" w:left="-142" w:hanging="284"/>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Poznámky Ú</w:t>
      </w:r>
      <w:r>
        <w:rPr>
          <w:rFonts w:ascii="Calibri" w:hAnsi="Calibri" w:cs="Calibri" w:eastAsia="Calibri"/>
          <w:color w:val="auto"/>
          <w:spacing w:val="0"/>
          <w:position w:val="0"/>
          <w:sz w:val="16"/>
          <w:shd w:fill="auto" w:val="clear"/>
        </w:rPr>
        <w:t xml:space="preserve">č PODV 3-01                                                                                                                                                             IČO: 36039977                 DIČ:2020084407</w:t>
      </w:r>
    </w:p>
    <w:p>
      <w:pPr>
        <w:spacing w:before="0" w:after="200" w:line="240"/>
        <w:ind w:right="-568" w:left="-426" w:firstLine="0"/>
        <w:jc w:val="left"/>
        <w:rPr>
          <w:rFonts w:ascii="Calibri" w:hAnsi="Calibri" w:cs="Calibri" w:eastAsia="Calibri"/>
          <w:color w:val="auto"/>
          <w:spacing w:val="0"/>
          <w:position w:val="0"/>
          <w:sz w:val="16"/>
          <w:shd w:fill="auto" w:val="clear"/>
        </w:rPr>
      </w:pPr>
    </w:p>
    <w:p>
      <w:pPr>
        <w:numPr>
          <w:ilvl w:val="0"/>
          <w:numId w:val="3"/>
        </w:numPr>
        <w:spacing w:before="0" w:after="200" w:line="240"/>
        <w:ind w:right="-568" w:left="-66" w:hanging="36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Informácie o ú</w:t>
      </w:r>
      <w:r>
        <w:rPr>
          <w:rFonts w:ascii="Book Antiqua" w:hAnsi="Book Antiqua" w:cs="Book Antiqua" w:eastAsia="Book Antiqua"/>
          <w:b/>
          <w:color w:val="auto"/>
          <w:spacing w:val="0"/>
          <w:position w:val="0"/>
          <w:sz w:val="16"/>
          <w:shd w:fill="auto" w:val="clear"/>
        </w:rPr>
        <w:t xml:space="preserve">čtovnej jednotke:</w:t>
      </w:r>
    </w:p>
    <w:p>
      <w:pPr>
        <w:spacing w:before="0" w:after="200" w:line="240"/>
        <w:ind w:right="-568" w:left="-66" w:firstLine="0"/>
        <w:jc w:val="left"/>
        <w:rPr>
          <w:rFonts w:ascii="Book Antiqua" w:hAnsi="Book Antiqua" w:cs="Book Antiqua" w:eastAsia="Book Antiqua"/>
          <w:b/>
          <w:color w:val="auto"/>
          <w:spacing w:val="0"/>
          <w:position w:val="0"/>
          <w:sz w:val="16"/>
          <w:shd w:fill="auto" w:val="clear"/>
        </w:rPr>
      </w:pPr>
    </w:p>
    <w:p>
      <w:pPr>
        <w:spacing w:before="0" w:after="200" w:line="240"/>
        <w:ind w:right="-568" w:left="-284"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Spolo</w:t>
      </w:r>
      <w:r>
        <w:rPr>
          <w:rFonts w:ascii="Book Antiqua" w:hAnsi="Book Antiqua" w:cs="Book Antiqua" w:eastAsia="Book Antiqua"/>
          <w:color w:val="auto"/>
          <w:spacing w:val="0"/>
          <w:position w:val="0"/>
          <w:sz w:val="16"/>
          <w:shd w:fill="auto" w:val="clear"/>
        </w:rPr>
        <w:t xml:space="preserve">čnosť   S.D.A.s.r.o. , Jána Bottu 4, 974 01 Banská Bystrica                    bola založená spoločenskou zmluvou dňa 04.02.2000</w:t>
      </w:r>
    </w:p>
    <w:p>
      <w:pPr>
        <w:spacing w:before="0" w:after="200" w:line="240"/>
        <w:ind w:right="-568" w:left="-284"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 Zapís</w:t>
      </w:r>
      <w:r>
        <w:rPr>
          <w:rFonts w:ascii="Book Antiqua" w:hAnsi="Book Antiqua" w:cs="Book Antiqua" w:eastAsia="Book Antiqua"/>
          <w:color w:val="auto"/>
          <w:spacing w:val="0"/>
          <w:position w:val="0"/>
          <w:sz w:val="16"/>
          <w:shd w:fill="auto" w:val="clear"/>
        </w:rPr>
        <w:t xml:space="preserve">aná je v obchodnom registri Okresného súdu Banská Bystrica, oddiel  Sro, vložka </w:t>
      </w:r>
      <w:r>
        <w:rPr>
          <w:rFonts w:ascii="Book Antiqua" w:hAnsi="Book Antiqua" w:cs="Book Antiqua" w:eastAsia="Book Antiqua"/>
          <w:color w:val="auto"/>
          <w:spacing w:val="0"/>
          <w:position w:val="0"/>
          <w:sz w:val="16"/>
          <w:shd w:fill="auto" w:val="clear"/>
        </w:rPr>
        <w:t xml:space="preserve">číslo6289/S , dňom 16.02.2000</w:t>
      </w:r>
    </w:p>
    <w:p>
      <w:pPr>
        <w:spacing w:before="0" w:after="200" w:line="240"/>
        <w:ind w:right="-568" w:left="-284"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        Hlavná </w:t>
      </w:r>
      <w:r>
        <w:rPr>
          <w:rFonts w:ascii="Book Antiqua" w:hAnsi="Book Antiqua" w:cs="Book Antiqua" w:eastAsia="Book Antiqua"/>
          <w:color w:val="auto"/>
          <w:spacing w:val="0"/>
          <w:position w:val="0"/>
          <w:sz w:val="16"/>
          <w:shd w:fill="auto" w:val="clear"/>
        </w:rPr>
        <w:t xml:space="preserve">činnosť spoločnosti je : kúpa tovaru na účely jeho predaja iným prevádzkovateľom</w:t>
      </w:r>
    </w:p>
    <w:p>
      <w:pPr>
        <w:numPr>
          <w:ilvl w:val="0"/>
          <w:numId w:val="6"/>
        </w:numPr>
        <w:spacing w:before="0" w:after="200" w:line="240"/>
        <w:ind w:right="-568" w:left="0" w:hanging="284"/>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K dátumu zostavenia ú</w:t>
      </w:r>
      <w:r>
        <w:rPr>
          <w:rFonts w:ascii="Book Antiqua" w:hAnsi="Book Antiqua" w:cs="Book Antiqua" w:eastAsia="Book Antiqua"/>
          <w:color w:val="auto"/>
          <w:spacing w:val="0"/>
          <w:position w:val="0"/>
          <w:sz w:val="16"/>
          <w:shd w:fill="auto" w:val="clear"/>
        </w:rPr>
        <w:t xml:space="preserve">čtovnej závierky mala spoločnosť   12    zamestnancov, z toho   2   vedúcich zam.</w:t>
      </w:r>
    </w:p>
    <w:p>
      <w:pPr>
        <w:numPr>
          <w:ilvl w:val="0"/>
          <w:numId w:val="6"/>
        </w:numPr>
        <w:spacing w:before="0" w:after="200" w:line="240"/>
        <w:ind w:right="-568" w:left="0" w:hanging="284"/>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Obchodná spolo</w:t>
      </w:r>
      <w:r>
        <w:rPr>
          <w:rFonts w:ascii="Book Antiqua" w:hAnsi="Book Antiqua" w:cs="Book Antiqua" w:eastAsia="Book Antiqua"/>
          <w:color w:val="auto"/>
          <w:spacing w:val="0"/>
          <w:position w:val="0"/>
          <w:sz w:val="16"/>
          <w:shd w:fill="auto" w:val="clear"/>
        </w:rPr>
        <w:t xml:space="preserve">čnosť nie je neobmedzene ručiacim spoločníkom v žiadnej spoločnosti.</w:t>
      </w:r>
    </w:p>
    <w:p>
      <w:pPr>
        <w:numPr>
          <w:ilvl w:val="0"/>
          <w:numId w:val="6"/>
        </w:numPr>
        <w:spacing w:before="0" w:after="200" w:line="240"/>
        <w:ind w:right="-568" w:left="0" w:hanging="284"/>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Ú</w:t>
      </w:r>
      <w:r>
        <w:rPr>
          <w:rFonts w:ascii="Book Antiqua" w:hAnsi="Book Antiqua" w:cs="Book Antiqua" w:eastAsia="Book Antiqua"/>
          <w:color w:val="auto"/>
          <w:spacing w:val="0"/>
          <w:position w:val="0"/>
          <w:sz w:val="16"/>
          <w:shd w:fill="auto" w:val="clear"/>
        </w:rPr>
        <w:t xml:space="preserve">čtovná závierka spoločnosti bola k 31.12.2018 zostavená ako riadna účtovná závierka podľa §17 ods.6 zákona č.431/2002 Z.z. o účtovníctve v znení neskorších predpisov.</w:t>
      </w:r>
    </w:p>
    <w:p>
      <w:pPr>
        <w:numPr>
          <w:ilvl w:val="0"/>
          <w:numId w:val="6"/>
        </w:numPr>
        <w:spacing w:before="0" w:after="200" w:line="240"/>
        <w:ind w:right="-568" w:left="0" w:hanging="284"/>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Ú</w:t>
      </w:r>
      <w:r>
        <w:rPr>
          <w:rFonts w:ascii="Book Antiqua" w:hAnsi="Book Antiqua" w:cs="Book Antiqua" w:eastAsia="Book Antiqua"/>
          <w:color w:val="auto"/>
          <w:spacing w:val="0"/>
          <w:position w:val="0"/>
          <w:sz w:val="16"/>
          <w:shd w:fill="auto" w:val="clear"/>
        </w:rPr>
        <w:t xml:space="preserve">čtovná závierka za rok 2017 bola uložená do registra účtovných závierok dňa 14.12.2048     , schválená valným zhromaždením bola dňa    10.12.2018</w:t>
      </w:r>
    </w:p>
    <w:p>
      <w:pPr>
        <w:spacing w:before="0" w:after="200" w:line="240"/>
        <w:ind w:right="-568" w:left="0" w:firstLine="0"/>
        <w:jc w:val="left"/>
        <w:rPr>
          <w:rFonts w:ascii="Book Antiqua" w:hAnsi="Book Antiqua" w:cs="Book Antiqua" w:eastAsia="Book Antiqua"/>
          <w:color w:val="auto"/>
          <w:spacing w:val="0"/>
          <w:position w:val="0"/>
          <w:sz w:val="16"/>
          <w:shd w:fill="auto" w:val="clear"/>
        </w:rPr>
      </w:pPr>
    </w:p>
    <w:p>
      <w:pPr>
        <w:numPr>
          <w:ilvl w:val="0"/>
          <w:numId w:val="8"/>
        </w:numPr>
        <w:spacing w:before="0" w:after="200" w:line="240"/>
        <w:ind w:right="-568" w:left="142" w:hanging="284"/>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 Informácie o po</w:t>
      </w:r>
      <w:r>
        <w:rPr>
          <w:rFonts w:ascii="Book Antiqua" w:hAnsi="Book Antiqua" w:cs="Book Antiqua" w:eastAsia="Book Antiqua"/>
          <w:b/>
          <w:color w:val="auto"/>
          <w:spacing w:val="0"/>
          <w:position w:val="0"/>
          <w:sz w:val="16"/>
          <w:shd w:fill="auto" w:val="clear"/>
        </w:rPr>
        <w:t xml:space="preserve">čte zamestnancov : </w:t>
      </w:r>
      <w:r>
        <w:rPr>
          <w:rFonts w:ascii="Book Antiqua" w:hAnsi="Book Antiqua" w:cs="Book Antiqua" w:eastAsia="Book Antiqua"/>
          <w:color w:val="auto"/>
          <w:spacing w:val="0"/>
          <w:position w:val="0"/>
          <w:sz w:val="16"/>
          <w:shd w:fill="auto" w:val="clear"/>
        </w:rPr>
        <w:t xml:space="preserve">spoločnosť má priemerne zamestnyných 12 zamestnancov a z toho 2 vedúcich</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Názov položky                                                                    Bežné ú</w:t>
      </w:r>
      <w:r>
        <w:rPr>
          <w:rFonts w:ascii="Book Antiqua" w:hAnsi="Book Antiqua" w:cs="Book Antiqua" w:eastAsia="Book Antiqua"/>
          <w:color w:val="auto"/>
          <w:spacing w:val="0"/>
          <w:position w:val="0"/>
          <w:sz w:val="16"/>
          <w:shd w:fill="auto" w:val="clear"/>
        </w:rPr>
        <w:t xml:space="preserve">čtovné obdobie                      Bezprostredne predchádzajúce</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                                                                                                                                                                            ú</w:t>
      </w:r>
      <w:r>
        <w:rPr>
          <w:rFonts w:ascii="Book Antiqua" w:hAnsi="Book Antiqua" w:cs="Book Antiqua" w:eastAsia="Book Antiqua"/>
          <w:color w:val="auto"/>
          <w:spacing w:val="0"/>
          <w:position w:val="0"/>
          <w:sz w:val="16"/>
          <w:shd w:fill="auto" w:val="clear"/>
        </w:rPr>
        <w:t xml:space="preserve">čtovné obdobie</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Priemerný prepo</w:t>
      </w:r>
      <w:r>
        <w:rPr>
          <w:rFonts w:ascii="Book Antiqua" w:hAnsi="Book Antiqua" w:cs="Book Antiqua" w:eastAsia="Book Antiqua"/>
          <w:color w:val="auto"/>
          <w:spacing w:val="0"/>
          <w:position w:val="0"/>
          <w:sz w:val="16"/>
          <w:shd w:fill="auto" w:val="clear"/>
        </w:rPr>
        <w:t xml:space="preserve">čítaný počet zamestnancov                                        12</w:t>
        <w:tab/>
        <w:tab/>
        <w:tab/>
        <w:tab/>
        <w:tab/>
        <w:t xml:space="preserve">12</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Stav zamestnancov ku d</w:t>
      </w:r>
      <w:r>
        <w:rPr>
          <w:rFonts w:ascii="Book Antiqua" w:hAnsi="Book Antiqua" w:cs="Book Antiqua" w:eastAsia="Book Antiqua"/>
          <w:color w:val="auto"/>
          <w:spacing w:val="0"/>
          <w:position w:val="0"/>
          <w:sz w:val="16"/>
          <w:shd w:fill="auto" w:val="clear"/>
        </w:rPr>
        <w:t xml:space="preserve">ňu, ku ktorému sa</w:t>
        <w:tab/>
        <w:tab/>
        <w:tab/>
        <w:t xml:space="preserve">   12                                                                          12 </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zostavuje ú</w:t>
      </w:r>
      <w:r>
        <w:rPr>
          <w:rFonts w:ascii="Book Antiqua" w:hAnsi="Book Antiqua" w:cs="Book Antiqua" w:eastAsia="Book Antiqua"/>
          <w:color w:val="auto"/>
          <w:spacing w:val="0"/>
          <w:position w:val="0"/>
          <w:sz w:val="16"/>
          <w:shd w:fill="auto" w:val="clear"/>
        </w:rPr>
        <w:t xml:space="preserve">čtovná závierka, z toho                                                        </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Po</w:t>
      </w:r>
      <w:r>
        <w:rPr>
          <w:rFonts w:ascii="Book Antiqua" w:hAnsi="Book Antiqua" w:cs="Book Antiqua" w:eastAsia="Book Antiqua"/>
          <w:color w:val="auto"/>
          <w:spacing w:val="0"/>
          <w:position w:val="0"/>
          <w:sz w:val="16"/>
          <w:shd w:fill="auto" w:val="clear"/>
        </w:rPr>
        <w:t xml:space="preserve">čet vedúcich zamestnancov                                                                2                                                                           2                                                                             </w:t>
      </w:r>
    </w:p>
    <w:p>
      <w:pPr>
        <w:spacing w:before="0" w:after="200" w:line="240"/>
        <w:ind w:right="-568" w:left="-142" w:firstLine="0"/>
        <w:jc w:val="left"/>
        <w:rPr>
          <w:rFonts w:ascii="Book Antiqua" w:hAnsi="Book Antiqua" w:cs="Book Antiqua" w:eastAsia="Book Antiqua"/>
          <w:b/>
          <w:color w:val="auto"/>
          <w:spacing w:val="0"/>
          <w:position w:val="0"/>
          <w:sz w:val="16"/>
          <w:shd w:fill="auto" w:val="clear"/>
        </w:rPr>
      </w:pPr>
    </w:p>
    <w:p>
      <w:pPr>
        <w:spacing w:before="0" w:after="200" w:line="240"/>
        <w:ind w:right="-568" w:left="-142" w:firstLine="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Informácie o konsolidovanom celku:</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Spolo</w:t>
      </w:r>
      <w:r>
        <w:rPr>
          <w:rFonts w:ascii="Book Antiqua" w:hAnsi="Book Antiqua" w:cs="Book Antiqua" w:eastAsia="Book Antiqua"/>
          <w:color w:val="auto"/>
          <w:spacing w:val="0"/>
          <w:position w:val="0"/>
          <w:sz w:val="16"/>
          <w:shd w:fill="auto" w:val="clear"/>
        </w:rPr>
        <w:t xml:space="preserve">čnosť nie je súčasťou konsolidovaného celku.</w:t>
      </w:r>
    </w:p>
    <w:p>
      <w:pPr>
        <w:spacing w:before="0" w:after="200" w:line="240"/>
        <w:ind w:right="-568" w:left="-142" w:firstLine="0"/>
        <w:jc w:val="left"/>
        <w:rPr>
          <w:rFonts w:ascii="Book Antiqua" w:hAnsi="Book Antiqua" w:cs="Book Antiqua" w:eastAsia="Book Antiqua"/>
          <w:color w:val="auto"/>
          <w:spacing w:val="0"/>
          <w:position w:val="0"/>
          <w:sz w:val="16"/>
          <w:shd w:fill="auto" w:val="clear"/>
        </w:rPr>
      </w:pPr>
    </w:p>
    <w:p>
      <w:pPr>
        <w:numPr>
          <w:ilvl w:val="0"/>
          <w:numId w:val="11"/>
        </w:numPr>
        <w:spacing w:before="0" w:after="200" w:line="240"/>
        <w:ind w:right="-568" w:left="-66" w:hanging="36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Informácie o orgánoch ú</w:t>
      </w:r>
      <w:r>
        <w:rPr>
          <w:rFonts w:ascii="Book Antiqua" w:hAnsi="Book Antiqua" w:cs="Book Antiqua" w:eastAsia="Book Antiqua"/>
          <w:b/>
          <w:color w:val="auto"/>
          <w:spacing w:val="0"/>
          <w:position w:val="0"/>
          <w:sz w:val="16"/>
          <w:shd w:fill="auto" w:val="clear"/>
        </w:rPr>
        <w:t xml:space="preserve">čtovnej jednotky</w:t>
      </w:r>
    </w:p>
    <w:p>
      <w:pPr>
        <w:spacing w:before="0" w:after="200" w:line="240"/>
        <w:ind w:right="-568" w:left="-66" w:firstLine="0"/>
        <w:jc w:val="left"/>
        <w:rPr>
          <w:rFonts w:ascii="Book Antiqua" w:hAnsi="Book Antiqua" w:cs="Book Antiqua" w:eastAsia="Book Antiqua"/>
          <w:b/>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Konatelia:   </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Ing. Fiľo Milan výška podielu na ZI .......................................................3.486,-- EURO  50% konateľ - spoločník</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Ing. Fiľo Jaroslav výška podielu na ZI ...................................................3.486,-- EURO  50% konateľ - spoločník</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Poznámky Ú</w:t>
      </w:r>
      <w:r>
        <w:rPr>
          <w:rFonts w:ascii="Calibri" w:hAnsi="Calibri" w:cs="Calibri" w:eastAsia="Calibri"/>
          <w:color w:val="auto"/>
          <w:spacing w:val="0"/>
          <w:position w:val="0"/>
          <w:sz w:val="16"/>
          <w:shd w:fill="auto" w:val="clear"/>
        </w:rPr>
        <w:t xml:space="preserve">č PODV 3-01                                                                                                                                                                IČO:  36039977    DIČ: 2020084407</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Konate</w:t>
      </w:r>
      <w:r>
        <w:rPr>
          <w:rFonts w:ascii="Book Antiqua" w:hAnsi="Book Antiqua" w:cs="Book Antiqua" w:eastAsia="Book Antiqua"/>
          <w:color w:val="auto"/>
          <w:spacing w:val="0"/>
          <w:position w:val="0"/>
          <w:sz w:val="16"/>
          <w:shd w:fill="auto" w:val="clear"/>
        </w:rPr>
        <w:t xml:space="preserve">ľom neboli v roku 2018 poskytnuté pôžičky, záruky alebo iné formy zabezpečenia, ani finančné prostriedky alebo iné plnenia na súkromné účely.</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numPr>
          <w:ilvl w:val="0"/>
          <w:numId w:val="15"/>
        </w:numPr>
        <w:spacing w:before="0" w:after="200" w:line="240"/>
        <w:ind w:right="-568" w:left="-66" w:hanging="36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Informácie o prijatých postupoch</w:t>
      </w:r>
    </w:p>
    <w:p>
      <w:pPr>
        <w:spacing w:before="0" w:after="200" w:line="240"/>
        <w:ind w:right="-568" w:left="-66" w:firstLine="0"/>
        <w:jc w:val="left"/>
        <w:rPr>
          <w:rFonts w:ascii="Book Antiqua" w:hAnsi="Book Antiqua" w:cs="Book Antiqua" w:eastAsia="Book Antiqua"/>
          <w:b/>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Základné ú</w:t>
      </w:r>
      <w:r>
        <w:rPr>
          <w:rFonts w:ascii="Book Antiqua" w:hAnsi="Book Antiqua" w:cs="Book Antiqua" w:eastAsia="Book Antiqua"/>
          <w:color w:val="auto"/>
          <w:spacing w:val="0"/>
          <w:position w:val="0"/>
          <w:sz w:val="16"/>
          <w:shd w:fill="auto" w:val="clear"/>
        </w:rPr>
        <w:t xml:space="preserve">čtovné metódy použité pri zostavovaní tejto individuálnej účtovnej závierky sú opísané nižšie. Tieto metódy sa uplatňujú konzistentne počas všetkých účtovných období, ak nie je uvedené inak.</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Spolo</w:t>
      </w:r>
      <w:r>
        <w:rPr>
          <w:rFonts w:ascii="Book Antiqua" w:hAnsi="Book Antiqua" w:cs="Book Antiqua" w:eastAsia="Book Antiqua"/>
          <w:color w:val="auto"/>
          <w:spacing w:val="0"/>
          <w:position w:val="0"/>
          <w:sz w:val="16"/>
          <w:shd w:fill="auto" w:val="clear"/>
        </w:rPr>
        <w:t xml:space="preserve">čnosť zostavila účtovnú závierku za predpokladu nepretržitého pokračovania vo svojej činnosti.</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Spôsob oce</w:t>
      </w:r>
      <w:r>
        <w:rPr>
          <w:rFonts w:ascii="Book Antiqua" w:hAnsi="Book Antiqua" w:cs="Book Antiqua" w:eastAsia="Book Antiqua"/>
          <w:b/>
          <w:color w:val="auto"/>
          <w:spacing w:val="0"/>
          <w:position w:val="0"/>
          <w:sz w:val="16"/>
          <w:shd w:fill="auto" w:val="clear"/>
        </w:rPr>
        <w:t xml:space="preserve">ňovania jednotlivých zložiek majetku a záväzkov</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Dlhodobý hmotný majetok</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Dlhodobý hmotný majetok nakupovaný sa oce</w:t>
      </w:r>
      <w:r>
        <w:rPr>
          <w:rFonts w:ascii="Book Antiqua" w:hAnsi="Book Antiqua" w:cs="Book Antiqua" w:eastAsia="Book Antiqua"/>
          <w:color w:val="auto"/>
          <w:spacing w:val="0"/>
          <w:position w:val="0"/>
          <w:sz w:val="16"/>
          <w:shd w:fill="auto" w:val="clear"/>
        </w:rPr>
        <w:t xml:space="preserve">ňuje obstarávacou cenou, ktorá zahŕňa cenu obstarania a náklady súvisiace s obstaraním /clo, prepravu, montáž, poistné a pod./. Súčasťou obstarávacej ceny nie sú úroky z úverov súvisiacich s obstaraním majetku, ktoré vznikli do momentu zaradenia majetku do užívania. Do dlhodobého hmotného majetku patrí majetok, ku ktorému má účtovná jednotka vlastnícke právo.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Cenné papiere a podiely</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Cenné papiere a podiely sa oce</w:t>
      </w:r>
      <w:r>
        <w:rPr>
          <w:rFonts w:ascii="Book Antiqua" w:hAnsi="Book Antiqua" w:cs="Book Antiqua" w:eastAsia="Book Antiqua"/>
          <w:color w:val="auto"/>
          <w:spacing w:val="0"/>
          <w:position w:val="0"/>
          <w:sz w:val="16"/>
          <w:shd w:fill="auto" w:val="clear"/>
        </w:rPr>
        <w:t xml:space="preserve">ňujú pri nadobudnutí obstarávacou cenou, vrátane nákladov súvisiacich s obstaraním. Ku dňu ku ktorému sa zostavuje účtovná závierka spoločnosť nevlastnila cenné papiere a podiely.</w:t>
      </w: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66" w:firstLine="0"/>
        <w:jc w:val="left"/>
        <w:rPr>
          <w:rFonts w:ascii="Book Antiqua" w:hAnsi="Book Antiqua" w:cs="Book Antiqua" w:eastAsia="Book Antiqua"/>
          <w:color w:val="auto"/>
          <w:spacing w:val="0"/>
          <w:position w:val="0"/>
          <w:sz w:val="16"/>
          <w:shd w:fill="auto" w:val="clear"/>
        </w:rPr>
      </w:pPr>
    </w:p>
    <w:p>
      <w:pPr>
        <w:spacing w:before="0" w:after="200" w:line="240"/>
        <w:ind w:right="-568" w:left="0"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Zásoby</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Do zásob patrí skladovaný materiál a skladovaný tovar a priame náklady na neukon</w:t>
      </w:r>
      <w:r>
        <w:rPr>
          <w:rFonts w:ascii="Calibri" w:hAnsi="Calibri" w:cs="Calibri" w:eastAsia="Calibri"/>
          <w:color w:val="auto"/>
          <w:spacing w:val="0"/>
          <w:position w:val="0"/>
          <w:sz w:val="16"/>
          <w:shd w:fill="auto" w:val="clear"/>
        </w:rPr>
        <w:t xml:space="preserve">čené servisné opravy. Zásoby sa oceňujú obstarávacou cenou, ktorú tvorí cena obstarania a náklady súvisiace s obstaraním /prepravné, poistné, provízie, skonto/. Úroky z úverov nie sú súčasťou obstarávacej ceny. Nakupované zásoby sa pri úbytku /vyskladnení/ oceňujú váženým aritmetickým priemerom z obstarávacích cien. Úbytok vedľajších nákladov, pripadajúcich na spotrebované zásoby sa určí: úbytok zásob za mesiac * priemerné percento/100</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spolčnosť má zásoby v hodnote 725,-  EURO </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Poznámky Ú</w:t>
      </w:r>
      <w:r>
        <w:rPr>
          <w:rFonts w:ascii="Calibri" w:hAnsi="Calibri" w:cs="Calibri" w:eastAsia="Calibri"/>
          <w:color w:val="auto"/>
          <w:spacing w:val="0"/>
          <w:position w:val="0"/>
          <w:sz w:val="16"/>
          <w:shd w:fill="auto" w:val="clear"/>
        </w:rPr>
        <w:t xml:space="preserve">č PODV 3-01                                                                                                                                                                IČO:  36039977    DIČ: 2020084407</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Poh</w:t>
      </w:r>
      <w:r>
        <w:rPr>
          <w:rFonts w:ascii="Arial Black" w:hAnsi="Arial Black" w:cs="Arial Black" w:eastAsia="Arial Black"/>
          <w:b/>
          <w:color w:val="auto"/>
          <w:spacing w:val="0"/>
          <w:position w:val="0"/>
          <w:sz w:val="16"/>
          <w:shd w:fill="auto" w:val="clear"/>
        </w:rPr>
        <w:t xml:space="preserve">ľadávky</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Poh</w:t>
      </w:r>
      <w:r>
        <w:rPr>
          <w:rFonts w:ascii="Calibri" w:hAnsi="Calibri" w:cs="Calibri" w:eastAsia="Calibri"/>
          <w:color w:val="auto"/>
          <w:spacing w:val="0"/>
          <w:position w:val="0"/>
          <w:sz w:val="16"/>
          <w:shd w:fill="auto" w:val="clear"/>
        </w:rPr>
        <w:t xml:space="preserve">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Spoločnosť eviduje krátkodobé pohľadávky v hodnote 890.507,-- EURO z toho uz obch.styku 748.512,--EURO a ostatné 141.995,-EURO</w:t>
      </w:r>
    </w:p>
    <w:p>
      <w:pPr>
        <w:spacing w:before="0" w:after="200" w:line="240"/>
        <w:ind w:right="-568" w:left="0" w:firstLine="0"/>
        <w:jc w:val="left"/>
        <w:rPr>
          <w:rFonts w:ascii="Arial Black" w:hAnsi="Arial Black" w:cs="Arial Black" w:eastAsia="Arial Black"/>
          <w:color w:val="auto"/>
          <w:spacing w:val="0"/>
          <w:position w:val="0"/>
          <w:sz w:val="16"/>
          <w:shd w:fill="auto" w:val="clear"/>
        </w:rPr>
      </w:pPr>
      <w:r>
        <w:rPr>
          <w:rFonts w:ascii="Arial Black" w:hAnsi="Arial Black" w:cs="Arial Black" w:eastAsia="Arial Black"/>
          <w:color w:val="auto"/>
          <w:spacing w:val="0"/>
          <w:position w:val="0"/>
          <w:sz w:val="16"/>
          <w:shd w:fill="auto" w:val="clear"/>
        </w:rPr>
        <w:t xml:space="preserve">P</w:t>
      </w:r>
      <w:r>
        <w:rPr>
          <w:rFonts w:ascii="Arial Black" w:hAnsi="Arial Black" w:cs="Arial Black" w:eastAsia="Arial Black"/>
          <w:b/>
          <w:color w:val="auto"/>
          <w:spacing w:val="0"/>
          <w:position w:val="0"/>
          <w:sz w:val="16"/>
          <w:shd w:fill="auto" w:val="clear"/>
        </w:rPr>
        <w:t xml:space="preserve">e</w:t>
      </w:r>
      <w:r>
        <w:rPr>
          <w:rFonts w:ascii="Arial Black" w:hAnsi="Arial Black" w:cs="Arial Black" w:eastAsia="Arial Black"/>
          <w:b/>
          <w:color w:val="auto"/>
          <w:spacing w:val="0"/>
          <w:position w:val="0"/>
          <w:sz w:val="16"/>
          <w:shd w:fill="auto" w:val="clear"/>
        </w:rPr>
        <w:t xml:space="preserve">ňažné prostriedky, ekvivalenty peňažných prostriedkov a peňažné ekvivalenty</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Pe</w:t>
      </w:r>
      <w:r>
        <w:rPr>
          <w:rFonts w:ascii="Calibri" w:hAnsi="Calibri" w:cs="Calibri" w:eastAsia="Calibri"/>
          <w:color w:val="auto"/>
          <w:spacing w:val="0"/>
          <w:position w:val="0"/>
          <w:sz w:val="16"/>
          <w:shd w:fill="auto" w:val="clear"/>
        </w:rPr>
        <w:t xml:space="preserv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pPr>
        <w:spacing w:before="0" w:after="200" w:line="240"/>
        <w:ind w:right="-568" w:left="0"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Náklady budúcich období a príjmy budúcich období</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Náklady budúcich období a príjmy budúcich období sa vykazujú vo výške, ktorá je potrebná na dodržanie zásady vecnej a </w:t>
      </w:r>
      <w:r>
        <w:rPr>
          <w:rFonts w:ascii="Calibri" w:hAnsi="Calibri" w:cs="Calibri" w:eastAsia="Calibri"/>
          <w:color w:val="auto"/>
          <w:spacing w:val="0"/>
          <w:position w:val="0"/>
          <w:sz w:val="16"/>
          <w:shd w:fill="auto" w:val="clear"/>
        </w:rPr>
        <w:t xml:space="preserve">časovej súvislosti s účtovným obdobím.</w:t>
      </w:r>
    </w:p>
    <w:p>
      <w:pPr>
        <w:spacing w:before="0" w:after="200" w:line="240"/>
        <w:ind w:right="-568" w:left="0"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Rezervy</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Rezervy sú záväzky s neur</w:t>
      </w:r>
      <w:r>
        <w:rPr>
          <w:rFonts w:ascii="Calibri" w:hAnsi="Calibri" w:cs="Calibri" w:eastAsia="Calibri"/>
          <w:color w:val="auto"/>
          <w:spacing w:val="0"/>
          <w:position w:val="0"/>
          <w:sz w:val="16"/>
          <w:shd w:fill="auto" w:val="clear"/>
        </w:rPr>
        <w:t xml:space="preserve">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spoločnosť tvorila zákonné rezervy v hodnote 24087,-- EURO na dovolenky a v hodnote 8437,-- EURO na poistné k dovolenkám</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spoločnosť tvorila nedaňové rezervy v hodnote 1600,-- EURO na audit a 1500,-- EURO na spracovanie účtovníctva</w:t>
      </w:r>
    </w:p>
    <w:p>
      <w:pPr>
        <w:spacing w:before="0" w:after="200" w:line="240"/>
        <w:ind w:right="-568" w:left="0" w:firstLine="0"/>
        <w:jc w:val="left"/>
        <w:rPr>
          <w:rFonts w:ascii="Arial Black" w:hAnsi="Arial Black" w:cs="Arial Black" w:eastAsia="Arial Black"/>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Záväzky </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Záväzky pri ich vzniku sa oce</w:t>
      </w:r>
      <w:r>
        <w:rPr>
          <w:rFonts w:ascii="Calibri" w:hAnsi="Calibri" w:cs="Calibri" w:eastAsia="Calibri"/>
          <w:color w:val="auto"/>
          <w:spacing w:val="0"/>
          <w:position w:val="0"/>
          <w:sz w:val="16"/>
          <w:shd w:fill="auto" w:val="clear"/>
        </w:rPr>
        <w:t xml:space="preserv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spoločnosť eviduje krátkodobé záväzky v hodnote 442.528,-- EURO</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spoločnosť eviduje dlhodobé záväzky v hodnote 44.593,-- EURO</w:t>
      </w:r>
    </w:p>
    <w:p>
      <w:pPr>
        <w:spacing w:before="0" w:after="200" w:line="240"/>
        <w:ind w:right="-568" w:left="0" w:firstLine="0"/>
        <w:jc w:val="left"/>
        <w:rPr>
          <w:rFonts w:ascii="Arial Black" w:hAnsi="Arial Black" w:cs="Arial Black" w:eastAsia="Arial Black"/>
          <w:color w:val="auto"/>
          <w:spacing w:val="0"/>
          <w:position w:val="0"/>
          <w:sz w:val="16"/>
          <w:shd w:fill="auto" w:val="clear"/>
        </w:rPr>
      </w:pPr>
      <w:r>
        <w:rPr>
          <w:rFonts w:ascii="Arial Black" w:hAnsi="Arial Black" w:cs="Arial Black" w:eastAsia="Arial Black"/>
          <w:color w:val="auto"/>
          <w:spacing w:val="0"/>
          <w:position w:val="0"/>
          <w:sz w:val="16"/>
          <w:shd w:fill="auto" w:val="clear"/>
        </w:rPr>
        <w:t xml:space="preserve">Odložené dane</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Odložené dane sa vz</w:t>
      </w:r>
      <w:r>
        <w:rPr>
          <w:rFonts w:ascii="Calibri" w:hAnsi="Calibri" w:cs="Calibri" w:eastAsia="Calibri"/>
          <w:color w:val="auto"/>
          <w:spacing w:val="0"/>
          <w:position w:val="0"/>
          <w:sz w:val="16"/>
          <w:shd w:fill="auto" w:val="clear"/>
        </w:rPr>
        <w:t xml:space="preserve">ťahujú na:</w:t>
      </w:r>
    </w:p>
    <w:p>
      <w:pPr>
        <w:numPr>
          <w:ilvl w:val="0"/>
          <w:numId w:val="20"/>
        </w:numPr>
        <w:spacing w:before="0" w:after="200" w:line="240"/>
        <w:ind w:right="-568" w:left="720" w:hanging="36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do</w:t>
      </w:r>
      <w:r>
        <w:rPr>
          <w:rFonts w:ascii="Calibri" w:hAnsi="Calibri" w:cs="Calibri" w:eastAsia="Calibri"/>
          <w:color w:val="auto"/>
          <w:spacing w:val="0"/>
          <w:position w:val="0"/>
          <w:sz w:val="16"/>
          <w:shd w:fill="auto" w:val="clear"/>
        </w:rPr>
        <w:t xml:space="preserve">časné rozdiely medzi účtovnou hodnotou majetku a účtovnou hodnotou záväzkov vykázanou v súvahe a ich daňovou základňou</w:t>
      </w:r>
    </w:p>
    <w:p>
      <w:pPr>
        <w:numPr>
          <w:ilvl w:val="0"/>
          <w:numId w:val="20"/>
        </w:numPr>
        <w:spacing w:before="0" w:after="200" w:line="240"/>
        <w:ind w:right="-568" w:left="720" w:hanging="36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možnos</w:t>
      </w:r>
      <w:r>
        <w:rPr>
          <w:rFonts w:ascii="Calibri" w:hAnsi="Calibri" w:cs="Calibri" w:eastAsia="Calibri"/>
          <w:color w:val="auto"/>
          <w:spacing w:val="0"/>
          <w:position w:val="0"/>
          <w:sz w:val="16"/>
          <w:shd w:fill="auto" w:val="clear"/>
        </w:rPr>
        <w:t xml:space="preserve">ť umorovať daňovú stratu v budúcnosti, ktorou sa rozumie možnosť odpočítať daňovú stratu od základu dane v budúcnosti</w:t>
      </w:r>
    </w:p>
    <w:p>
      <w:pPr>
        <w:numPr>
          <w:ilvl w:val="0"/>
          <w:numId w:val="20"/>
        </w:numPr>
        <w:spacing w:before="0" w:after="200" w:line="240"/>
        <w:ind w:right="-568" w:left="720" w:hanging="36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možnos</w:t>
      </w:r>
      <w:r>
        <w:rPr>
          <w:rFonts w:ascii="Calibri" w:hAnsi="Calibri" w:cs="Calibri" w:eastAsia="Calibri"/>
          <w:color w:val="auto"/>
          <w:spacing w:val="0"/>
          <w:position w:val="0"/>
          <w:sz w:val="16"/>
          <w:shd w:fill="auto" w:val="clear"/>
        </w:rPr>
        <w:t xml:space="preserve">ť previesť nevyužité daňové odpočty a iné daňové nároky do budúcich období</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Odložená da</w:t>
      </w:r>
      <w:r>
        <w:rPr>
          <w:rFonts w:ascii="Calibri" w:hAnsi="Calibri" w:cs="Calibri" w:eastAsia="Calibri"/>
          <w:color w:val="auto"/>
          <w:spacing w:val="0"/>
          <w:position w:val="0"/>
          <w:sz w:val="16"/>
          <w:shd w:fill="auto" w:val="clear"/>
        </w:rPr>
        <w:t xml:space="preserve">ň z príjmov sa účtuje použitím záväzkovej metódy.</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Poznámky Ú</w:t>
      </w:r>
      <w:r>
        <w:rPr>
          <w:rFonts w:ascii="Calibri" w:hAnsi="Calibri" w:cs="Calibri" w:eastAsia="Calibri"/>
          <w:color w:val="auto"/>
          <w:spacing w:val="0"/>
          <w:position w:val="0"/>
          <w:sz w:val="16"/>
          <w:shd w:fill="auto" w:val="clear"/>
        </w:rPr>
        <w:t xml:space="preserve">č PODV 3-01                                                                                                                                                                IČO:  36039977    DIČ: 2020084407</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Odložená da</w:t>
      </w:r>
      <w:r>
        <w:rPr>
          <w:rFonts w:ascii="Calibri" w:hAnsi="Calibri" w:cs="Calibri" w:eastAsia="Calibri"/>
          <w:color w:val="auto"/>
          <w:spacing w:val="0"/>
          <w:position w:val="0"/>
          <w:sz w:val="16"/>
          <w:shd w:fill="auto" w:val="clear"/>
        </w:rPr>
        <w:t xml:space="preserve">ň z príjmov sa stanovuje pomocou daňovej sadzby, ktorá je známa ku dňu, ku ktorému sa zostavuje účtovná závierka a očakáva sa jej platnosť v čase vyrovnania odloženého daňového záväzku.</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Odložené da</w:t>
      </w:r>
      <w:r>
        <w:rPr>
          <w:rFonts w:ascii="Calibri" w:hAnsi="Calibri" w:cs="Calibri" w:eastAsia="Calibri"/>
          <w:color w:val="auto"/>
          <w:spacing w:val="0"/>
          <w:position w:val="0"/>
          <w:sz w:val="16"/>
          <w:shd w:fill="auto" w:val="clear"/>
        </w:rPr>
        <w:t xml:space="preserve">ňové pohľadávky sa účtujú ak je pravdepodobné , že v budúcnosti bude generovaný zdaniteľný zisk, voči ktorému sa budú môcť dočasné rozdiely zrealizovať.</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spoločnosť ku dňu zostavenia závierky eviduje odložrné dane v sume -672,-- EURO</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Výdavky budúcich období a výnosy budúcich období</w:t>
      </w:r>
    </w:p>
    <w:p>
      <w:pPr>
        <w:spacing w:before="0" w:after="200" w:line="240"/>
        <w:ind w:right="-568" w:left="0" w:firstLine="0"/>
        <w:jc w:val="left"/>
        <w:rPr>
          <w:rFonts w:ascii="Arial Black" w:hAnsi="Arial Black" w:cs="Arial Black" w:eastAsia="Arial Black"/>
          <w:b/>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Výdavky budúcich období a výnosy budúcich období sa vykazujú vo výške, ktorá je potrebná na dodržanie zásady vecnej a </w:t>
      </w:r>
      <w:r>
        <w:rPr>
          <w:rFonts w:ascii="Calibri" w:hAnsi="Calibri" w:cs="Calibri" w:eastAsia="Calibri"/>
          <w:color w:val="auto"/>
          <w:spacing w:val="0"/>
          <w:position w:val="0"/>
          <w:sz w:val="16"/>
          <w:shd w:fill="auto" w:val="clear"/>
        </w:rPr>
        <w:t xml:space="preserve">časovej súvislosti s účtovným obdobím.</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výdavky budúcich období spoločnosť eviduje na zákonné poistenie v hodnote 5012,-- EURO, preplatné služny v hodnote 150,-- EURO a ostatné v hodnote 717,-- EURO</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Arial Black" w:hAnsi="Arial Black" w:cs="Arial Black" w:eastAsia="Arial Black"/>
          <w:color w:val="auto"/>
          <w:spacing w:val="0"/>
          <w:position w:val="0"/>
          <w:sz w:val="16"/>
          <w:shd w:fill="auto" w:val="clear"/>
        </w:rPr>
        <w:t xml:space="preserve">Cudzia mena</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Majetok a záväzky vyjadrené v cudzej mene sa ku d</w:t>
      </w:r>
      <w:r>
        <w:rPr>
          <w:rFonts w:ascii="Calibri" w:hAnsi="Calibri" w:cs="Calibri" w:eastAsia="Calibri"/>
          <w:color w:val="auto"/>
          <w:spacing w:val="0"/>
          <w:position w:val="0"/>
          <w:sz w:val="16"/>
          <w:shd w:fill="auto" w:val="clear"/>
        </w:rPr>
        <w:t xml:space="preserve">ňu uskutočnenia účtovného prípadu prepočítavajú na menu euro referenčným výmenným kurzom určeným a vyhláseným Európskou centrálnou bankou alebo Národnou bankou Slovenska v deň predchádzajúci dňu uskutočnenia účtovného prípadu.</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Majetok a záväzky vyjadrené v cudzej mene /okrem prijatých a poskytnutých preddavkov/ sa ku d</w:t>
      </w:r>
      <w:r>
        <w:rPr>
          <w:rFonts w:ascii="Calibri" w:hAnsi="Calibri" w:cs="Calibri" w:eastAsia="Calibri"/>
          <w:color w:val="auto"/>
          <w:spacing w:val="0"/>
          <w:position w:val="0"/>
          <w:sz w:val="16"/>
          <w:shd w:fill="auto" w:val="clear"/>
        </w:rPr>
        <w:t xml:space="preserve">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Arial Black" w:hAnsi="Arial Black" w:cs="Arial Black" w:eastAsia="Arial Black"/>
          <w:color w:val="auto"/>
          <w:spacing w:val="0"/>
          <w:position w:val="0"/>
          <w:sz w:val="16"/>
          <w:shd w:fill="auto" w:val="clear"/>
        </w:rPr>
      </w:pPr>
      <w:r>
        <w:rPr>
          <w:rFonts w:ascii="Arial Black" w:hAnsi="Arial Black" w:cs="Arial Black" w:eastAsia="Arial Black"/>
          <w:color w:val="auto"/>
          <w:spacing w:val="0"/>
          <w:position w:val="0"/>
          <w:sz w:val="16"/>
          <w:shd w:fill="auto" w:val="clear"/>
        </w:rPr>
        <w:t xml:space="preserve">Výnosy</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Tržby za vlastné výkony a tovar neobsahujú da</w:t>
      </w:r>
      <w:r>
        <w:rPr>
          <w:rFonts w:ascii="Calibri" w:hAnsi="Calibri" w:cs="Calibri" w:eastAsia="Calibri"/>
          <w:color w:val="auto"/>
          <w:spacing w:val="0"/>
          <w:position w:val="0"/>
          <w:sz w:val="16"/>
          <w:shd w:fill="auto" w:val="clear"/>
        </w:rPr>
        <w:t xml:space="preserve">ň z pridanej hodnoty a sú znížené o zľavy a zrážky /rabaty, bonusy, skontá, dobropisy a pod./ bez ohľadu na to, či zákazník mal vopred nárok, alebo či ide o dodatočne uznanú zľavu.</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tržby za tovar spoločnosť eviduje v hodnote 3.187.900,-- EURO</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tržby za služby spoločnosť eviduje v hodnote 100.606.-- EURO</w:t>
      </w:r>
    </w:p>
    <w:p>
      <w:pPr>
        <w:spacing w:before="0" w:after="200" w:line="240"/>
        <w:ind w:right="-568" w:left="-142" w:hanging="284"/>
        <w:jc w:val="left"/>
        <w:rPr>
          <w:rFonts w:ascii="Calibri" w:hAnsi="Calibri" w:cs="Calibri" w:eastAsia="Calibri"/>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Poznámky Ú</w:t>
      </w:r>
      <w:r>
        <w:rPr>
          <w:rFonts w:ascii="Calibri" w:hAnsi="Calibri" w:cs="Calibri" w:eastAsia="Calibri"/>
          <w:color w:val="auto"/>
          <w:spacing w:val="0"/>
          <w:position w:val="0"/>
          <w:sz w:val="16"/>
          <w:shd w:fill="auto" w:val="clear"/>
        </w:rPr>
        <w:t xml:space="preserve">č PODV 3-01                                                                                                                                                                IČO:  36039977    DIČ: 2020084407</w:t>
      </w:r>
    </w:p>
    <w:p>
      <w:pPr>
        <w:spacing w:before="0" w:after="200" w:line="240"/>
        <w:ind w:right="-568" w:left="0" w:firstLine="0"/>
        <w:jc w:val="left"/>
        <w:rPr>
          <w:rFonts w:ascii="Arial Black" w:hAnsi="Arial Black" w:cs="Arial Black" w:eastAsia="Arial Black"/>
          <w:b/>
          <w:color w:val="auto"/>
          <w:spacing w:val="0"/>
          <w:position w:val="0"/>
          <w:sz w:val="16"/>
          <w:shd w:fill="auto" w:val="clear"/>
        </w:rPr>
      </w:pPr>
      <w:r>
        <w:rPr>
          <w:rFonts w:ascii="Arial Black" w:hAnsi="Arial Black" w:cs="Arial Black" w:eastAsia="Arial Black"/>
          <w:b/>
          <w:color w:val="auto"/>
          <w:spacing w:val="0"/>
          <w:position w:val="0"/>
          <w:sz w:val="16"/>
          <w:shd w:fill="auto" w:val="clear"/>
        </w:rPr>
        <w:t xml:space="preserve">Oprava chýb minulých ú</w:t>
      </w:r>
      <w:r>
        <w:rPr>
          <w:rFonts w:ascii="Arial Black" w:hAnsi="Arial Black" w:cs="Arial Black" w:eastAsia="Arial Black"/>
          <w:b/>
          <w:color w:val="auto"/>
          <w:spacing w:val="0"/>
          <w:position w:val="0"/>
          <w:sz w:val="16"/>
          <w:shd w:fill="auto" w:val="clear"/>
        </w:rPr>
        <w:t xml:space="preserve">čtovných období</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V roku 2018 spolo</w:t>
      </w:r>
      <w:r>
        <w:rPr>
          <w:rFonts w:ascii="Calibri" w:hAnsi="Calibri" w:cs="Calibri" w:eastAsia="Calibri"/>
          <w:color w:val="auto"/>
          <w:spacing w:val="0"/>
          <w:position w:val="0"/>
          <w:sz w:val="16"/>
          <w:shd w:fill="auto" w:val="clear"/>
        </w:rPr>
        <w:t xml:space="preserve">čnosť neúčtovala o oprave chýb minulých účtovných období.</w:t>
      </w:r>
    </w:p>
    <w:p>
      <w:pPr>
        <w:spacing w:before="0" w:after="200" w:line="240"/>
        <w:ind w:right="-568" w:left="0" w:firstLine="0"/>
        <w:jc w:val="left"/>
        <w:rPr>
          <w:rFonts w:ascii="Calibri" w:hAnsi="Calibri" w:cs="Calibri" w:eastAsia="Calibri"/>
          <w:color w:val="auto"/>
          <w:spacing w:val="0"/>
          <w:position w:val="0"/>
          <w:sz w:val="16"/>
          <w:shd w:fill="auto" w:val="clear"/>
        </w:rPr>
      </w:pPr>
    </w:p>
    <w:p>
      <w:pPr>
        <w:numPr>
          <w:ilvl w:val="0"/>
          <w:numId w:val="28"/>
        </w:numPr>
        <w:spacing w:before="0" w:after="200" w:line="240"/>
        <w:ind w:right="-568" w:left="-66" w:hanging="36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Informácie k položkám súvahy z výkazu ziskov a strát</w:t>
      </w:r>
    </w:p>
    <w:p>
      <w:pPr>
        <w:spacing w:before="0" w:after="200" w:line="240"/>
        <w:ind w:right="-568" w:left="-66" w:firstLine="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b/>
          <w:color w:val="auto"/>
          <w:spacing w:val="0"/>
          <w:position w:val="0"/>
          <w:sz w:val="16"/>
          <w:shd w:fill="auto" w:val="clear"/>
        </w:rPr>
        <w:t xml:space="preserve"> </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Informácie o záväzkoch</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Názov položky                                                                                Bežné ú</w:t>
      </w:r>
      <w:r>
        <w:rPr>
          <w:rFonts w:ascii="Calibri" w:hAnsi="Calibri" w:cs="Calibri" w:eastAsia="Calibri"/>
          <w:b/>
          <w:color w:val="auto"/>
          <w:spacing w:val="0"/>
          <w:position w:val="0"/>
          <w:sz w:val="16"/>
          <w:shd w:fill="auto" w:val="clear"/>
        </w:rPr>
        <w:t xml:space="preserve">čtovné obdobie                                 Bezprostredne predchádzajúce</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                                                                                                                                                                                               ú</w:t>
      </w:r>
      <w:r>
        <w:rPr>
          <w:rFonts w:ascii="Calibri" w:hAnsi="Calibri" w:cs="Calibri" w:eastAsia="Calibri"/>
          <w:b/>
          <w:color w:val="auto"/>
          <w:spacing w:val="0"/>
          <w:position w:val="0"/>
          <w:sz w:val="16"/>
          <w:shd w:fill="auto" w:val="clear"/>
        </w:rPr>
        <w:t xml:space="preserve">čtovné obdobie</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Spolu :</w:t>
        <w:tab/>
        <w:tab/>
        <w:tab/>
        <w:tab/>
        <w:tab/>
        <w:t xml:space="preserve">     487.121,-- EORO</w:t>
        <w:tab/>
        <w:tab/>
        <w:tab/>
        <w:t xml:space="preserve">289.176,-- EURO</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z toho :</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Záväzky po lehote splatnosti                                                               </w:t>
      </w:r>
      <w:r>
        <w:rPr>
          <w:rFonts w:ascii="Calibri" w:hAnsi="Calibri" w:cs="Calibri" w:eastAsia="Calibri"/>
          <w:color w:val="auto"/>
          <w:spacing w:val="0"/>
          <w:position w:val="0"/>
          <w:sz w:val="16"/>
          <w:shd w:fill="auto" w:val="clear"/>
        </w:rPr>
        <w:t xml:space="preserve">4.861,-- EURO</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Záväzky so zostatkovou dobou splatnosti                                 </w:t>
      </w:r>
      <w:r>
        <w:rPr>
          <w:rFonts w:ascii="Calibri" w:hAnsi="Calibri" w:cs="Calibri" w:eastAsia="Calibri"/>
          <w:color w:val="auto"/>
          <w:spacing w:val="0"/>
          <w:position w:val="0"/>
          <w:sz w:val="16"/>
          <w:shd w:fill="auto" w:val="clear"/>
        </w:rPr>
        <w:t xml:space="preserve">437.667,-- EURO</w:t>
        <w:tab/>
        <w:tab/>
        <w:tab/>
        <w:t xml:space="preserve">288.941,-- EURO</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do jedného roka vrátane                                                                      </w:t>
      </w:r>
      <w:r>
        <w:rPr>
          <w:rFonts w:ascii="Calibri" w:hAnsi="Calibri" w:cs="Calibri" w:eastAsia="Calibri"/>
          <w:color w:val="auto"/>
          <w:spacing w:val="0"/>
          <w:position w:val="0"/>
          <w:sz w:val="16"/>
          <w:shd w:fill="auto" w:val="clear"/>
        </w:rPr>
        <w:tab/>
        <w:tab/>
        <w:tab/>
        <w:tab/>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b/>
          <w:color w:val="auto"/>
          <w:spacing w:val="0"/>
          <w:position w:val="0"/>
          <w:sz w:val="16"/>
          <w:shd w:fill="auto" w:val="clear"/>
        </w:rPr>
        <w:t xml:space="preserve">Krátkodobé záväzky spolu                                                                       </w:t>
      </w:r>
      <w:r>
        <w:rPr>
          <w:rFonts w:ascii="Calibri" w:hAnsi="Calibri" w:cs="Calibri" w:eastAsia="Calibri"/>
          <w:b/>
          <w:color w:val="auto"/>
          <w:spacing w:val="0"/>
          <w:position w:val="0"/>
          <w:sz w:val="16"/>
          <w:shd w:fill="auto" w:val="clear"/>
        </w:rPr>
        <w:t xml:space="preserve">442.528,-- EURO</w:t>
      </w:r>
      <w:r>
        <w:rPr>
          <w:rFonts w:ascii="Calibri" w:hAnsi="Calibri" w:cs="Calibri" w:eastAsia="Calibri"/>
          <w:color w:val="auto"/>
          <w:spacing w:val="0"/>
          <w:position w:val="0"/>
          <w:sz w:val="16"/>
          <w:shd w:fill="auto" w:val="clear"/>
        </w:rPr>
        <w:t xml:space="preserve">EURO</w:t>
        <w:tab/>
        <w:t xml:space="preserve">288.941,-- EURO</w:t>
      </w:r>
    </w:p>
    <w:p>
      <w:pPr>
        <w:spacing w:before="0" w:after="200" w:line="240"/>
        <w:ind w:right="-568" w:left="0" w:firstLine="0"/>
        <w:jc w:val="left"/>
        <w:rPr>
          <w:rFonts w:ascii="Calibri" w:hAnsi="Calibri" w:cs="Calibri" w:eastAsia="Calibri"/>
          <w:b/>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Záväzky so zostatkovou dobou splatnosti</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jeden rok až pä</w:t>
      </w:r>
      <w:r>
        <w:rPr>
          <w:rFonts w:ascii="Calibri" w:hAnsi="Calibri" w:cs="Calibri" w:eastAsia="Calibri"/>
          <w:color w:val="auto"/>
          <w:spacing w:val="0"/>
          <w:position w:val="0"/>
          <w:sz w:val="16"/>
          <w:shd w:fill="auto" w:val="clear"/>
        </w:rPr>
        <w:t xml:space="preserve">ť rokov                                            </w:t>
        <w:tab/>
        <w:t xml:space="preserve">   38.143,-- EURO</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                                </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Záväzky so zostatkovou dobou splatnosti</w:t>
      </w:r>
    </w:p>
    <w:p>
      <w:pPr>
        <w:spacing w:before="0" w:after="200" w:line="240"/>
        <w:ind w:right="-568" w:left="0"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nad 5 rokov                                 </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Dlhodobé záväzky                                                                                         </w:t>
      </w:r>
      <w:r>
        <w:rPr>
          <w:rFonts w:ascii="Calibri" w:hAnsi="Calibri" w:cs="Calibri" w:eastAsia="Calibri"/>
          <w:b/>
          <w:color w:val="auto"/>
          <w:spacing w:val="0"/>
          <w:position w:val="0"/>
          <w:sz w:val="16"/>
          <w:shd w:fill="auto" w:val="clear"/>
        </w:rPr>
        <w:t xml:space="preserve">44.593,--EURO</w:t>
        <w:tab/>
        <w:tab/>
        <w:t xml:space="preserve">           235,-- EURO</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z toho :</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leasing</w:t>
        <w:tab/>
        <w:tab/>
        <w:tab/>
        <w:tab/>
        <w:tab/>
        <w:t xml:space="preserve">         19667,-- EURO</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úver - autokredit</w:t>
        <w:tab/>
        <w:tab/>
        <w:tab/>
        <w:t xml:space="preserve">                                 23.034,-- EURO</w:t>
      </w:r>
    </w:p>
    <w:p>
      <w:pPr>
        <w:spacing w:before="0" w:after="200" w:line="240"/>
        <w:ind w:right="-568" w:left="0" w:firstLine="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sociálny fond</w:t>
        <w:tab/>
        <w:tab/>
        <w:tab/>
        <w:t xml:space="preserve">                                    1892,-- EURO</w:t>
      </w: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0" w:firstLine="0"/>
        <w:jc w:val="left"/>
        <w:rPr>
          <w:rFonts w:ascii="Calibri" w:hAnsi="Calibri" w:cs="Calibri" w:eastAsia="Calibri"/>
          <w:color w:val="auto"/>
          <w:spacing w:val="0"/>
          <w:position w:val="0"/>
          <w:sz w:val="16"/>
          <w:shd w:fill="auto" w:val="clear"/>
        </w:rPr>
      </w:pPr>
    </w:p>
    <w:p>
      <w:pPr>
        <w:spacing w:before="0" w:after="200" w:line="240"/>
        <w:ind w:right="-568" w:left="-142" w:hanging="284"/>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Poznámky Ú</w:t>
      </w:r>
      <w:r>
        <w:rPr>
          <w:rFonts w:ascii="Calibri" w:hAnsi="Calibri" w:cs="Calibri" w:eastAsia="Calibri"/>
          <w:color w:val="auto"/>
          <w:spacing w:val="0"/>
          <w:position w:val="0"/>
          <w:sz w:val="16"/>
          <w:shd w:fill="auto" w:val="clear"/>
        </w:rPr>
        <w:t xml:space="preserve">č PODV 3-01                                                                                                                                                                IČO:  36039977    DIČ: 2020084407</w:t>
      </w:r>
    </w:p>
    <w:p>
      <w:pPr>
        <w:numPr>
          <w:ilvl w:val="0"/>
          <w:numId w:val="36"/>
        </w:numPr>
        <w:spacing w:before="0" w:after="200" w:line="240"/>
        <w:ind w:right="-568" w:left="-66" w:hanging="360"/>
        <w:jc w:val="left"/>
        <w:rPr>
          <w:rFonts w:ascii="Book Antiqua" w:hAnsi="Book Antiqua" w:cs="Book Antiqua" w:eastAsia="Book Antiqua"/>
          <w:b/>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 </w:t>
      </w:r>
      <w:r>
        <w:rPr>
          <w:rFonts w:ascii="Book Antiqua" w:hAnsi="Book Antiqua" w:cs="Book Antiqua" w:eastAsia="Book Antiqua"/>
          <w:b/>
          <w:color w:val="auto"/>
          <w:spacing w:val="0"/>
          <w:position w:val="0"/>
          <w:sz w:val="16"/>
          <w:shd w:fill="auto" w:val="clear"/>
        </w:rPr>
        <w:t xml:space="preserve">Informácie o iných aktívach a pasívach</w:t>
      </w:r>
    </w:p>
    <w:p>
      <w:pPr>
        <w:spacing w:before="0" w:after="200" w:line="240"/>
        <w:ind w:right="-568" w:left="-66"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Spolo</w:t>
      </w:r>
      <w:r>
        <w:rPr>
          <w:rFonts w:ascii="Calibri" w:hAnsi="Calibri" w:cs="Calibri" w:eastAsia="Calibri"/>
          <w:color w:val="auto"/>
          <w:spacing w:val="0"/>
          <w:position w:val="0"/>
          <w:sz w:val="16"/>
          <w:shd w:fill="auto" w:val="clear"/>
        </w:rPr>
        <w:t xml:space="preserve">čnosť nemá podmienené záväzky. </w:t>
      </w:r>
    </w:p>
    <w:p>
      <w:pPr>
        <w:spacing w:before="0" w:after="200" w:line="240"/>
        <w:ind w:right="-568" w:left="-66" w:firstLine="0"/>
        <w:jc w:val="left"/>
        <w:rPr>
          <w:rFonts w:ascii="Calibri" w:hAnsi="Calibri" w:cs="Calibri" w:eastAsia="Calibri"/>
          <w:color w:val="auto"/>
          <w:spacing w:val="0"/>
          <w:position w:val="0"/>
          <w:sz w:val="16"/>
          <w:shd w:fill="auto" w:val="clear"/>
        </w:rPr>
      </w:pPr>
    </w:p>
    <w:p>
      <w:pPr>
        <w:numPr>
          <w:ilvl w:val="0"/>
          <w:numId w:val="38"/>
        </w:numPr>
        <w:spacing w:before="0" w:after="200" w:line="240"/>
        <w:ind w:right="-568" w:left="-66" w:hanging="360"/>
        <w:jc w:val="left"/>
        <w:rPr>
          <w:rFonts w:ascii="Calibri" w:hAnsi="Calibri" w:cs="Calibri" w:eastAsia="Calibri"/>
          <w:b/>
          <w:color w:val="auto"/>
          <w:spacing w:val="0"/>
          <w:position w:val="0"/>
          <w:sz w:val="16"/>
          <w:shd w:fill="auto" w:val="clear"/>
        </w:rPr>
      </w:pPr>
      <w:r>
        <w:rPr>
          <w:rFonts w:ascii="Calibri" w:hAnsi="Calibri" w:cs="Calibri" w:eastAsia="Calibri"/>
          <w:b/>
          <w:color w:val="auto"/>
          <w:spacing w:val="0"/>
          <w:position w:val="0"/>
          <w:sz w:val="16"/>
          <w:shd w:fill="auto" w:val="clear"/>
        </w:rPr>
        <w:t xml:space="preserve"> Informácie o skuto</w:t>
      </w:r>
      <w:r>
        <w:rPr>
          <w:rFonts w:ascii="Calibri" w:hAnsi="Calibri" w:cs="Calibri" w:eastAsia="Calibri"/>
          <w:b/>
          <w:color w:val="auto"/>
          <w:spacing w:val="0"/>
          <w:position w:val="0"/>
          <w:sz w:val="16"/>
          <w:shd w:fill="auto" w:val="clear"/>
        </w:rPr>
        <w:t xml:space="preserve">čnostiach, ktoré nastali po dni, ku ktorému sa zostavuje účtovná závierka  </w:t>
      </w:r>
    </w:p>
    <w:p>
      <w:pPr>
        <w:spacing w:before="0" w:after="200" w:line="240"/>
        <w:ind w:right="-568" w:left="142" w:firstLine="0"/>
        <w:jc w:val="left"/>
        <w:rPr>
          <w:rFonts w:ascii="Calibri" w:hAnsi="Calibri" w:cs="Calibri" w:eastAsia="Calibri"/>
          <w:color w:val="auto"/>
          <w:spacing w:val="0"/>
          <w:position w:val="0"/>
          <w:sz w:val="16"/>
          <w:shd w:fill="auto" w:val="clear"/>
        </w:rPr>
      </w:pPr>
      <w:r>
        <w:rPr>
          <w:rFonts w:ascii="Calibri" w:hAnsi="Calibri" w:cs="Calibri" w:eastAsia="Calibri"/>
          <w:color w:val="auto"/>
          <w:spacing w:val="0"/>
          <w:position w:val="0"/>
          <w:sz w:val="16"/>
          <w:shd w:fill="auto" w:val="clear"/>
        </w:rPr>
        <w:t xml:space="preserve">nenastali</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40"/>
        <w:ind w:right="-568" w:left="-284" w:firstLine="0"/>
        <w:jc w:val="left"/>
        <w:rPr>
          <w:rFonts w:ascii="Book Antiqua" w:hAnsi="Book Antiqua" w:cs="Book Antiqua" w:eastAsia="Book Antiqua"/>
          <w:color w:val="auto"/>
          <w:spacing w:val="0"/>
          <w:position w:val="0"/>
          <w:sz w:val="16"/>
          <w:shd w:fill="auto" w:val="clear"/>
        </w:rPr>
      </w:pPr>
      <w:r>
        <w:rPr>
          <w:rFonts w:ascii="Book Antiqua" w:hAnsi="Book Antiqua" w:cs="Book Antiqua" w:eastAsia="Book Antiqua"/>
          <w:color w:val="auto"/>
          <w:spacing w:val="0"/>
          <w:position w:val="0"/>
          <w:sz w:val="16"/>
          <w:shd w:fill="auto" w:val="clear"/>
        </w:rPr>
        <w:t xml:space="preserve">   </w:t>
      </w:r>
    </w:p>
    <w:p>
      <w:pPr>
        <w:spacing w:before="0" w:after="200" w:line="240"/>
        <w:ind w:right="0" w:left="0" w:firstLine="0"/>
        <w:jc w:val="left"/>
        <w:rPr>
          <w:rFonts w:ascii="Calibri" w:hAnsi="Calibri" w:cs="Calibri" w:eastAsia="Calibri"/>
          <w:color w:val="auto"/>
          <w:spacing w:val="0"/>
          <w:position w:val="0"/>
          <w:sz w:val="22"/>
          <w:shd w:fill="auto" w:val="clear"/>
        </w:rPr>
      </w:pPr>
    </w:p>
    <w:p>
      <w:pPr>
        <w:spacing w:before="0" w:after="200" w:line="240"/>
        <w:ind w:right="0" w:left="0" w:firstLine="0"/>
        <w:jc w:val="left"/>
        <w:rPr>
          <w:rFonts w:ascii="Calibri" w:hAnsi="Calibri" w:cs="Calibri" w:eastAsia="Calibri"/>
          <w:color w:val="auto"/>
          <w:spacing w:val="0"/>
          <w:position w:val="0"/>
          <w:sz w:val="22"/>
          <w:shd w:fill="auto" w:val="clear"/>
        </w:rPr>
      </w:pPr>
    </w:p>
    <w:p>
      <w:pPr>
        <w:spacing w:before="0" w:after="200" w:line="240"/>
        <w:ind w:right="0" w:left="0" w:firstLine="0"/>
        <w:jc w:val="left"/>
        <w:rPr>
          <w:rFonts w:ascii="Calibri" w:hAnsi="Calibri" w:cs="Calibri" w:eastAsia="Calibri"/>
          <w:color w:val="auto"/>
          <w:spacing w:val="0"/>
          <w:position w:val="0"/>
          <w:sz w:val="16"/>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num w:numId="3">
    <w:abstractNumId w:val="48"/>
  </w:num>
  <w:num w:numId="6">
    <w:abstractNumId w:val="42"/>
  </w:num>
  <w:num w:numId="8">
    <w:abstractNumId w:val="36"/>
  </w:num>
  <w:num w:numId="11">
    <w:abstractNumId w:val="30"/>
  </w:num>
  <w:num w:numId="15">
    <w:abstractNumId w:val="24"/>
  </w:num>
  <w:num w:numId="20">
    <w:abstractNumId w:val="18"/>
  </w:num>
  <w:num w:numId="28">
    <w:abstractNumId w:val="12"/>
  </w:num>
  <w:num w:numId="36">
    <w:abstractNumId w:val="6"/>
  </w:num>
  <w:num w:numId="38">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