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02D35" w14:textId="77777777" w:rsidR="00E26BF3" w:rsidRPr="00BB1162" w:rsidRDefault="00E26BF3" w:rsidP="0067301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Poznámky k 31.12.201</w:t>
      </w:r>
      <w:r w:rsidR="006F27E5">
        <w:rPr>
          <w:rFonts w:ascii="Arial" w:hAnsi="Arial" w:cs="Arial"/>
          <w:b/>
          <w:bCs/>
          <w:sz w:val="24"/>
          <w:szCs w:val="24"/>
          <w:lang w:eastAsia="sk-SK"/>
        </w:rPr>
        <w:t>8</w:t>
      </w:r>
    </w:p>
    <w:p w14:paraId="3C330B71" w14:textId="77777777" w:rsidR="00E26BF3" w:rsidRPr="00BB1162" w:rsidRDefault="00E26BF3" w:rsidP="0067301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ako súčasť konsolidovanej účtovnej závierky</w:t>
      </w:r>
    </w:p>
    <w:p w14:paraId="0D4AC8F1" w14:textId="77777777" w:rsidR="00E26BF3" w:rsidRPr="00BB1162" w:rsidRDefault="00E26BF3" w:rsidP="0067301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 xml:space="preserve">účtovnej jednotky verejnej správy </w:t>
      </w:r>
    </w:p>
    <w:p w14:paraId="090B85B1" w14:textId="77777777" w:rsidR="00E26BF3" w:rsidRDefault="00E26BF3" w:rsidP="00BB1162">
      <w:p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</w:p>
    <w:p w14:paraId="1A149D5D" w14:textId="77777777" w:rsidR="00E26BF3" w:rsidRPr="00BB1162" w:rsidRDefault="00E26BF3" w:rsidP="00BB1162">
      <w:p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</w:p>
    <w:p w14:paraId="23E5A5E5" w14:textId="77777777" w:rsidR="00E26BF3" w:rsidRPr="00BB1162" w:rsidRDefault="00E26BF3" w:rsidP="00BB1162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Čl. I</w:t>
      </w:r>
    </w:p>
    <w:p w14:paraId="3C1A0301" w14:textId="77777777" w:rsidR="00E26BF3" w:rsidRPr="00BB1162" w:rsidRDefault="00E26BF3" w:rsidP="00BB1162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Všeobecné údaje</w:t>
      </w:r>
    </w:p>
    <w:p w14:paraId="4CF21BC6" w14:textId="77777777" w:rsidR="00E26BF3" w:rsidRPr="00673018" w:rsidRDefault="00E26BF3" w:rsidP="00BB1162">
      <w:pPr>
        <w:spacing w:after="0" w:line="360" w:lineRule="auto"/>
        <w:jc w:val="center"/>
        <w:rPr>
          <w:rFonts w:ascii="Arial" w:hAnsi="Arial" w:cs="Arial"/>
          <w:sz w:val="16"/>
          <w:szCs w:val="16"/>
          <w:lang w:eastAsia="sk-SK"/>
        </w:rPr>
      </w:pPr>
    </w:p>
    <w:p w14:paraId="7F204FAC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Identifikačné údaje o  konsolidujúcej účtovnej jednotke</w:t>
      </w:r>
    </w:p>
    <w:p w14:paraId="159D6409" w14:textId="77777777" w:rsidR="00E26BF3" w:rsidRPr="00BB1162" w:rsidRDefault="00E26BF3" w:rsidP="00673018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6BF3" w:rsidRPr="00E8399F" w14:paraId="78C86537" w14:textId="77777777">
        <w:tc>
          <w:tcPr>
            <w:tcW w:w="4781" w:type="dxa"/>
            <w:vAlign w:val="center"/>
          </w:tcPr>
          <w:p w14:paraId="52136C22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Názov konsolidujúcej účtovnej jednotky</w:t>
            </w:r>
          </w:p>
        </w:tc>
        <w:tc>
          <w:tcPr>
            <w:tcW w:w="5479" w:type="dxa"/>
          </w:tcPr>
          <w:p w14:paraId="4E283D67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 xml:space="preserve">Obec 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Bernolákovo</w:t>
            </w:r>
          </w:p>
        </w:tc>
      </w:tr>
      <w:tr w:rsidR="00E26BF3" w:rsidRPr="00E8399F" w14:paraId="51E2839B" w14:textId="77777777">
        <w:tc>
          <w:tcPr>
            <w:tcW w:w="4781" w:type="dxa"/>
            <w:vAlign w:val="center"/>
          </w:tcPr>
          <w:p w14:paraId="3ADFF627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Sídlo konsolidujúcej účtovnej jednotky</w:t>
            </w:r>
          </w:p>
        </w:tc>
        <w:tc>
          <w:tcPr>
            <w:tcW w:w="5479" w:type="dxa"/>
          </w:tcPr>
          <w:p w14:paraId="3CF303B8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Hlavná 111</w:t>
            </w: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, 900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 xml:space="preserve"> 27</w:t>
            </w: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 xml:space="preserve"> Bernolákovo</w:t>
            </w:r>
          </w:p>
        </w:tc>
      </w:tr>
      <w:tr w:rsidR="00E26BF3" w:rsidRPr="00E8399F" w14:paraId="206B35D1" w14:textId="77777777">
        <w:tc>
          <w:tcPr>
            <w:tcW w:w="4781" w:type="dxa"/>
            <w:vAlign w:val="center"/>
          </w:tcPr>
          <w:p w14:paraId="79DFC25F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830BA63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01</w:t>
            </w: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01</w:t>
            </w: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.199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1, podľa zákona č. 369/1990 Zb.</w:t>
            </w:r>
          </w:p>
        </w:tc>
      </w:tr>
    </w:tbl>
    <w:p w14:paraId="4BFC6233" w14:textId="77777777" w:rsidR="00E26BF3" w:rsidRDefault="00E26BF3" w:rsidP="00E21F74">
      <w:p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2C501F1D" w14:textId="77777777" w:rsidR="00E26BF3" w:rsidRPr="00E21F74" w:rsidRDefault="00E26BF3" w:rsidP="00E21F74">
      <w:pPr>
        <w:spacing w:after="0" w:line="240" w:lineRule="auto"/>
        <w:rPr>
          <w:rFonts w:ascii="Arial" w:hAnsi="Arial" w:cs="Arial"/>
          <w:sz w:val="16"/>
          <w:szCs w:val="16"/>
          <w:lang w:eastAsia="sk-SK"/>
        </w:rPr>
      </w:pPr>
    </w:p>
    <w:p w14:paraId="18C6542F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Identifikačné údaje o konsolidovaných  účtovných  jednotkách – rozpočtových organizáciách v zriaďovateľskej pôsobnosti konsolidujúcej účtovnej jednotky</w:t>
      </w:r>
    </w:p>
    <w:p w14:paraId="0B984ED7" w14:textId="77777777" w:rsidR="00E26BF3" w:rsidRPr="00BB1162" w:rsidRDefault="00E26BF3" w:rsidP="00673018">
      <w:p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6BF3" w:rsidRPr="00E8399F" w14:paraId="173F11AF" w14:textId="77777777">
        <w:tc>
          <w:tcPr>
            <w:tcW w:w="4781" w:type="dxa"/>
            <w:vAlign w:val="center"/>
          </w:tcPr>
          <w:p w14:paraId="6D1557AF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Názov konsolidovanej účtovnej jednotky</w:t>
            </w:r>
          </w:p>
        </w:tc>
        <w:tc>
          <w:tcPr>
            <w:tcW w:w="5479" w:type="dxa"/>
          </w:tcPr>
          <w:p w14:paraId="66D1BCA6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 xml:space="preserve">Základná škola 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Bernolákovo</w:t>
            </w:r>
          </w:p>
        </w:tc>
      </w:tr>
      <w:tr w:rsidR="00E26BF3" w:rsidRPr="00E8399F" w14:paraId="4F9C818C" w14:textId="77777777">
        <w:tc>
          <w:tcPr>
            <w:tcW w:w="4781" w:type="dxa"/>
            <w:vAlign w:val="center"/>
          </w:tcPr>
          <w:p w14:paraId="69963732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Sídlo konsolidovanej účtovnej jednotky</w:t>
            </w:r>
          </w:p>
        </w:tc>
        <w:tc>
          <w:tcPr>
            <w:tcW w:w="5479" w:type="dxa"/>
          </w:tcPr>
          <w:p w14:paraId="42D06416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Komenského č. 3, 90027  Bernolákovo</w:t>
            </w:r>
          </w:p>
        </w:tc>
      </w:tr>
      <w:tr w:rsidR="00E26BF3" w:rsidRPr="00E8399F" w14:paraId="5DAD49A5" w14:textId="77777777">
        <w:tc>
          <w:tcPr>
            <w:tcW w:w="4781" w:type="dxa"/>
            <w:vAlign w:val="center"/>
          </w:tcPr>
          <w:p w14:paraId="4222C4BB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AE210DA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01.0</w:t>
            </w: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7</w:t>
            </w: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.2002</w:t>
            </w:r>
          </w:p>
        </w:tc>
      </w:tr>
      <w:tr w:rsidR="00E26BF3" w:rsidRPr="00E8399F" w14:paraId="221A4DF5" w14:textId="77777777">
        <w:tc>
          <w:tcPr>
            <w:tcW w:w="4781" w:type="dxa"/>
            <w:vAlign w:val="center"/>
          </w:tcPr>
          <w:p w14:paraId="5BEF1F99" w14:textId="77777777" w:rsidR="00E26BF3" w:rsidRPr="008B5E24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5E24">
              <w:rPr>
                <w:rFonts w:ascii="Arial" w:hAnsi="Arial" w:cs="Arial"/>
                <w:sz w:val="24"/>
                <w:szCs w:val="24"/>
                <w:lang w:eastAsia="sk-SK"/>
              </w:rPr>
              <w:t>Podiel a vplyv na základnom imaní</w:t>
            </w:r>
          </w:p>
        </w:tc>
        <w:tc>
          <w:tcPr>
            <w:tcW w:w="5479" w:type="dxa"/>
          </w:tcPr>
          <w:p w14:paraId="7F9C168E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100%</w:t>
            </w:r>
          </w:p>
        </w:tc>
      </w:tr>
    </w:tbl>
    <w:p w14:paraId="662D79F5" w14:textId="77777777" w:rsidR="00E26BF3" w:rsidRDefault="00E26BF3" w:rsidP="00E21F74">
      <w:pPr>
        <w:spacing w:after="0" w:line="240" w:lineRule="auto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79AC908E" w14:textId="77777777" w:rsidR="00E26BF3" w:rsidRPr="00E21F74" w:rsidRDefault="00E26BF3" w:rsidP="00E21F74">
      <w:pPr>
        <w:spacing w:after="0" w:line="240" w:lineRule="auto"/>
        <w:rPr>
          <w:rFonts w:ascii="Arial" w:hAnsi="Arial" w:cs="Arial"/>
          <w:b/>
          <w:bCs/>
          <w:sz w:val="16"/>
          <w:szCs w:val="16"/>
          <w:lang w:eastAsia="sk-SK"/>
        </w:rPr>
      </w:pPr>
    </w:p>
    <w:p w14:paraId="6C328EA5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 xml:space="preserve">Informácie o zamestnancoch konsolidovaného celku </w:t>
      </w:r>
    </w:p>
    <w:p w14:paraId="6A9741E8" w14:textId="77777777" w:rsidR="00E26BF3" w:rsidRPr="00BB1162" w:rsidRDefault="00E26BF3" w:rsidP="00673018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6BF3" w:rsidRPr="00E8399F" w14:paraId="67E097B0" w14:textId="77777777">
        <w:tc>
          <w:tcPr>
            <w:tcW w:w="4781" w:type="dxa"/>
            <w:vAlign w:val="center"/>
          </w:tcPr>
          <w:p w14:paraId="47C845C3" w14:textId="77777777" w:rsidR="00E26BF3" w:rsidRPr="00BB1162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sz w:val="24"/>
                <w:szCs w:val="24"/>
                <w:lang w:eastAsia="sk-SK"/>
              </w:rPr>
              <w:t>Priemerný počet zamestnancov  konsolidovaného celku (obce resp. VÚC) počas účtovného obdobia</w:t>
            </w:r>
          </w:p>
        </w:tc>
        <w:tc>
          <w:tcPr>
            <w:tcW w:w="5479" w:type="dxa"/>
          </w:tcPr>
          <w:p w14:paraId="69291391" w14:textId="77777777" w:rsidR="00E26BF3" w:rsidRPr="006F27E5" w:rsidRDefault="00F55585" w:rsidP="00BB1162">
            <w:pPr>
              <w:spacing w:after="0" w:line="360" w:lineRule="auto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highlight w:val="yellow"/>
                <w:lang w:eastAsia="sk-SK"/>
              </w:rPr>
            </w:pPr>
            <w:r w:rsidRPr="00965F3C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169</w:t>
            </w:r>
            <w:bookmarkStart w:id="0" w:name="_GoBack"/>
            <w:bookmarkEnd w:id="0"/>
          </w:p>
        </w:tc>
      </w:tr>
      <w:tr w:rsidR="00E26BF3" w:rsidRPr="00E8399F" w14:paraId="13F0916C" w14:textId="77777777">
        <w:tc>
          <w:tcPr>
            <w:tcW w:w="4781" w:type="dxa"/>
            <w:vAlign w:val="center"/>
          </w:tcPr>
          <w:p w14:paraId="2E281800" w14:textId="77777777" w:rsidR="00E26BF3" w:rsidRPr="00965F3C" w:rsidRDefault="00E26BF3" w:rsidP="00BB1162">
            <w:pPr>
              <w:spacing w:after="0" w:line="360" w:lineRule="auto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5F3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14:paraId="532D8267" w14:textId="77777777" w:rsidR="00E26BF3" w:rsidRPr="00965F3C" w:rsidRDefault="00E26BF3" w:rsidP="00BB1162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  <w:lang w:eastAsia="sk-SK"/>
              </w:rPr>
            </w:pPr>
            <w:r w:rsidRPr="00965F3C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1</w:t>
            </w:r>
            <w:r w:rsidR="00394DFE" w:rsidRPr="00965F3C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</w:tbl>
    <w:p w14:paraId="0F079436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sz w:val="24"/>
          <w:szCs w:val="24"/>
          <w:lang w:eastAsia="sk-SK"/>
        </w:rPr>
      </w:pPr>
    </w:p>
    <w:p w14:paraId="30CD8308" w14:textId="77777777" w:rsidR="00E26BF3" w:rsidRPr="00E21F74" w:rsidRDefault="00E26BF3" w:rsidP="00E21F74">
      <w:pPr>
        <w:spacing w:after="0" w:line="240" w:lineRule="auto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57289236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b/>
          <w:bCs/>
          <w:i/>
          <w:iCs/>
          <w:color w:val="0070C0"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 xml:space="preserve">Informácie o metódach oceňovania použitých pri ocenení jednotlivých položiek konsolidovanej účtovnej závierky </w:t>
      </w:r>
      <w:r w:rsidRPr="00BB1162">
        <w:rPr>
          <w:rFonts w:ascii="Arial" w:hAnsi="Arial" w:cs="Arial"/>
          <w:b/>
          <w:bCs/>
          <w:i/>
          <w:iCs/>
          <w:color w:val="000000"/>
          <w:sz w:val="24"/>
          <w:szCs w:val="24"/>
          <w:lang w:eastAsia="sk-SK"/>
        </w:rPr>
        <w:t xml:space="preserve">Obce  </w:t>
      </w:r>
      <w:r>
        <w:rPr>
          <w:rFonts w:ascii="Arial" w:hAnsi="Arial" w:cs="Arial"/>
          <w:b/>
          <w:bCs/>
          <w:i/>
          <w:iCs/>
          <w:color w:val="000000"/>
          <w:sz w:val="24"/>
          <w:szCs w:val="24"/>
          <w:lang w:eastAsia="sk-SK"/>
        </w:rPr>
        <w:t>Bernolákovo</w:t>
      </w:r>
    </w:p>
    <w:p w14:paraId="4A7E0652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</w:p>
    <w:p w14:paraId="5FC5566C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14:paraId="309156E2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2BEFA49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lastRenderedPageBreak/>
        <w:t>Súčasťou obstarávacej ceny dlhodobého nehmotného a hmotného majetku sú úroky z úverov.</w:t>
      </w:r>
    </w:p>
    <w:p w14:paraId="0394A8BA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14:paraId="791991C0" w14:textId="77777777" w:rsidR="00CD489E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CD489E">
        <w:rPr>
          <w:rFonts w:ascii="Arial" w:hAnsi="Arial" w:cs="Arial"/>
          <w:sz w:val="24"/>
          <w:szCs w:val="24"/>
          <w:lang w:eastAsia="sk-SK"/>
        </w:rPr>
        <w:t xml:space="preserve">Dlhodobý majetok nadobudnutý darovaním sa oceňuje </w:t>
      </w:r>
      <w:r w:rsidR="00CD489E" w:rsidRPr="00CD489E">
        <w:rPr>
          <w:rFonts w:ascii="Arial" w:hAnsi="Arial" w:cs="Arial"/>
          <w:sz w:val="24"/>
          <w:szCs w:val="24"/>
          <w:lang w:eastAsia="sk-SK"/>
        </w:rPr>
        <w:t>reálnou</w:t>
      </w:r>
      <w:r w:rsidRPr="00CD489E">
        <w:rPr>
          <w:rFonts w:ascii="Arial" w:hAnsi="Arial" w:cs="Arial"/>
          <w:sz w:val="24"/>
          <w:szCs w:val="24"/>
          <w:lang w:eastAsia="sk-SK"/>
        </w:rPr>
        <w:t xml:space="preserve"> cenou</w:t>
      </w:r>
    </w:p>
    <w:p w14:paraId="64F97D11" w14:textId="77777777" w:rsidR="00E26BF3" w:rsidRPr="00CD489E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CD489E">
        <w:rPr>
          <w:rFonts w:ascii="Arial" w:hAnsi="Arial" w:cs="Arial"/>
          <w:sz w:val="24"/>
          <w:szCs w:val="24"/>
          <w:lang w:eastAsia="sk-SK"/>
        </w:rPr>
        <w:t>Dlhodobý majetok nadobudnutý prevodom správy sa oceňuje cenou, v ktorej sa doteraz viedol v účtovníctve.</w:t>
      </w:r>
    </w:p>
    <w:p w14:paraId="523FDB01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Dlhodobý finančný majetok sa oceňuje obstarávacou cenou.</w:t>
      </w:r>
    </w:p>
    <w:p w14:paraId="76C1896E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Deriváty sa pri nadobudnutí oceňujú cenou obstarania a ku dňu, ku ktorému sa zostavuje účtovná závierka, reálnou hodnotou.</w:t>
      </w:r>
    </w:p>
    <w:p w14:paraId="79C23984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Majetok a záväzky zabezpečené derivátmi sa oceňujú reálnou hodnotou.</w:t>
      </w:r>
    </w:p>
    <w:p w14:paraId="2B258733" w14:textId="77777777" w:rsidR="00E26BF3" w:rsidRPr="00BB1162" w:rsidRDefault="00E26BF3" w:rsidP="00E21F74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Nakupované zásoby sa oceňujú obstarávacou cenou, ktorou je cena obstarania vrátane nákladov súvisiacich s obstaraním ako napr. prepravné, provízia, poistné a zľavy.  </w:t>
      </w:r>
    </w:p>
    <w:p w14:paraId="59C067F2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Zásoby vytvorené vlastnou činnosťou sa oceňujú vlastnými nákladmi </w:t>
      </w: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t.j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. priamymi nákladmi vynaloženými na tvorbu zásob ako aj časťou nepriamych nákladov, ktoré sa k tvorbe zásob vzťahujú. </w:t>
      </w:r>
    </w:p>
    <w:p w14:paraId="4560A680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Pohľadávky sa oceňujú v menovitej hodnote.</w:t>
      </w:r>
    </w:p>
    <w:p w14:paraId="27E05272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Cenné papiere a podiely sa oceňujú obstarávacími cenami, vrátane nákladov súvisiacich s obstaraním.  </w:t>
      </w:r>
    </w:p>
    <w:p w14:paraId="63C7A000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Pohľadávky sa pri ich vzniku oceňujú menovitou hodnotou.</w:t>
      </w:r>
    </w:p>
    <w:p w14:paraId="7C520FDD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Peňažné prostriedky a ceniny sa oceňujú ich menovitou hodnotou.</w:t>
      </w:r>
    </w:p>
    <w:p w14:paraId="733798C1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Záväzky sa pri ich vzniku oceňujú menovitou hodnotou.</w:t>
      </w:r>
    </w:p>
    <w:p w14:paraId="36EC0D8A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Záväzky sa pri ich prevzatí oceňujú obstarávacou cenou. </w:t>
      </w:r>
    </w:p>
    <w:p w14:paraId="18D0307E" w14:textId="77777777" w:rsidR="00E26BF3" w:rsidRPr="00BB1162" w:rsidRDefault="00E26BF3" w:rsidP="00BB1162">
      <w:pPr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Ak sa pri inventarizácii zistí, že suma záväzkov je iná ako ich výška v účtovníctve, uvedú sa záväzky v účtovníctve a v účtovnej závierke v tomto zistenom ocenení.  </w:t>
      </w:r>
    </w:p>
    <w:p w14:paraId="05E0FE96" w14:textId="77777777" w:rsidR="00E26BF3" w:rsidRPr="00BB1162" w:rsidRDefault="00E26BF3" w:rsidP="00E21F74">
      <w:pPr>
        <w:spacing w:after="0" w:line="240" w:lineRule="auto"/>
        <w:rPr>
          <w:rFonts w:ascii="Tahoma" w:hAnsi="Tahoma" w:cs="Tahoma"/>
          <w:b/>
          <w:bCs/>
          <w:color w:val="4B4B4B"/>
          <w:sz w:val="24"/>
          <w:szCs w:val="24"/>
          <w:lang w:eastAsia="sk-SK"/>
        </w:rPr>
      </w:pPr>
    </w:p>
    <w:p w14:paraId="2393656F" w14:textId="77777777" w:rsidR="00E26BF3" w:rsidRPr="00BB1162" w:rsidRDefault="00E26BF3" w:rsidP="00E21F74">
      <w:pPr>
        <w:spacing w:after="0" w:line="240" w:lineRule="auto"/>
        <w:rPr>
          <w:rFonts w:ascii="Tahoma" w:hAnsi="Tahoma" w:cs="Tahoma"/>
          <w:b/>
          <w:bCs/>
          <w:color w:val="4B4B4B"/>
          <w:sz w:val="24"/>
          <w:szCs w:val="24"/>
          <w:lang w:eastAsia="sk-SK"/>
        </w:rPr>
      </w:pPr>
    </w:p>
    <w:p w14:paraId="68A71BDA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Čl. II</w:t>
      </w:r>
    </w:p>
    <w:p w14:paraId="6DE473CD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703B781B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Informácie o metódach a postupoch konsolidácie</w:t>
      </w:r>
    </w:p>
    <w:p w14:paraId="347B8EBB" w14:textId="77777777" w:rsidR="00E26BF3" w:rsidRPr="00BB1162" w:rsidRDefault="00E26BF3" w:rsidP="00BB1162">
      <w:pPr>
        <w:spacing w:after="0" w:line="240" w:lineRule="auto"/>
        <w:jc w:val="both"/>
        <w:rPr>
          <w:rFonts w:ascii="Arial Narrow" w:hAnsi="Arial Narrow" w:cs="Arial Narrow"/>
          <w:sz w:val="24"/>
          <w:szCs w:val="24"/>
          <w:lang w:eastAsia="sk-SK"/>
        </w:rPr>
      </w:pPr>
    </w:p>
    <w:p w14:paraId="031F7D92" w14:textId="77777777" w:rsidR="00E26BF3" w:rsidRPr="00BB1162" w:rsidRDefault="00E26BF3" w:rsidP="00BB11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Konsolidovaná účtovná závierka </w:t>
      </w:r>
      <w:r w:rsidRPr="00BB1162">
        <w:rPr>
          <w:rFonts w:ascii="Arial" w:hAnsi="Arial" w:cs="Arial"/>
          <w:color w:val="000000"/>
          <w:sz w:val="24"/>
          <w:szCs w:val="24"/>
          <w:lang w:eastAsia="sk-SK"/>
        </w:rPr>
        <w:t xml:space="preserve">Obce </w:t>
      </w:r>
      <w:r>
        <w:rPr>
          <w:rFonts w:ascii="Arial" w:hAnsi="Arial" w:cs="Arial"/>
          <w:color w:val="000000"/>
          <w:sz w:val="24"/>
          <w:szCs w:val="24"/>
          <w:lang w:eastAsia="sk-SK"/>
        </w:rPr>
        <w:t>Bernolákovo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bola zostavená v súlade so zákonom č. 431/2002 Z. z. o účtovníctve v znení neskorších predpisov v súlade s Opatrením Ministerstva financií Slovenskej republiky zo dňa 17.</w:t>
      </w:r>
      <w:r>
        <w:rPr>
          <w:rFonts w:ascii="Arial" w:hAnsi="Arial" w:cs="Arial"/>
          <w:sz w:val="24"/>
          <w:szCs w:val="24"/>
          <w:lang w:eastAsia="sk-SK"/>
        </w:rPr>
        <w:t xml:space="preserve"> 12. </w:t>
      </w:r>
      <w:r w:rsidRPr="00BB1162">
        <w:rPr>
          <w:rFonts w:ascii="Arial" w:hAnsi="Arial" w:cs="Arial"/>
          <w:sz w:val="24"/>
          <w:szCs w:val="24"/>
          <w:lang w:eastAsia="sk-SK"/>
        </w:rPr>
        <w:t>2008 č.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>MF/27526/2008 – 31</w:t>
      </w:r>
      <w:r w:rsidR="009B2992">
        <w:rPr>
          <w:rFonts w:ascii="Arial" w:hAnsi="Arial" w:cs="Arial"/>
          <w:sz w:val="24"/>
          <w:szCs w:val="24"/>
          <w:lang w:eastAsia="sk-SK"/>
        </w:rPr>
        <w:t xml:space="preserve"> v znení neskorších predpisov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, ktorým sa ustanovujú podrobnosti o metódach a postupoch </w:t>
      </w:r>
      <w:r w:rsidRPr="00BB1162">
        <w:rPr>
          <w:rFonts w:ascii="Arial" w:hAnsi="Arial" w:cs="Arial"/>
          <w:sz w:val="24"/>
          <w:szCs w:val="24"/>
          <w:lang w:eastAsia="sk-SK"/>
        </w:rPr>
        <w:lastRenderedPageBreak/>
        <w:t>konsolidácie vo verejnej správe a podrobnosti o usporiadaní a označovaní položiek konsolidovanej účtovnej závierky vo verejnej správe.</w:t>
      </w:r>
    </w:p>
    <w:p w14:paraId="6A20F126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14:paraId="0CD037F8" w14:textId="77777777" w:rsidR="00E26BF3" w:rsidRDefault="00E26BF3" w:rsidP="00E21F74">
      <w:pPr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Zahrnutie konsolidovaných účtovných jednotiek do konsolidovanej účtovnej závierky</w:t>
      </w:r>
    </w:p>
    <w:p w14:paraId="2AFFE48F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01"/>
        <w:gridCol w:w="1670"/>
        <w:gridCol w:w="1670"/>
        <w:gridCol w:w="1593"/>
      </w:tblGrid>
      <w:tr w:rsidR="00E26BF3" w:rsidRPr="00E8399F" w14:paraId="43686766" w14:textId="77777777">
        <w:tc>
          <w:tcPr>
            <w:tcW w:w="4911" w:type="dxa"/>
          </w:tcPr>
          <w:p w14:paraId="35F01605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Názov resp. obchodné meno </w:t>
            </w:r>
          </w:p>
          <w:p w14:paraId="56899003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>konsolidovanej účtovnej jednotky</w:t>
            </w:r>
          </w:p>
        </w:tc>
        <w:tc>
          <w:tcPr>
            <w:tcW w:w="1670" w:type="dxa"/>
          </w:tcPr>
          <w:p w14:paraId="7666A6E4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Metóda </w:t>
            </w:r>
          </w:p>
          <w:p w14:paraId="5B1D76EE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>úplnej konsolidácie</w:t>
            </w:r>
          </w:p>
        </w:tc>
        <w:tc>
          <w:tcPr>
            <w:tcW w:w="1670" w:type="dxa"/>
          </w:tcPr>
          <w:p w14:paraId="14687D47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Metóda </w:t>
            </w:r>
          </w:p>
          <w:p w14:paraId="079AC717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>podielovej konsolidácie</w:t>
            </w:r>
          </w:p>
        </w:tc>
        <w:tc>
          <w:tcPr>
            <w:tcW w:w="1603" w:type="dxa"/>
          </w:tcPr>
          <w:p w14:paraId="57D47CF8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Metóda </w:t>
            </w:r>
          </w:p>
          <w:p w14:paraId="0DCB181A" w14:textId="77777777" w:rsidR="00E26BF3" w:rsidRPr="00E21F74" w:rsidRDefault="00E26BF3" w:rsidP="00BB1162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1F74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eastAsia="sk-SK"/>
              </w:rPr>
              <w:t>vlastného imania</w:t>
            </w:r>
          </w:p>
        </w:tc>
      </w:tr>
      <w:tr w:rsidR="00E26BF3" w:rsidRPr="00E8399F" w14:paraId="249A976C" w14:textId="77777777">
        <w:tc>
          <w:tcPr>
            <w:tcW w:w="4911" w:type="dxa"/>
          </w:tcPr>
          <w:p w14:paraId="1753989C" w14:textId="77777777" w:rsidR="00E26BF3" w:rsidRPr="00BB1162" w:rsidRDefault="00E26BF3" w:rsidP="00BB1162">
            <w:pPr>
              <w:spacing w:after="0" w:line="360" w:lineRule="auto"/>
              <w:jc w:val="both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Konsolidovaná účtovná jednotka - ZŠ</w:t>
            </w:r>
          </w:p>
        </w:tc>
        <w:tc>
          <w:tcPr>
            <w:tcW w:w="1670" w:type="dxa"/>
          </w:tcPr>
          <w:p w14:paraId="7D12695E" w14:textId="77777777" w:rsidR="00E26BF3" w:rsidRPr="00BB1162" w:rsidRDefault="00E26BF3" w:rsidP="00BB1162">
            <w:pPr>
              <w:spacing w:after="0" w:line="360" w:lineRule="auto"/>
              <w:jc w:val="both"/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i/>
                <w:iCs/>
                <w:color w:val="000000"/>
                <w:sz w:val="24"/>
                <w:szCs w:val="24"/>
                <w:lang w:eastAsia="sk-SK"/>
              </w:rPr>
              <w:t>áno</w:t>
            </w:r>
          </w:p>
        </w:tc>
        <w:tc>
          <w:tcPr>
            <w:tcW w:w="1670" w:type="dxa"/>
          </w:tcPr>
          <w:p w14:paraId="46612D0A" w14:textId="77777777" w:rsidR="00E26BF3" w:rsidRPr="00BB1162" w:rsidRDefault="00E26BF3" w:rsidP="00BB1162">
            <w:pPr>
              <w:spacing w:after="0" w:line="360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3" w:type="dxa"/>
          </w:tcPr>
          <w:p w14:paraId="1909B612" w14:textId="77777777" w:rsidR="00E26BF3" w:rsidRPr="00BB1162" w:rsidRDefault="00E26BF3" w:rsidP="00BB1162">
            <w:pPr>
              <w:spacing w:after="0" w:line="360" w:lineRule="auto"/>
              <w:jc w:val="both"/>
              <w:rPr>
                <w:rFonts w:ascii="Arial" w:hAnsi="Arial" w:cs="Arial"/>
                <w:color w:val="000000"/>
                <w:sz w:val="24"/>
                <w:szCs w:val="24"/>
                <w:lang w:eastAsia="sk-SK"/>
              </w:rPr>
            </w:pPr>
            <w:r w:rsidRPr="00BB1162">
              <w:rPr>
                <w:rFonts w:ascii="Arial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</w:tbl>
    <w:p w14:paraId="59AFDDA1" w14:textId="77777777" w:rsidR="00E26BF3" w:rsidRPr="00BB1162" w:rsidRDefault="00E26BF3" w:rsidP="00BB1162">
      <w:pPr>
        <w:spacing w:after="0" w:line="360" w:lineRule="auto"/>
        <w:jc w:val="both"/>
        <w:rPr>
          <w:rFonts w:ascii="Arial" w:hAnsi="Arial" w:cs="Arial"/>
          <w:color w:val="0070C0"/>
          <w:sz w:val="24"/>
          <w:szCs w:val="24"/>
          <w:lang w:eastAsia="sk-SK"/>
        </w:rPr>
      </w:pPr>
    </w:p>
    <w:p w14:paraId="4AD649B2" w14:textId="77777777" w:rsidR="00E26BF3" w:rsidRDefault="00E26BF3" w:rsidP="00BB11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Metóda úplnej konsolidácie bola použitá pri dcérskych účtovných jednotkách.</w:t>
      </w:r>
    </w:p>
    <w:p w14:paraId="19D61433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14:paraId="44D19689" w14:textId="77777777" w:rsidR="00E26BF3" w:rsidRPr="00BB1162" w:rsidRDefault="00E26BF3" w:rsidP="00BB1162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Moment prvej konsolidácie kapitálu :</w:t>
      </w:r>
    </w:p>
    <w:p w14:paraId="3788CD7A" w14:textId="77777777" w:rsidR="00E26BF3" w:rsidRPr="00BB1162" w:rsidRDefault="00E26BF3" w:rsidP="00BB1162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Pri  rozpočtových organizáciách je to deň ich zriadenia. </w:t>
      </w:r>
    </w:p>
    <w:p w14:paraId="163F94A5" w14:textId="77777777" w:rsidR="00E26BF3" w:rsidRPr="00BB1162" w:rsidRDefault="00E26BF3" w:rsidP="00BB1162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Pri  príspevkových  organizáciách je to deň ich zriadenia. </w:t>
      </w:r>
    </w:p>
    <w:p w14:paraId="203630D2" w14:textId="77777777" w:rsidR="00E26BF3" w:rsidRPr="00BB1162" w:rsidRDefault="00E26BF3" w:rsidP="00BB1162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spacing w:after="0" w:line="360" w:lineRule="auto"/>
        <w:ind w:hanging="1156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Pri obchodných spoločnostiach je to deň obstarania podielov.</w:t>
      </w:r>
    </w:p>
    <w:p w14:paraId="59FBA894" w14:textId="77777777" w:rsidR="00E26BF3" w:rsidRPr="00BB1162" w:rsidRDefault="00E26BF3" w:rsidP="00BB1162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Informácie o </w:t>
      </w:r>
      <w:proofErr w:type="spellStart"/>
      <w:r w:rsidRPr="00BB1162">
        <w:rPr>
          <w:rFonts w:ascii="Arial" w:hAnsi="Arial" w:cs="Arial"/>
          <w:b/>
          <w:bCs/>
          <w:i/>
          <w:iCs/>
          <w:sz w:val="24"/>
          <w:szCs w:val="24"/>
          <w:lang w:eastAsia="sk-SK"/>
        </w:rPr>
        <w:t>goodwille</w:t>
      </w:r>
      <w:proofErr w:type="spellEnd"/>
    </w:p>
    <w:p w14:paraId="267F09C3" w14:textId="77777777" w:rsidR="00E26BF3" w:rsidRPr="00BB1162" w:rsidRDefault="00E26BF3" w:rsidP="00BB1162">
      <w:pPr>
        <w:numPr>
          <w:ilvl w:val="0"/>
          <w:numId w:val="6"/>
        </w:numPr>
        <w:tabs>
          <w:tab w:val="num" w:pos="567"/>
        </w:tabs>
        <w:spacing w:after="0" w:line="360" w:lineRule="auto"/>
        <w:ind w:left="567" w:hanging="283"/>
        <w:jc w:val="both"/>
        <w:rPr>
          <w:rFonts w:ascii="Arial" w:hAnsi="Arial" w:cs="Arial"/>
          <w:sz w:val="24"/>
          <w:szCs w:val="24"/>
          <w:lang w:eastAsia="sk-SK"/>
        </w:rPr>
      </w:pP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Goodwill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 nevzniká pri konsolidovanej účtovnej  jednotke, ktorou je rozpočtová organizácia.</w:t>
      </w:r>
    </w:p>
    <w:p w14:paraId="72A64911" w14:textId="77777777" w:rsidR="00E26BF3" w:rsidRPr="00BB1162" w:rsidRDefault="00E26BF3" w:rsidP="00BB1162">
      <w:pPr>
        <w:numPr>
          <w:ilvl w:val="0"/>
          <w:numId w:val="6"/>
        </w:numPr>
        <w:tabs>
          <w:tab w:val="num" w:pos="567"/>
        </w:tabs>
        <w:spacing w:after="0" w:line="360" w:lineRule="auto"/>
        <w:ind w:left="567" w:hanging="283"/>
        <w:jc w:val="both"/>
        <w:rPr>
          <w:rFonts w:ascii="Arial" w:hAnsi="Arial" w:cs="Arial"/>
          <w:sz w:val="24"/>
          <w:szCs w:val="24"/>
          <w:lang w:eastAsia="sk-SK"/>
        </w:rPr>
      </w:pP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Goodwill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 nevzniká pri konsolidovanej účtovnej  jednotke, ktorou je príspevková  organizácia.</w:t>
      </w:r>
    </w:p>
    <w:p w14:paraId="704DF919" w14:textId="77777777" w:rsidR="00E26BF3" w:rsidRPr="00BB1162" w:rsidRDefault="00E26BF3" w:rsidP="00BB1162">
      <w:pPr>
        <w:numPr>
          <w:ilvl w:val="0"/>
          <w:numId w:val="6"/>
        </w:numPr>
        <w:tabs>
          <w:tab w:val="num" w:pos="567"/>
        </w:tabs>
        <w:spacing w:after="0" w:line="360" w:lineRule="auto"/>
        <w:ind w:left="567" w:hanging="283"/>
        <w:jc w:val="both"/>
        <w:rPr>
          <w:rFonts w:ascii="Arial" w:hAnsi="Arial" w:cs="Arial"/>
          <w:sz w:val="24"/>
          <w:szCs w:val="24"/>
          <w:lang w:eastAsia="sk-SK"/>
        </w:rPr>
      </w:pP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Goodwill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 nevzniká pri založení konsolidovanej účtovnej  jednotky, ktorou je obchodná spoločnosť. </w:t>
      </w:r>
    </w:p>
    <w:p w14:paraId="7A5A31E2" w14:textId="77777777" w:rsidR="00E26BF3" w:rsidRPr="00BB1162" w:rsidRDefault="00E26BF3" w:rsidP="00BB1162">
      <w:pPr>
        <w:numPr>
          <w:ilvl w:val="0"/>
          <w:numId w:val="6"/>
        </w:numPr>
        <w:tabs>
          <w:tab w:val="num" w:pos="567"/>
        </w:tabs>
        <w:spacing w:after="0" w:line="360" w:lineRule="auto"/>
        <w:ind w:left="567" w:hanging="283"/>
        <w:jc w:val="both"/>
        <w:rPr>
          <w:rFonts w:ascii="Arial" w:hAnsi="Arial" w:cs="Arial"/>
          <w:sz w:val="24"/>
          <w:szCs w:val="24"/>
          <w:lang w:eastAsia="sk-SK"/>
        </w:rPr>
      </w:pP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Goodwill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 vzniká pri kúpe už existujúcej konsolidovanej účtovnej  jednotky, ktorou je obchodná spoločnosť.</w:t>
      </w:r>
    </w:p>
    <w:p w14:paraId="7138AA67" w14:textId="77777777" w:rsidR="00E26BF3" w:rsidRPr="00BB1162" w:rsidRDefault="00E26BF3" w:rsidP="00BB1162">
      <w:pPr>
        <w:numPr>
          <w:ilvl w:val="0"/>
          <w:numId w:val="6"/>
        </w:numPr>
        <w:tabs>
          <w:tab w:val="num" w:pos="567"/>
        </w:tabs>
        <w:spacing w:after="0" w:line="360" w:lineRule="auto"/>
        <w:ind w:hanging="1156"/>
        <w:jc w:val="both"/>
        <w:rPr>
          <w:rFonts w:ascii="Arial" w:hAnsi="Arial" w:cs="Arial"/>
          <w:sz w:val="24"/>
          <w:szCs w:val="24"/>
          <w:lang w:eastAsia="sk-SK"/>
        </w:rPr>
      </w:pPr>
      <w:proofErr w:type="spellStart"/>
      <w:r w:rsidRPr="00BB1162">
        <w:rPr>
          <w:rFonts w:ascii="Arial" w:hAnsi="Arial" w:cs="Arial"/>
          <w:sz w:val="24"/>
          <w:szCs w:val="24"/>
          <w:lang w:eastAsia="sk-SK"/>
        </w:rPr>
        <w:t>Goodwill</w:t>
      </w:r>
      <w:proofErr w:type="spellEnd"/>
      <w:r w:rsidRPr="00BB1162">
        <w:rPr>
          <w:rFonts w:ascii="Arial" w:hAnsi="Arial" w:cs="Arial"/>
          <w:sz w:val="24"/>
          <w:szCs w:val="24"/>
          <w:lang w:eastAsia="sk-SK"/>
        </w:rPr>
        <w:t xml:space="preserve"> sa odpisuje do 5 rokov.</w:t>
      </w:r>
    </w:p>
    <w:p w14:paraId="25EE22A3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14:paraId="3BB38C60" w14:textId="77777777" w:rsidR="00E26BF3" w:rsidRPr="00BB1162" w:rsidRDefault="00E26BF3" w:rsidP="00E21F74">
      <w:pPr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14:paraId="721D0B73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Čl. III</w:t>
      </w:r>
    </w:p>
    <w:p w14:paraId="5F4D2D0B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Informácie o údajoch aktív a pasív</w:t>
      </w:r>
    </w:p>
    <w:p w14:paraId="2EC5D8FD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77221B27" w14:textId="77777777" w:rsidR="00E26BF3" w:rsidRPr="00BB1162" w:rsidRDefault="00E26BF3" w:rsidP="00E21F74">
      <w:pPr>
        <w:spacing w:after="0" w:line="240" w:lineRule="auto"/>
        <w:jc w:val="center"/>
        <w:rPr>
          <w:rFonts w:ascii="Arial" w:hAnsi="Arial" w:cs="Arial"/>
          <w:sz w:val="24"/>
          <w:szCs w:val="24"/>
          <w:lang w:eastAsia="sk-SK"/>
        </w:rPr>
      </w:pPr>
    </w:p>
    <w:p w14:paraId="72789EAD" w14:textId="77777777" w:rsidR="00E26BF3" w:rsidRDefault="00E26BF3" w:rsidP="00E21F74">
      <w:p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Popis údajov vyplnených v prehľade pohybov dlhodobého nehmotného a dlhodobého hmotného majetku</w:t>
      </w:r>
    </w:p>
    <w:p w14:paraId="186C4843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0D1CFE19" w14:textId="77777777" w:rsidR="00E26BF3" w:rsidRPr="00BB1162" w:rsidRDefault="00E26BF3" w:rsidP="00BB1162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Bezprostredne predchádzajúce účtovné obdobie sa chápe k 31.12.</w:t>
      </w:r>
      <w:r w:rsidR="00394DFE">
        <w:rPr>
          <w:rFonts w:ascii="Arial" w:hAnsi="Arial" w:cs="Arial"/>
          <w:sz w:val="24"/>
          <w:szCs w:val="24"/>
          <w:lang w:eastAsia="sk-SK"/>
        </w:rPr>
        <w:t>2016</w:t>
      </w:r>
    </w:p>
    <w:p w14:paraId="2C4CAAB3" w14:textId="77777777" w:rsidR="00E26BF3" w:rsidRPr="00BB1162" w:rsidRDefault="00E26BF3" w:rsidP="00BB1162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Bežné účtovné obdobie sa vykazuje k 31.12.201</w:t>
      </w:r>
      <w:r w:rsidR="00394DFE">
        <w:rPr>
          <w:rFonts w:ascii="Arial" w:hAnsi="Arial" w:cs="Arial"/>
          <w:sz w:val="24"/>
          <w:szCs w:val="24"/>
          <w:lang w:eastAsia="sk-SK"/>
        </w:rPr>
        <w:t>7</w:t>
      </w:r>
    </w:p>
    <w:p w14:paraId="143D4F8D" w14:textId="77777777" w:rsidR="00E26BF3" w:rsidRPr="00BB1162" w:rsidRDefault="00E26BF3" w:rsidP="00BB1162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Prírastok je prvotné vykázanie obstarania dlhodobého nehmotného a dlhodobého hmotného majetku akoukoľvek formou, zvýšenie aktív (napr. kúpa, darovanie)</w:t>
      </w:r>
    </w:p>
    <w:p w14:paraId="0F218262" w14:textId="77777777" w:rsidR="00E26BF3" w:rsidRPr="00BB1162" w:rsidRDefault="00E26BF3" w:rsidP="00BB1162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lastRenderedPageBreak/>
        <w:t>Úbytok je vykázanie zníženia aktív (napr. predaj, darovanie)</w:t>
      </w:r>
    </w:p>
    <w:p w14:paraId="139398E2" w14:textId="77777777" w:rsidR="00E26BF3" w:rsidRPr="00BB1162" w:rsidRDefault="00E26BF3" w:rsidP="00BB1162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Presun je vykázanie zmeny hodnoty niektorej položky bez zmeny celkovej hodnoty aktív</w:t>
      </w:r>
    </w:p>
    <w:p w14:paraId="205CE12F" w14:textId="77777777" w:rsidR="00E26BF3" w:rsidRPr="00BB1162" w:rsidRDefault="00E26BF3" w:rsidP="00E21F74">
      <w:p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26377BB4" w14:textId="77777777" w:rsidR="00E26BF3" w:rsidRPr="00BB1162" w:rsidRDefault="00E26BF3" w:rsidP="00BB1162">
      <w:pPr>
        <w:spacing w:after="0" w:line="360" w:lineRule="auto"/>
        <w:rPr>
          <w:rFonts w:ascii="Arial" w:hAnsi="Arial" w:cs="Arial"/>
          <w:i/>
          <w:iCs/>
          <w:color w:val="0070C0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Popis významných informácií o aktívach a pasívach </w:t>
      </w:r>
    </w:p>
    <w:p w14:paraId="399161A3" w14:textId="77777777" w:rsidR="00E26BF3" w:rsidRDefault="00E26BF3" w:rsidP="001A6D2A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Konsolidovaný celok </w:t>
      </w:r>
      <w:r w:rsidRPr="00BB1162">
        <w:rPr>
          <w:rFonts w:ascii="Arial" w:hAnsi="Arial" w:cs="Arial"/>
          <w:color w:val="000000"/>
          <w:sz w:val="24"/>
          <w:szCs w:val="24"/>
          <w:lang w:eastAsia="sk-SK"/>
        </w:rPr>
        <w:t xml:space="preserve">Obce </w:t>
      </w:r>
      <w:r>
        <w:rPr>
          <w:rFonts w:ascii="Arial" w:hAnsi="Arial" w:cs="Arial"/>
          <w:color w:val="000000"/>
          <w:sz w:val="24"/>
          <w:szCs w:val="24"/>
          <w:lang w:eastAsia="sk-SK"/>
        </w:rPr>
        <w:t xml:space="preserve">Bernolákovo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zahŕňa </w:t>
      </w:r>
      <w:r>
        <w:rPr>
          <w:rFonts w:ascii="Arial" w:hAnsi="Arial" w:cs="Arial"/>
          <w:sz w:val="24"/>
          <w:szCs w:val="24"/>
          <w:lang w:eastAsia="sk-SK"/>
        </w:rPr>
        <w:t>jednu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rozpočtov</w:t>
      </w:r>
      <w:r>
        <w:rPr>
          <w:rFonts w:ascii="Arial" w:hAnsi="Arial" w:cs="Arial"/>
          <w:sz w:val="24"/>
          <w:szCs w:val="24"/>
          <w:lang w:eastAsia="sk-SK"/>
        </w:rPr>
        <w:t>ú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organizáci</w:t>
      </w:r>
      <w:r>
        <w:rPr>
          <w:rFonts w:ascii="Arial" w:hAnsi="Arial" w:cs="Arial"/>
          <w:sz w:val="24"/>
          <w:szCs w:val="24"/>
          <w:lang w:eastAsia="sk-SK"/>
        </w:rPr>
        <w:t>u</w:t>
      </w:r>
      <w:r w:rsidRPr="00BB1162">
        <w:rPr>
          <w:rFonts w:ascii="Arial" w:hAnsi="Arial" w:cs="Arial"/>
          <w:color w:val="000000"/>
          <w:sz w:val="24"/>
          <w:szCs w:val="24"/>
          <w:lang w:eastAsia="sk-SK"/>
        </w:rPr>
        <w:t xml:space="preserve">, </w:t>
      </w:r>
      <w:r>
        <w:rPr>
          <w:rFonts w:ascii="Arial" w:hAnsi="Arial" w:cs="Arial"/>
          <w:color w:val="000000"/>
          <w:sz w:val="24"/>
          <w:szCs w:val="24"/>
          <w:lang w:eastAsia="sk-SK"/>
        </w:rPr>
        <w:t>jej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identifikačné údaje sa nachádzajú v priloženom prehľade.</w:t>
      </w:r>
    </w:p>
    <w:p w14:paraId="195B7B5D" w14:textId="77777777" w:rsidR="00E26BF3" w:rsidRDefault="00E26BF3" w:rsidP="003E592F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Prehľad o pohybe dlhodobého majetku sa nachádza v priloženom tabuľkovom formulári č. 2  vysvetľuje položky súvahy – aktív.  V rámci dlhodobého finančného majetku vykazuje obec Bernolákovo akcie BVS v hodnote 1 525 520,39 €.</w:t>
      </w:r>
    </w:p>
    <w:p w14:paraId="65986DC2" w14:textId="77777777" w:rsidR="00E26BF3" w:rsidRDefault="00E26BF3" w:rsidP="003E592F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Obec vlastní 50 % podiel v penzióne Pohoda.</w:t>
      </w:r>
    </w:p>
    <w:p w14:paraId="23B7968D" w14:textId="77777777" w:rsidR="00E26BF3" w:rsidRDefault="00E26BF3" w:rsidP="003E592F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 xml:space="preserve">Konsolidovaný celok vykazuje krátkodobé pohľadávky, ktoré sa nachádzajú v priloženom tabuľkovom formulári č. 9. Najväčší podiel na vykázaných krátkodobých pohľadávkach má obec.  </w:t>
      </w:r>
    </w:p>
    <w:p w14:paraId="5517685A" w14:textId="77777777" w:rsidR="00E26BF3" w:rsidRDefault="00E26BF3" w:rsidP="003E592F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Prehľad o časovom rozlíšení na strane aktív – náklady budúcich období sa nachádzajú v priloženom tabuľkovom formulári č. 10.</w:t>
      </w:r>
    </w:p>
    <w:p w14:paraId="7E0B2952" w14:textId="77777777" w:rsidR="00E26BF3" w:rsidRDefault="00E26BF3" w:rsidP="003E592F">
      <w:pPr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Prehľad o pohybe vlastného imania konsolidovaného celku od 1.1.201</w:t>
      </w:r>
      <w:r w:rsidR="00394DFE">
        <w:rPr>
          <w:rFonts w:ascii="Arial" w:hAnsi="Arial" w:cs="Arial"/>
          <w:sz w:val="24"/>
          <w:szCs w:val="24"/>
          <w:lang w:eastAsia="sk-SK"/>
        </w:rPr>
        <w:t>7</w:t>
      </w:r>
      <w:r>
        <w:rPr>
          <w:rFonts w:ascii="Arial" w:hAnsi="Arial" w:cs="Arial"/>
          <w:sz w:val="24"/>
          <w:szCs w:val="24"/>
          <w:lang w:eastAsia="sk-SK"/>
        </w:rPr>
        <w:t xml:space="preserve"> do 31.12.201</w:t>
      </w:r>
      <w:r w:rsidR="00394DFE">
        <w:rPr>
          <w:rFonts w:ascii="Arial" w:hAnsi="Arial" w:cs="Arial"/>
          <w:sz w:val="24"/>
          <w:szCs w:val="24"/>
          <w:lang w:eastAsia="sk-SK"/>
        </w:rPr>
        <w:t xml:space="preserve">7 </w:t>
      </w:r>
      <w:r>
        <w:rPr>
          <w:rFonts w:ascii="Arial" w:hAnsi="Arial" w:cs="Arial"/>
          <w:sz w:val="24"/>
          <w:szCs w:val="24"/>
          <w:lang w:eastAsia="sk-SK"/>
        </w:rPr>
        <w:t>sa nachádza v priloženom tabuľkovom formulári č. 12.</w:t>
      </w:r>
    </w:p>
    <w:p w14:paraId="0D3D2CD2" w14:textId="77777777" w:rsidR="00E26BF3" w:rsidRPr="003B7202" w:rsidRDefault="00E26BF3" w:rsidP="00E93EFE">
      <w:pPr>
        <w:numPr>
          <w:ilvl w:val="1"/>
          <w:numId w:val="3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iCs/>
          <w:color w:val="0070C0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Rezervy sa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v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konsolidovanom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celku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tvorili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>v 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BB1162">
        <w:rPr>
          <w:rFonts w:ascii="Arial" w:hAnsi="Arial" w:cs="Arial"/>
          <w:sz w:val="24"/>
          <w:szCs w:val="24"/>
          <w:lang w:eastAsia="sk-SK"/>
        </w:rPr>
        <w:t>r</w:t>
      </w:r>
      <w:r>
        <w:rPr>
          <w:rFonts w:ascii="Arial" w:hAnsi="Arial" w:cs="Arial"/>
          <w:sz w:val="24"/>
          <w:szCs w:val="24"/>
          <w:lang w:eastAsia="sk-SK"/>
        </w:rPr>
        <w:t xml:space="preserve">ámci  hlavne j činnosti  konkrétne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hodnoty sa nachádzajú v priloženom </w:t>
      </w:r>
      <w:r>
        <w:rPr>
          <w:rFonts w:ascii="Arial" w:hAnsi="Arial" w:cs="Arial"/>
          <w:sz w:val="24"/>
          <w:szCs w:val="24"/>
          <w:lang w:eastAsia="sk-SK"/>
        </w:rPr>
        <w:t xml:space="preserve"> tabuľkovom formulári č. 14.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sz w:val="24"/>
          <w:szCs w:val="24"/>
          <w:lang w:eastAsia="sk-SK"/>
        </w:rPr>
        <w:t>N</w:t>
      </w:r>
      <w:r w:rsidRPr="00BB1162">
        <w:rPr>
          <w:rFonts w:ascii="Arial" w:hAnsi="Arial" w:cs="Arial"/>
          <w:sz w:val="24"/>
          <w:szCs w:val="24"/>
          <w:lang w:eastAsia="sk-SK"/>
        </w:rPr>
        <w:t>ajvýznamnejšia</w:t>
      </w:r>
      <w:r>
        <w:rPr>
          <w:rFonts w:ascii="Arial" w:hAnsi="Arial" w:cs="Arial"/>
          <w:sz w:val="24"/>
          <w:szCs w:val="24"/>
          <w:lang w:eastAsia="sk-SK"/>
        </w:rPr>
        <w:t xml:space="preserve">  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tvorba, zrušenie rezerv sa vykázala v oblasti tvorby rezerv na </w:t>
      </w:r>
      <w:r w:rsidR="00E61A8F">
        <w:rPr>
          <w:rFonts w:ascii="Arial" w:hAnsi="Arial" w:cs="Arial"/>
          <w:sz w:val="24"/>
          <w:szCs w:val="24"/>
          <w:lang w:eastAsia="sk-SK"/>
        </w:rPr>
        <w:t>overenie účtovnej závierky</w:t>
      </w:r>
      <w:r w:rsidRPr="00BB1162">
        <w:rPr>
          <w:rFonts w:ascii="Arial" w:hAnsi="Arial" w:cs="Arial"/>
          <w:sz w:val="24"/>
          <w:szCs w:val="24"/>
          <w:lang w:eastAsia="sk-SK"/>
        </w:rPr>
        <w:t>.</w:t>
      </w:r>
    </w:p>
    <w:p w14:paraId="7EED3BD8" w14:textId="77777777" w:rsidR="00E26BF3" w:rsidRPr="00726A99" w:rsidRDefault="00E26BF3" w:rsidP="00726A99">
      <w:pPr>
        <w:numPr>
          <w:ilvl w:val="1"/>
          <w:numId w:val="3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i/>
          <w:iCs/>
          <w:color w:val="0070C0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Prehľad o záväzkoch v lehote splatnosti  sa nachádza v priloženom tabuľkovom formulári č. 15. Najväčší podiel na vykázaných dlhodobých záväzkoch má obec. Konsolidovaný celok nevykazuje záväzky po lehote splatnosti.</w:t>
      </w:r>
    </w:p>
    <w:p w14:paraId="6E1DB937" w14:textId="77777777" w:rsidR="00E26BF3" w:rsidRDefault="00E26BF3" w:rsidP="00EA3B59">
      <w:pPr>
        <w:numPr>
          <w:ilvl w:val="1"/>
          <w:numId w:val="3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 xml:space="preserve">Konsolidovaný celok vykazuje </w:t>
      </w:r>
      <w:r>
        <w:rPr>
          <w:rFonts w:ascii="Arial" w:hAnsi="Arial" w:cs="Arial"/>
          <w:sz w:val="24"/>
          <w:szCs w:val="24"/>
          <w:lang w:eastAsia="sk-SK"/>
        </w:rPr>
        <w:t>o časovom rozlíšení na strane pasív – výnosy budúcich období sa nachádza v priloženom tabuľkovom formulári č. 18. Jedná sa o kapitálové transfery zo ŠR a od iných subjektov</w:t>
      </w:r>
      <w:r w:rsidRPr="00BB1162">
        <w:rPr>
          <w:rFonts w:ascii="Arial" w:hAnsi="Arial" w:cs="Arial"/>
          <w:sz w:val="24"/>
          <w:szCs w:val="24"/>
          <w:lang w:eastAsia="sk-SK"/>
        </w:rPr>
        <w:t>.</w:t>
      </w:r>
    </w:p>
    <w:p w14:paraId="0557549E" w14:textId="77777777" w:rsidR="00E26BF3" w:rsidRDefault="00E26BF3" w:rsidP="00EA3B59">
      <w:pPr>
        <w:numPr>
          <w:ilvl w:val="1"/>
          <w:numId w:val="3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Podrobný prehľad vybraných položiek konsolidovaného celku o  nákladoch sa nachádza v priloženom tabuľkovom formulári č. 19, 20 a 21.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 </w:t>
      </w:r>
    </w:p>
    <w:p w14:paraId="0255D897" w14:textId="77777777" w:rsidR="00E26BF3" w:rsidRDefault="00E26BF3" w:rsidP="00EA3B59">
      <w:pPr>
        <w:numPr>
          <w:ilvl w:val="1"/>
          <w:numId w:val="3"/>
        </w:numPr>
        <w:tabs>
          <w:tab w:val="num" w:pos="1080"/>
        </w:tabs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>Podrobný prehľad vybraných položiek konsolidovaného celku o výnosov sa nachádza v priloženom tabuľkovom formulári c. 22.</w:t>
      </w:r>
    </w:p>
    <w:p w14:paraId="3262CC42" w14:textId="77777777" w:rsidR="00E26BF3" w:rsidRPr="00BB1162" w:rsidRDefault="00E26BF3" w:rsidP="00EA3B59">
      <w:pPr>
        <w:tabs>
          <w:tab w:val="num" w:pos="1260"/>
        </w:tabs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 xml:space="preserve">  </w:t>
      </w:r>
    </w:p>
    <w:p w14:paraId="1342CAAF" w14:textId="77777777" w:rsidR="00E26BF3" w:rsidRDefault="00E26BF3" w:rsidP="00BB1162">
      <w:pPr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046669BA" w14:textId="77777777" w:rsidR="00E61A8F" w:rsidRDefault="00E61A8F" w:rsidP="00BB1162">
      <w:pPr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67F2C95A" w14:textId="77777777" w:rsidR="00E61A8F" w:rsidRPr="00BB1162" w:rsidRDefault="00E61A8F" w:rsidP="00BB1162">
      <w:pPr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68237828" w14:textId="77777777" w:rsidR="00E26BF3" w:rsidRPr="00BB1162" w:rsidRDefault="00E26BF3" w:rsidP="00BB1162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lastRenderedPageBreak/>
        <w:t>Čl. IV</w:t>
      </w:r>
    </w:p>
    <w:p w14:paraId="33C5770A" w14:textId="77777777" w:rsidR="00E26BF3" w:rsidRPr="00BB1162" w:rsidRDefault="00E26BF3" w:rsidP="00BB116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  <w:r w:rsidRPr="00BB1162">
        <w:rPr>
          <w:rFonts w:ascii="Arial" w:hAnsi="Arial" w:cs="Arial"/>
          <w:b/>
          <w:bCs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397492AD" w14:textId="77777777" w:rsidR="00E26BF3" w:rsidRPr="00BB1162" w:rsidRDefault="00E26BF3" w:rsidP="00BB116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482BBABC" w14:textId="77777777" w:rsidR="00E26BF3" w:rsidRPr="00BB1162" w:rsidRDefault="00E26BF3" w:rsidP="00BB116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50A78780" w14:textId="77777777" w:rsidR="00E26BF3" w:rsidRPr="00BB1162" w:rsidRDefault="00E26BF3" w:rsidP="00BB116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eastAsia="sk-SK"/>
        </w:rPr>
      </w:pPr>
    </w:p>
    <w:p w14:paraId="46062519" w14:textId="77777777" w:rsidR="00E26BF3" w:rsidRPr="00BB1162" w:rsidRDefault="00E26BF3" w:rsidP="00BB1162">
      <w:pPr>
        <w:spacing w:after="0" w:line="240" w:lineRule="auto"/>
        <w:ind w:left="66" w:hanging="66"/>
        <w:jc w:val="both"/>
        <w:rPr>
          <w:rFonts w:ascii="Arial" w:hAnsi="Arial" w:cs="Arial"/>
          <w:sz w:val="24"/>
          <w:szCs w:val="24"/>
          <w:lang w:eastAsia="sk-SK"/>
        </w:rPr>
      </w:pPr>
    </w:p>
    <w:p w14:paraId="74CA03A0" w14:textId="77777777" w:rsidR="00E26BF3" w:rsidRPr="00BB1162" w:rsidRDefault="00E26BF3" w:rsidP="00BB1162">
      <w:pPr>
        <w:numPr>
          <w:ilvl w:val="0"/>
          <w:numId w:val="7"/>
        </w:numPr>
        <w:tabs>
          <w:tab w:val="clear" w:pos="1068"/>
          <w:tab w:val="left" w:pos="1077"/>
        </w:tabs>
        <w:spacing w:after="0" w:line="360" w:lineRule="auto"/>
        <w:ind w:left="1077" w:hanging="357"/>
        <w:jc w:val="both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Nenastali žiadne skutočnosti, ktoré by mali za následok pokles alebo zvýšenie trhovej ceny finančného majetku, zmenu výšky rezerv a opravných položiek, ako i zmenu významných položiek dlhodobého finančného majetku. Nenastala zmena právnej formy účtovnej jednotky, ani mimoriadne udalosti, ktoré majú vplyv na hospodárenie účtovnej jednotky.</w:t>
      </w:r>
    </w:p>
    <w:p w14:paraId="04F9FF46" w14:textId="77777777" w:rsidR="00E26BF3" w:rsidRPr="00BB1162" w:rsidRDefault="00E26BF3" w:rsidP="00BB1162">
      <w:pPr>
        <w:tabs>
          <w:tab w:val="left" w:pos="1077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05C2D482" w14:textId="77777777" w:rsidR="00E26BF3" w:rsidRPr="00BB1162" w:rsidRDefault="00E26BF3" w:rsidP="00BB1162">
      <w:pPr>
        <w:tabs>
          <w:tab w:val="left" w:pos="1077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1E5F3BEC" w14:textId="77777777" w:rsidR="00E26BF3" w:rsidRPr="00BB1162" w:rsidRDefault="00E26BF3" w:rsidP="00BB1162">
      <w:pPr>
        <w:tabs>
          <w:tab w:val="left" w:pos="1077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eastAsia="sk-SK"/>
        </w:rPr>
      </w:pPr>
    </w:p>
    <w:p w14:paraId="468A8528" w14:textId="77777777" w:rsidR="00E26BF3" w:rsidRPr="00BB1162" w:rsidRDefault="00E26BF3" w:rsidP="00BB1162">
      <w:pPr>
        <w:tabs>
          <w:tab w:val="left" w:pos="1077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4B2320C1" w14:textId="77777777" w:rsidR="00E26BF3" w:rsidRPr="00BB1162" w:rsidRDefault="00E26BF3" w:rsidP="00BB1162">
      <w:pPr>
        <w:tabs>
          <w:tab w:val="left" w:pos="1077"/>
        </w:tabs>
        <w:spacing w:after="0" w:line="36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>V</w:t>
      </w:r>
      <w:r>
        <w:rPr>
          <w:rFonts w:ascii="Arial" w:hAnsi="Arial" w:cs="Arial"/>
          <w:sz w:val="24"/>
          <w:szCs w:val="24"/>
          <w:lang w:eastAsia="sk-SK"/>
        </w:rPr>
        <w:t> Bernolákove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, dňa </w:t>
      </w:r>
      <w:r w:rsidR="00E61A8F">
        <w:rPr>
          <w:rFonts w:ascii="Arial" w:hAnsi="Arial" w:cs="Arial"/>
          <w:sz w:val="24"/>
          <w:szCs w:val="24"/>
          <w:lang w:eastAsia="sk-SK"/>
        </w:rPr>
        <w:t>20.06.20</w:t>
      </w:r>
      <w:r w:rsidR="00394DFE">
        <w:rPr>
          <w:rFonts w:ascii="Arial" w:hAnsi="Arial" w:cs="Arial"/>
          <w:sz w:val="24"/>
          <w:szCs w:val="24"/>
          <w:lang w:eastAsia="sk-SK"/>
        </w:rPr>
        <w:t>1</w:t>
      </w:r>
      <w:r w:rsidR="006F27E5">
        <w:rPr>
          <w:rFonts w:ascii="Arial" w:hAnsi="Arial" w:cs="Arial"/>
          <w:sz w:val="24"/>
          <w:szCs w:val="24"/>
          <w:lang w:eastAsia="sk-SK"/>
        </w:rPr>
        <w:t>9</w:t>
      </w:r>
      <w:r w:rsidRPr="00BB1162">
        <w:rPr>
          <w:rFonts w:ascii="Arial" w:hAnsi="Arial" w:cs="Arial"/>
          <w:sz w:val="24"/>
          <w:szCs w:val="24"/>
          <w:lang w:eastAsia="sk-SK"/>
        </w:rPr>
        <w:t xml:space="preserve">   </w:t>
      </w:r>
    </w:p>
    <w:p w14:paraId="1DAC620F" w14:textId="77777777" w:rsidR="006436C6" w:rsidRDefault="006436C6" w:rsidP="00BC5C07">
      <w:pPr>
        <w:tabs>
          <w:tab w:val="center" w:pos="1701"/>
          <w:tab w:val="center" w:pos="7371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793A9A09" w14:textId="77777777" w:rsidR="006436C6" w:rsidRDefault="006436C6" w:rsidP="00BC5C07">
      <w:pPr>
        <w:tabs>
          <w:tab w:val="center" w:pos="1701"/>
          <w:tab w:val="center" w:pos="7371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58343B23" w14:textId="77777777" w:rsidR="006436C6" w:rsidRDefault="006436C6" w:rsidP="00BC5C07">
      <w:pPr>
        <w:tabs>
          <w:tab w:val="center" w:pos="1701"/>
          <w:tab w:val="center" w:pos="7371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</w:p>
    <w:p w14:paraId="66CD8EE5" w14:textId="77777777" w:rsidR="00E26BF3" w:rsidRPr="00BB1162" w:rsidRDefault="00E26BF3" w:rsidP="00BC5C07">
      <w:pPr>
        <w:tabs>
          <w:tab w:val="center" w:pos="1701"/>
          <w:tab w:val="center" w:pos="7371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4"/>
          <w:szCs w:val="24"/>
          <w:lang w:eastAsia="sk-SK"/>
        </w:rPr>
        <w:tab/>
      </w:r>
      <w:r w:rsidR="001C06B5">
        <w:rPr>
          <w:rFonts w:ascii="Arial" w:hAnsi="Arial" w:cs="Arial"/>
          <w:sz w:val="24"/>
          <w:szCs w:val="24"/>
          <w:lang w:eastAsia="sk-SK"/>
        </w:rPr>
        <w:t xml:space="preserve">Ľubomíra </w:t>
      </w:r>
      <w:proofErr w:type="spellStart"/>
      <w:r w:rsidR="001C06B5">
        <w:rPr>
          <w:rFonts w:ascii="Arial" w:hAnsi="Arial" w:cs="Arial"/>
          <w:sz w:val="24"/>
          <w:szCs w:val="24"/>
          <w:lang w:eastAsia="sk-SK"/>
        </w:rPr>
        <w:t>Šuvadová</w:t>
      </w:r>
      <w:proofErr w:type="spellEnd"/>
      <w:r w:rsidR="006436C6">
        <w:rPr>
          <w:rFonts w:ascii="Arial" w:hAnsi="Arial" w:cs="Arial"/>
          <w:sz w:val="24"/>
          <w:szCs w:val="24"/>
          <w:lang w:eastAsia="sk-SK"/>
        </w:rPr>
        <w:t xml:space="preserve"> </w:t>
      </w:r>
      <w:proofErr w:type="spellStart"/>
      <w:r w:rsidR="006436C6">
        <w:rPr>
          <w:rFonts w:ascii="Arial" w:hAnsi="Arial" w:cs="Arial"/>
          <w:sz w:val="24"/>
          <w:szCs w:val="24"/>
          <w:lang w:eastAsia="sk-SK"/>
        </w:rPr>
        <w:t>v.r</w:t>
      </w:r>
      <w:proofErr w:type="spellEnd"/>
      <w:r w:rsidR="006436C6">
        <w:rPr>
          <w:rFonts w:ascii="Arial" w:hAnsi="Arial" w:cs="Arial"/>
          <w:sz w:val="24"/>
          <w:szCs w:val="24"/>
          <w:lang w:eastAsia="sk-SK"/>
        </w:rPr>
        <w:t>.</w:t>
      </w:r>
      <w:r w:rsidRPr="00BB1162">
        <w:rPr>
          <w:rFonts w:ascii="Arial" w:hAnsi="Arial" w:cs="Arial"/>
          <w:sz w:val="24"/>
          <w:szCs w:val="24"/>
          <w:lang w:eastAsia="sk-SK"/>
        </w:rPr>
        <w:tab/>
      </w:r>
      <w:r>
        <w:rPr>
          <w:rFonts w:ascii="Arial" w:hAnsi="Arial" w:cs="Arial"/>
          <w:sz w:val="24"/>
          <w:szCs w:val="24"/>
          <w:lang w:eastAsia="sk-SK"/>
        </w:rPr>
        <w:t>Mgr. Richard Červienka</w:t>
      </w:r>
      <w:r w:rsidR="006436C6">
        <w:rPr>
          <w:rFonts w:ascii="Arial" w:hAnsi="Arial" w:cs="Arial"/>
          <w:sz w:val="24"/>
          <w:szCs w:val="24"/>
          <w:lang w:eastAsia="sk-SK"/>
        </w:rPr>
        <w:t xml:space="preserve"> </w:t>
      </w:r>
      <w:proofErr w:type="spellStart"/>
      <w:r w:rsidR="006436C6">
        <w:rPr>
          <w:rFonts w:ascii="Arial" w:hAnsi="Arial" w:cs="Arial"/>
          <w:sz w:val="24"/>
          <w:szCs w:val="24"/>
          <w:lang w:eastAsia="sk-SK"/>
        </w:rPr>
        <w:t>v.r</w:t>
      </w:r>
      <w:proofErr w:type="spellEnd"/>
      <w:r w:rsidR="006436C6">
        <w:rPr>
          <w:rFonts w:ascii="Arial" w:hAnsi="Arial" w:cs="Arial"/>
          <w:sz w:val="24"/>
          <w:szCs w:val="24"/>
          <w:lang w:eastAsia="sk-SK"/>
        </w:rPr>
        <w:t>.</w:t>
      </w:r>
    </w:p>
    <w:p w14:paraId="76EFD795" w14:textId="77777777" w:rsidR="00E26BF3" w:rsidRPr="00BC5C07" w:rsidRDefault="006436C6" w:rsidP="00BC5C07">
      <w:pPr>
        <w:tabs>
          <w:tab w:val="center" w:pos="1701"/>
          <w:tab w:val="center" w:pos="7371"/>
        </w:tabs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BB1162">
        <w:rPr>
          <w:rFonts w:ascii="Arial" w:hAnsi="Arial" w:cs="Arial"/>
          <w:sz w:val="20"/>
          <w:szCs w:val="20"/>
          <w:lang w:eastAsia="sk-SK"/>
        </w:rPr>
        <w:tab/>
      </w:r>
      <w:r w:rsidRPr="00BC5C07">
        <w:rPr>
          <w:rFonts w:ascii="Arial" w:hAnsi="Arial" w:cs="Arial"/>
          <w:sz w:val="24"/>
          <w:szCs w:val="24"/>
          <w:lang w:eastAsia="sk-SK"/>
        </w:rPr>
        <w:t>zodpovedná osoba za  vypracovanie</w:t>
      </w:r>
      <w:r w:rsidRPr="00BB116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BB1162">
        <w:rPr>
          <w:rFonts w:ascii="Arial" w:hAnsi="Arial" w:cs="Arial"/>
          <w:sz w:val="20"/>
          <w:szCs w:val="20"/>
          <w:lang w:eastAsia="sk-SK"/>
        </w:rPr>
        <w:tab/>
      </w:r>
      <w:r w:rsidRPr="00BC5C07">
        <w:rPr>
          <w:rFonts w:ascii="Arial" w:hAnsi="Arial" w:cs="Arial"/>
          <w:sz w:val="24"/>
          <w:szCs w:val="24"/>
          <w:lang w:eastAsia="sk-SK"/>
        </w:rPr>
        <w:t>štatutárny orgán obce</w:t>
      </w:r>
    </w:p>
    <w:p w14:paraId="6A2E5AA6" w14:textId="77777777" w:rsidR="00E26BF3" w:rsidRPr="00BC5C07" w:rsidRDefault="00E26BF3" w:rsidP="00BB11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14:paraId="0F588553" w14:textId="77777777" w:rsidR="00E26BF3" w:rsidRDefault="00E26BF3"/>
    <w:sectPr w:rsidR="00E26BF3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8A0E4F" w14:textId="77777777" w:rsidR="00D66DC8" w:rsidRDefault="00D66DC8">
      <w:pPr>
        <w:spacing w:after="0" w:line="240" w:lineRule="auto"/>
      </w:pPr>
      <w:r>
        <w:separator/>
      </w:r>
    </w:p>
  </w:endnote>
  <w:endnote w:type="continuationSeparator" w:id="0">
    <w:p w14:paraId="2580C4F1" w14:textId="77777777" w:rsidR="00D66DC8" w:rsidRDefault="00D6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FF6DA9" w14:textId="77777777" w:rsidR="00E26BF3" w:rsidRDefault="00E26BF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5F3C">
      <w:rPr>
        <w:rStyle w:val="slostrany"/>
        <w:noProof/>
      </w:rPr>
      <w:t>5</w:t>
    </w:r>
    <w:r>
      <w:rPr>
        <w:rStyle w:val="slostrany"/>
      </w:rPr>
      <w:fldChar w:fldCharType="end"/>
    </w:r>
  </w:p>
  <w:p w14:paraId="4F1EC230" w14:textId="77777777" w:rsidR="00E26BF3" w:rsidRDefault="00E26BF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3BC7CE" w14:textId="77777777" w:rsidR="00D66DC8" w:rsidRDefault="00D66DC8">
      <w:pPr>
        <w:spacing w:after="0" w:line="240" w:lineRule="auto"/>
      </w:pPr>
      <w:r>
        <w:separator/>
      </w:r>
    </w:p>
  </w:footnote>
  <w:footnote w:type="continuationSeparator" w:id="0">
    <w:p w14:paraId="6A8BC600" w14:textId="77777777" w:rsidR="00D66DC8" w:rsidRDefault="00D66D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515FD9"/>
    <w:multiLevelType w:val="hybridMultilevel"/>
    <w:tmpl w:val="9B2A2454"/>
    <w:lvl w:ilvl="0" w:tplc="041B0005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cs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600"/>
    <w:rsid w:val="00020DBE"/>
    <w:rsid w:val="00065758"/>
    <w:rsid w:val="00084A7F"/>
    <w:rsid w:val="000C237E"/>
    <w:rsid w:val="000C749F"/>
    <w:rsid w:val="00132918"/>
    <w:rsid w:val="00136C41"/>
    <w:rsid w:val="00197DE3"/>
    <w:rsid w:val="001A6D2A"/>
    <w:rsid w:val="001C06B5"/>
    <w:rsid w:val="00212E98"/>
    <w:rsid w:val="002563BD"/>
    <w:rsid w:val="002730C7"/>
    <w:rsid w:val="002A0447"/>
    <w:rsid w:val="002B693A"/>
    <w:rsid w:val="003536B4"/>
    <w:rsid w:val="00394DFE"/>
    <w:rsid w:val="003B7202"/>
    <w:rsid w:val="003C07D3"/>
    <w:rsid w:val="003C56D0"/>
    <w:rsid w:val="003E592F"/>
    <w:rsid w:val="00400E05"/>
    <w:rsid w:val="00491430"/>
    <w:rsid w:val="004F6843"/>
    <w:rsid w:val="00562172"/>
    <w:rsid w:val="005D53B1"/>
    <w:rsid w:val="005E267B"/>
    <w:rsid w:val="006436C6"/>
    <w:rsid w:val="00673018"/>
    <w:rsid w:val="006779A5"/>
    <w:rsid w:val="0068299F"/>
    <w:rsid w:val="00682F94"/>
    <w:rsid w:val="006B0828"/>
    <w:rsid w:val="006B6CFF"/>
    <w:rsid w:val="006F27E5"/>
    <w:rsid w:val="00726927"/>
    <w:rsid w:val="00726A99"/>
    <w:rsid w:val="00773242"/>
    <w:rsid w:val="008B5E24"/>
    <w:rsid w:val="00904610"/>
    <w:rsid w:val="00947F30"/>
    <w:rsid w:val="0096070D"/>
    <w:rsid w:val="00965F3C"/>
    <w:rsid w:val="009B2992"/>
    <w:rsid w:val="00A16CD3"/>
    <w:rsid w:val="00A351DA"/>
    <w:rsid w:val="00A7515D"/>
    <w:rsid w:val="00A975CA"/>
    <w:rsid w:val="00AC6070"/>
    <w:rsid w:val="00B85F18"/>
    <w:rsid w:val="00BB1162"/>
    <w:rsid w:val="00BB2D06"/>
    <w:rsid w:val="00BC04B8"/>
    <w:rsid w:val="00BC462A"/>
    <w:rsid w:val="00BC5C07"/>
    <w:rsid w:val="00BC7F62"/>
    <w:rsid w:val="00C04D32"/>
    <w:rsid w:val="00C17542"/>
    <w:rsid w:val="00C24A2F"/>
    <w:rsid w:val="00C469AF"/>
    <w:rsid w:val="00C9297B"/>
    <w:rsid w:val="00CC0690"/>
    <w:rsid w:val="00CC4600"/>
    <w:rsid w:val="00CD489E"/>
    <w:rsid w:val="00D3258A"/>
    <w:rsid w:val="00D33068"/>
    <w:rsid w:val="00D3448C"/>
    <w:rsid w:val="00D45C3D"/>
    <w:rsid w:val="00D66DC8"/>
    <w:rsid w:val="00D70A17"/>
    <w:rsid w:val="00DC55FF"/>
    <w:rsid w:val="00E21F74"/>
    <w:rsid w:val="00E238DE"/>
    <w:rsid w:val="00E26BF3"/>
    <w:rsid w:val="00E364A8"/>
    <w:rsid w:val="00E61A8F"/>
    <w:rsid w:val="00E8399F"/>
    <w:rsid w:val="00E93EFE"/>
    <w:rsid w:val="00EA3B59"/>
    <w:rsid w:val="00EB1D3A"/>
    <w:rsid w:val="00F21E43"/>
    <w:rsid w:val="00F31DAE"/>
    <w:rsid w:val="00F55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186DA"/>
  <w15:docId w15:val="{927B703D-EB4E-477C-BBAE-D1DBB1097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69A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BB1162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BB1162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BB1162"/>
  </w:style>
  <w:style w:type="paragraph" w:styleId="Textbubliny">
    <w:name w:val="Balloon Text"/>
    <w:basedOn w:val="Normlny"/>
    <w:link w:val="TextbublinyChar"/>
    <w:uiPriority w:val="99"/>
    <w:semiHidden/>
    <w:rsid w:val="00BC5C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730C7"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1152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obec Bernolakovo</Company>
  <LinksUpToDate>false</LinksUpToDate>
  <CharactersWithSpaces>7704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branicka</dc:creator>
  <cp:keywords/>
  <dc:description/>
  <cp:lastModifiedBy>Zuzana Grecova</cp:lastModifiedBy>
  <cp:revision>4</cp:revision>
  <cp:lastPrinted>2016-12-12T09:26:00Z</cp:lastPrinted>
  <dcterms:created xsi:type="dcterms:W3CDTF">2019-07-22T13:31:00Z</dcterms:created>
  <dcterms:modified xsi:type="dcterms:W3CDTF">2019-07-22T13:32:00Z</dcterms:modified>
</cp:coreProperties>
</file>