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VÝROČNÁ SPRÁVA  ZA ROK 201</w:t>
      </w:r>
      <w:r w:rsidR="001147A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</w:t>
      </w:r>
      <w:bookmarkStart w:id="0" w:name="_GoBack"/>
      <w:bookmarkEnd w:id="0"/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Obsah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Charakteristika spoločnosti, informácia o spoločnosti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Predmet podnikania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Organizácia spoločnosti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Vývoj ekonomických ukazovateľov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doplňujúce informácie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Výhľad na ďalšie obdobie</w:t>
      </w:r>
    </w:p>
    <w:p w:rsidR="005C4A28" w:rsidRPr="005C4A28" w:rsidRDefault="005C4A28" w:rsidP="005C4A28">
      <w:pPr>
        <w:numPr>
          <w:ilvl w:val="0"/>
          <w:numId w:val="1"/>
        </w:numPr>
        <w:spacing w:before="100" w:beforeAutospacing="1" w:after="100" w:afterAutospacing="1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Prílohy:</w:t>
      </w:r>
    </w:p>
    <w:p w:rsidR="005C4A28" w:rsidRPr="00C61F09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1. Charakteristika spoločnosti, informácie o spoločnosti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Identifikačné údaje o spoločnosti</w:t>
      </w:r>
    </w:p>
    <w:p w:rsidR="005C4A28" w:rsidRPr="00C61F09" w:rsidRDefault="005C4A28" w:rsidP="00C61F09">
      <w:pPr>
        <w:rPr>
          <w:sz w:val="24"/>
          <w:szCs w:val="24"/>
          <w:lang w:eastAsia="sk-SK"/>
        </w:rPr>
      </w:pPr>
      <w:r w:rsidRPr="00C61F09">
        <w:rPr>
          <w:sz w:val="24"/>
          <w:szCs w:val="24"/>
          <w:lang w:eastAsia="sk-SK"/>
        </w:rPr>
        <w:t>Názov spoločnosti: AGROJÁN s.r.o.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S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ídlo spoločnosti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 Viničná cesta 52, 968 01 Nová Baňa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P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rávna forma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: Spoločnosť s ručením obmedzeným 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R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egistrácia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 OR OS Banská Bystrica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, oddiel Sro, vložka č.: 15383/S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IČO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44 384 084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DIČ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2022686677</w:t>
      </w:r>
    </w:p>
    <w:p w:rsidR="005C4A28" w:rsidRPr="00C61F09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IČ DPH</w:t>
      </w: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="00C61F09"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SK2022686677</w:t>
      </w:r>
    </w:p>
    <w:p w:rsidR="00C61F09" w:rsidRP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sz w:val="24"/>
          <w:szCs w:val="24"/>
          <w:lang w:eastAsia="sk-SK"/>
        </w:rPr>
        <w:t>Predmety podnikania zapísané v obchodnom registri: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C61F09" w:rsidRPr="00C61F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18.09.2008)</w:t>
            </w:r>
          </w:p>
        </w:tc>
      </w:tr>
    </w:tbl>
    <w:p w:rsidR="00C61F09" w:rsidRPr="00C61F09" w:rsidRDefault="00C61F09" w:rsidP="00C61F0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C61F09" w:rsidRPr="00C61F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poľnohospodárstvo vrátane predaja nespracovaných poľnohospodárskych výrobkov za účelom spracovania, alebo ďalšieho predaja </w:t>
            </w:r>
          </w:p>
        </w:tc>
        <w:tc>
          <w:tcPr>
            <w:tcW w:w="1650" w:type="pct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18.09.2008)</w:t>
            </w:r>
          </w:p>
        </w:tc>
      </w:tr>
    </w:tbl>
    <w:p w:rsidR="00C61F09" w:rsidRPr="00C61F09" w:rsidRDefault="00C61F09" w:rsidP="00C61F0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C61F09" w:rsidRPr="00C61F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18.09.2008)</w:t>
            </w:r>
          </w:p>
        </w:tc>
      </w:tr>
    </w:tbl>
    <w:p w:rsidR="00C61F09" w:rsidRPr="00C61F09" w:rsidRDefault="00C61F09" w:rsidP="00C61F0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C61F09" w:rsidRPr="00C61F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poskytovanie služieb v poľnohospodárstve a záhradníctve </w:t>
            </w:r>
          </w:p>
        </w:tc>
        <w:tc>
          <w:tcPr>
            <w:tcW w:w="1650" w:type="pct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18.09.2008)</w:t>
            </w:r>
          </w:p>
        </w:tc>
      </w:tr>
    </w:tbl>
    <w:p w:rsidR="00C61F09" w:rsidRPr="00C61F09" w:rsidRDefault="00C61F09" w:rsidP="00C61F0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997"/>
        <w:gridCol w:w="3469"/>
      </w:tblGrid>
      <w:tr w:rsidR="00C61F09" w:rsidRPr="00C61F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pohostinská činnosť a výroba hotových jedál pre výdajne </w:t>
            </w:r>
          </w:p>
        </w:tc>
        <w:tc>
          <w:tcPr>
            <w:tcW w:w="1650" w:type="pct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 (od: 06.02.2014)</w:t>
            </w:r>
          </w:p>
        </w:tc>
      </w:tr>
    </w:tbl>
    <w:p w:rsidR="00C61F09" w:rsidRPr="00C61F09" w:rsidRDefault="00C61F09" w:rsidP="00C61F09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66"/>
      </w:tblGrid>
      <w:tr w:rsidR="00C61F09" w:rsidRPr="00C61F09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61F09" w:rsidRPr="00C61F09" w:rsidRDefault="00C61F09" w:rsidP="00C61F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61F09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výroba pekárskych a cukrárenských výrobkov </w:t>
            </w:r>
          </w:p>
        </w:tc>
      </w:tr>
    </w:tbl>
    <w:p w:rsid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1F09" w:rsidRP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1F09" w:rsidRPr="005C4A28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Oblasti pôsobenia spoločnosti</w:t>
      </w:r>
    </w:p>
    <w:p w:rsidR="001475F5" w:rsidRPr="00C61F09" w:rsidRDefault="001475F5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C61F09" w:rsidRDefault="00C61F09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Činnosť spoločnosti je zameraná  na poskytovanie  reštauračných služieb, výrobu pekárenských a cukrárenských výrobkov  a poľnohospodársku výrobu.</w:t>
      </w:r>
    </w:p>
    <w:p w:rsidR="001475F5" w:rsidRPr="005C4A28" w:rsidRDefault="001475F5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61F09" w:rsidRDefault="00C61F0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Reštauračná činnosť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je realizovaná prostredníctvom reštaurácie ,,TEKOVSKÁ KÚRIA“</w:t>
      </w:r>
      <w:r w:rsidR="007A315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, ktorá sa nachádza v blízkosti diaľnice  R1 v časti Remiatka – Hronský Beňadik. Reštaurácia je zameraná na hostí prechádzajúcich po R1 so zameraným na slovenskú kuchyňu s prvkami moderny. </w:t>
      </w:r>
    </w:p>
    <w:p w:rsidR="001475F5" w:rsidRDefault="001475F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Spoločnosť má pripravenú realizáciu prevádzky ďalšej reštaurácie v Trnave v období prelomu rokov 2018/2019 spolu s realizáciou predaja pekárenských výrobkov</w:t>
      </w:r>
    </w:p>
    <w:p w:rsidR="007A3159" w:rsidRDefault="007A315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7A3159" w:rsidRDefault="007A315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7A315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Výroba pekárenských a cukrárenských výrobkov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je realizovaná prostredníctvom dvoch pekárni a to:</w:t>
      </w:r>
    </w:p>
    <w:p w:rsidR="007A3159" w:rsidRPr="007A3159" w:rsidRDefault="007A3159" w:rsidP="007A3159">
      <w:pPr>
        <w:pStyle w:val="Odsekzoznamu"/>
        <w:numPr>
          <w:ilvl w:val="0"/>
          <w:numId w:val="2"/>
        </w:num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7A3159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pekáreň nachádzajúca sa v priamej blízkosti reštaurácie so zameraním na sladké pečivo</w:t>
      </w:r>
    </w:p>
    <w:p w:rsidR="007A3159" w:rsidRDefault="007A3159" w:rsidP="007A3159">
      <w:pPr>
        <w:pStyle w:val="Odsekzoznamu"/>
        <w:numPr>
          <w:ilvl w:val="0"/>
          <w:numId w:val="2"/>
        </w:num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pekáreň nachádzajúca sa v Novej Bani so zameraním na slané pečivo</w:t>
      </w:r>
    </w:p>
    <w:p w:rsidR="007A3159" w:rsidRDefault="007A3159" w:rsidP="007A3159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Uvedené výrobky sú realizované do výnosov prostredníctvom predaja v priestoroch pekárne č. 1, dodávkou pečiva do reštaurácie, predajom  v predajných miestach Trnava, Levice, Zvolen, Nová Baňa, Žiar nad Hronom.</w:t>
      </w:r>
      <w:r w:rsidR="001475F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Kapacita pekárne č.2 je využitá na cca 50 % , ale v rámci plánovanej realizácie projektu Trnava bude jej kapacita využitá na 100%.</w:t>
      </w:r>
    </w:p>
    <w:p w:rsidR="007A3159" w:rsidRDefault="007A3159" w:rsidP="007A3159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:rsidR="007A3159" w:rsidRPr="007A3159" w:rsidRDefault="007A3159" w:rsidP="007A3159">
      <w:pPr>
        <w:spacing w:after="0" w:line="24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Poľnohospodárka výroba-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spoločnosť vykonáva </w:t>
      </w:r>
      <w:r w:rsidR="006964B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poľnohospodársku činnosť prostredníctvom  strediska VOZNICA – kde realizuje chov zvierat, predovšetkým hovädzieho dobytka- chov kráv bez trhovej produkcie mlieka. Spoločnosť obhospodaruje cca 400 ha poľnohospodárskej pôdy- výroba krmovín a trvalé trávne porasty určené aj na pasenie zvierat. Spoločnosť ustupuje od chovu oviec, nakoľko nie je možné uvedenú činnosť zabezpečiť personálne.</w:t>
      </w:r>
      <w:r w:rsidR="001475F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Ostatná činnosť je zabezpečená personálne aj technicky na vysokej úrovni. Spoločnosť na stredisku Voznica plánuje vykonanie rekonštrukcie existujúcich stavieb, bohužiaľ bez presnejšieho termínu, nakoľko pozemky vlastný Slovenský pozemkový fond s ktorým má spoločnosť uzatvorenú kúpnu zmluvu na odkúpenie predmetných pozemkov, ale ešte nedoručenú zo strany SPF cez 2 roky, čo znemožňuje začatie stavebného konania.</w:t>
      </w:r>
    </w:p>
    <w:p w:rsidR="00C61F09" w:rsidRDefault="00C61F0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C61F09" w:rsidRDefault="00C61F09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2. Organizácia spoločnosti</w:t>
      </w:r>
    </w:p>
    <w:p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Štatutárne a riadiace orgány spoločnosti, organizačná štruktúra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zastupujú a konajú za ňu dvaja konatelia – a to vždy spoločne od 2.12.2017.  Do 1.12.2017- konal za spoločnosť jediný spoločník a konateľ v jednej osobe.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Vlastnícka štruktúra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má jedného spoločníka, ktorý vlastní 100% podiel spoločnosti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 konsolidovanom celku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spoločnosť nie je v konsolidovanom celku</w:t>
      </w:r>
    </w:p>
    <w:p w:rsid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Stav zamestnancov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k 31.12.201</w:t>
      </w:r>
      <w:r w:rsidR="000239D5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</w:t>
      </w:r>
      <w:r w:rsidR="000239D5">
        <w:rPr>
          <w:rFonts w:ascii="Times New Roman" w:eastAsia="Times New Roman" w:hAnsi="Times New Roman" w:cs="Times New Roman"/>
          <w:sz w:val="24"/>
          <w:szCs w:val="24"/>
          <w:lang w:eastAsia="sk-SK"/>
        </w:rPr>
        <w:t>57</w:t>
      </w:r>
      <w:r w:rsidR="006964B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6964B8" w:rsidRDefault="006964B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964B8" w:rsidRDefault="006964B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475F5" w:rsidRDefault="001475F5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475F5" w:rsidRDefault="001475F5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964B8" w:rsidRPr="005C4A28" w:rsidRDefault="006964B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lastRenderedPageBreak/>
        <w:t xml:space="preserve">3. </w:t>
      </w:r>
      <w:r w:rsidR="001475F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Prehľad</w:t>
      </w: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ekonomických ukazovateľov</w:t>
      </w:r>
      <w:r w:rsidR="001475F5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za rok 201</w:t>
      </w:r>
      <w:r w:rsidR="00C76B4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8</w:t>
      </w:r>
      <w:r w:rsidR="00EB48B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, 201</w:t>
      </w:r>
      <w:r w:rsidR="00C76B4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7</w:t>
      </w:r>
    </w:p>
    <w:p w:rsidR="001475F5" w:rsidRDefault="001475F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EB48B0" w:rsidRDefault="00EB48B0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201</w:t>
      </w:r>
      <w:r w:rsidR="000239D5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2017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0239D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INDEX 2018/2017</w:t>
      </w:r>
    </w:p>
    <w:p w:rsidR="001475F5" w:rsidRDefault="00EB48B0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96BC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Majetok spolu: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0239D5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0239D5">
        <w:rPr>
          <w:rFonts w:ascii="Times New Roman" w:eastAsia="Times New Roman" w:hAnsi="Times New Roman" w:cs="Times New Roman"/>
          <w:sz w:val="24"/>
          <w:szCs w:val="24"/>
          <w:lang w:eastAsia="sk-SK"/>
        </w:rPr>
        <w:t>889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0239D5">
        <w:rPr>
          <w:rFonts w:ascii="Times New Roman" w:eastAsia="Times New Roman" w:hAnsi="Times New Roman" w:cs="Times New Roman"/>
          <w:sz w:val="24"/>
          <w:szCs w:val="24"/>
          <w:lang w:eastAsia="sk-SK"/>
        </w:rPr>
        <w:t>101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2.821.934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0239D5">
        <w:rPr>
          <w:rFonts w:ascii="Times New Roman" w:eastAsia="Times New Roman" w:hAnsi="Times New Roman" w:cs="Times New Roman"/>
          <w:sz w:val="24"/>
          <w:szCs w:val="24"/>
          <w:lang w:eastAsia="sk-SK"/>
        </w:rPr>
        <w:t>0,66</w:t>
      </w:r>
    </w:p>
    <w:p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B48B0">
        <w:rPr>
          <w:rFonts w:ascii="Times New Roman" w:eastAsia="Times New Roman" w:hAnsi="Times New Roman" w:cs="Times New Roman"/>
          <w:sz w:val="24"/>
          <w:szCs w:val="24"/>
          <w:lang w:eastAsia="sk-SK"/>
        </w:rPr>
        <w:t>Neobežný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6494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407.751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590.041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64945">
        <w:rPr>
          <w:rFonts w:ascii="Times New Roman" w:eastAsia="Times New Roman" w:hAnsi="Times New Roman" w:cs="Times New Roman"/>
          <w:sz w:val="24"/>
          <w:szCs w:val="24"/>
          <w:lang w:eastAsia="sk-SK"/>
        </w:rPr>
        <w:t>0,69</w:t>
      </w:r>
    </w:p>
    <w:p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Obežný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64945">
        <w:rPr>
          <w:rFonts w:ascii="Times New Roman" w:eastAsia="Times New Roman" w:hAnsi="Times New Roman" w:cs="Times New Roman"/>
          <w:sz w:val="24"/>
          <w:szCs w:val="24"/>
          <w:lang w:eastAsia="sk-SK"/>
        </w:rPr>
        <w:t>1.479.958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2.231.893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64945">
        <w:rPr>
          <w:rFonts w:ascii="Times New Roman" w:eastAsia="Times New Roman" w:hAnsi="Times New Roman" w:cs="Times New Roman"/>
          <w:sz w:val="24"/>
          <w:szCs w:val="24"/>
          <w:lang w:eastAsia="sk-SK"/>
        </w:rPr>
        <w:t>0,66</w:t>
      </w:r>
    </w:p>
    <w:p w:rsidR="00EB48B0" w:rsidRDefault="00EB48B0" w:rsidP="00EB48B0">
      <w:pPr>
        <w:pStyle w:val="Odsekzoznamu"/>
        <w:numPr>
          <w:ilvl w:val="0"/>
          <w:numId w:val="3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Časové rozlíšenie</w:t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6494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1.392</w:t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96BCE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</w:t>
      </w:r>
    </w:p>
    <w:p w:rsidR="00296BCE" w:rsidRDefault="00296BCE" w:rsidP="00296BCE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296BCE" w:rsidRPr="00296BCE" w:rsidRDefault="00296BCE" w:rsidP="00296BCE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96BC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Spolu vlastné imanie a záväzky: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E64945" w:rsidRPr="00E64945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1.889.101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2.821.934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64945">
        <w:rPr>
          <w:rFonts w:ascii="Times New Roman" w:eastAsia="Times New Roman" w:hAnsi="Times New Roman" w:cs="Times New Roman"/>
          <w:sz w:val="24"/>
          <w:szCs w:val="24"/>
          <w:lang w:eastAsia="sk-SK"/>
        </w:rPr>
        <w:t>0,66</w:t>
      </w:r>
    </w:p>
    <w:p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Vlastné imanie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64945">
        <w:rPr>
          <w:rFonts w:ascii="Times New Roman" w:eastAsia="Times New Roman" w:hAnsi="Times New Roman" w:cs="Times New Roman"/>
          <w:sz w:val="24"/>
          <w:szCs w:val="24"/>
          <w:lang w:eastAsia="sk-SK"/>
        </w:rPr>
        <w:t>1.242.889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2.151.274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64945">
        <w:rPr>
          <w:rFonts w:ascii="Times New Roman" w:eastAsia="Times New Roman" w:hAnsi="Times New Roman" w:cs="Times New Roman"/>
          <w:sz w:val="24"/>
          <w:szCs w:val="24"/>
          <w:lang w:eastAsia="sk-SK"/>
        </w:rPr>
        <w:t>0,58</w:t>
      </w:r>
    </w:p>
    <w:p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</w:t>
      </w:r>
      <w:r w:rsidR="00E64945">
        <w:rPr>
          <w:rFonts w:ascii="Times New Roman" w:eastAsia="Times New Roman" w:hAnsi="Times New Roman" w:cs="Times New Roman"/>
          <w:sz w:val="24"/>
          <w:szCs w:val="24"/>
          <w:lang w:eastAsia="sk-SK"/>
        </w:rPr>
        <w:t>266.992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291.440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E64945">
        <w:rPr>
          <w:rFonts w:ascii="Times New Roman" w:eastAsia="Times New Roman" w:hAnsi="Times New Roman" w:cs="Times New Roman"/>
          <w:sz w:val="24"/>
          <w:szCs w:val="24"/>
          <w:lang w:eastAsia="sk-SK"/>
        </w:rPr>
        <w:t>0,92</w:t>
      </w:r>
    </w:p>
    <w:p w:rsidR="00296BCE" w:rsidRDefault="00296BCE" w:rsidP="00296BCE">
      <w:pPr>
        <w:pStyle w:val="Odsekzoznamu"/>
        <w:numPr>
          <w:ilvl w:val="0"/>
          <w:numId w:val="5"/>
        </w:num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Časové rozlíšenie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379.220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379.220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</w:t>
      </w:r>
    </w:p>
    <w:p w:rsidR="00073D95" w:rsidRDefault="00073D95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3D95" w:rsidRPr="00073D95" w:rsidRDefault="00073D95" w:rsidP="00073D95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Výsledok hospodárenia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</w:t>
      </w:r>
      <w:r w:rsidR="00E6494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362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  <w:r w:rsidR="00E6494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661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346.024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E6494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1,05</w:t>
      </w:r>
    </w:p>
    <w:p w:rsidR="00296BCE" w:rsidRDefault="00E64945" w:rsidP="005C4A28">
      <w:pPr>
        <w:spacing w:before="144" w:after="144" w:line="240" w:lineRule="atLeast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Čistý obrat</w:t>
      </w:r>
      <w:r w:rsidR="00C76B4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C76B4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C76B4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C76B4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  <w:t xml:space="preserve"> 3.245.645</w:t>
      </w:r>
      <w:r w:rsidR="00C76B4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C76B4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  <w:t>2.948.031</w:t>
      </w:r>
      <w:r w:rsidR="00C76B4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C76B4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  <w:t xml:space="preserve">1,10   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Rozdelenie výsledku hospodárenia</w:t>
      </w: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05414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</w:t>
      </w:r>
      <w:r w:rsidR="00073D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bude </w:t>
      </w:r>
      <w:r w:rsidR="00C76B46">
        <w:rPr>
          <w:rFonts w:ascii="Times New Roman" w:eastAsia="Times New Roman" w:hAnsi="Times New Roman" w:cs="Times New Roman"/>
          <w:sz w:val="24"/>
          <w:szCs w:val="24"/>
          <w:lang w:eastAsia="sk-SK"/>
        </w:rPr>
        <w:t>nebude rozdelený, ale ponechaný ako nerozdelený zisk minulých rokov.</w:t>
      </w:r>
    </w:p>
    <w:p w:rsidR="005C4A28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4</w:t>
      </w:r>
      <w:r w:rsidR="005C4A28"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. Výhľad na ďalšie obdobie</w:t>
      </w:r>
    </w:p>
    <w:p w:rsidR="00073D95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73D95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Spoločnosť v ďalšom období predpokladá iba rast svojej činnosti predovšetkým so zameraním na reštauračné služby a to realizáciou reštauračného zariadenia v Trnave, využitím voľných kapacít v pekárni na Novej Bani a tým aj zvýšenie výnosov z pekárenskej činnosti. </w:t>
      </w:r>
      <w:r w:rsidR="00EE327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poľnohospodárskej činnosti  predpokladáme stagnáciu, nakoľko kapacitne nie je možné zvýšenie stavu zvierat a následne aj výnosov. </w:t>
      </w:r>
      <w:r w:rsidR="00E6494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</w:t>
      </w:r>
    </w:p>
    <w:p w:rsidR="00073D95" w:rsidRPr="005C4A28" w:rsidRDefault="00073D95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5C4A28" w:rsidRPr="005C4A28" w:rsidRDefault="005C4A28" w:rsidP="005C4A28">
      <w:pPr>
        <w:spacing w:after="0" w:line="240" w:lineRule="auto"/>
        <w:outlineLvl w:val="3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61F0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6. Prílohy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spoločnosti za ro</w:t>
      </w:r>
      <w:r w:rsidR="00073D95">
        <w:rPr>
          <w:rFonts w:ascii="Times New Roman" w:eastAsia="Times New Roman" w:hAnsi="Times New Roman" w:cs="Times New Roman"/>
          <w:sz w:val="24"/>
          <w:szCs w:val="24"/>
          <w:lang w:eastAsia="sk-SK"/>
        </w:rPr>
        <w:t>k 201</w:t>
      </w:r>
      <w:r w:rsidR="000239D5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:rsidR="005C4A28" w:rsidRPr="005C4A28" w:rsidRDefault="005C4A28" w:rsidP="005C4A28">
      <w:pPr>
        <w:spacing w:before="144" w:after="144" w:line="2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C4A28">
        <w:rPr>
          <w:rFonts w:ascii="Times New Roman" w:eastAsia="Times New Roman" w:hAnsi="Times New Roman" w:cs="Times New Roman"/>
          <w:sz w:val="24"/>
          <w:szCs w:val="24"/>
          <w:lang w:eastAsia="sk-SK"/>
        </w:rPr>
        <w:t>Správa audítora</w:t>
      </w:r>
    </w:p>
    <w:p w:rsidR="00E0392E" w:rsidRPr="00C61F09" w:rsidRDefault="00E0392E">
      <w:pPr>
        <w:rPr>
          <w:rFonts w:ascii="Times New Roman" w:hAnsi="Times New Roman" w:cs="Times New Roman"/>
          <w:sz w:val="24"/>
          <w:szCs w:val="24"/>
        </w:rPr>
      </w:pPr>
    </w:p>
    <w:sectPr w:rsidR="00E0392E" w:rsidRPr="00C61F09" w:rsidSect="005C4A28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C411A" w:rsidRDefault="00EC411A" w:rsidP="005C4A28">
      <w:pPr>
        <w:spacing w:after="0" w:line="240" w:lineRule="auto"/>
      </w:pPr>
      <w:r>
        <w:separator/>
      </w:r>
    </w:p>
  </w:endnote>
  <w:endnote w:type="continuationSeparator" w:id="0">
    <w:p w:rsidR="00EC411A" w:rsidRDefault="00EC411A" w:rsidP="005C4A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C411A" w:rsidRDefault="00EC411A" w:rsidP="005C4A28">
      <w:pPr>
        <w:spacing w:after="0" w:line="240" w:lineRule="auto"/>
      </w:pPr>
      <w:r>
        <w:separator/>
      </w:r>
    </w:p>
  </w:footnote>
  <w:footnote w:type="continuationSeparator" w:id="0">
    <w:p w:rsidR="00EC411A" w:rsidRDefault="00EC411A" w:rsidP="005C4A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C4A28" w:rsidRPr="00C61F09" w:rsidRDefault="005C4A28">
    <w:pPr>
      <w:pStyle w:val="Hlavika"/>
      <w:pBdr>
        <w:bottom w:val="single" w:sz="6" w:space="1" w:color="auto"/>
      </w:pBdr>
      <w:rPr>
        <w:b/>
        <w:sz w:val="28"/>
        <w:szCs w:val="28"/>
      </w:rPr>
    </w:pPr>
    <w:r w:rsidRPr="00C61F09">
      <w:rPr>
        <w:b/>
        <w:sz w:val="28"/>
        <w:szCs w:val="28"/>
      </w:rPr>
      <w:t>AGROJÁN s.r.o., Viničná cesta 52, 968 01 Nová Baňa</w:t>
    </w:r>
  </w:p>
  <w:p w:rsidR="005C4A28" w:rsidRPr="00C61F09" w:rsidRDefault="005C4A28">
    <w:pPr>
      <w:pStyle w:val="Hlavika"/>
      <w:rPr>
        <w:rStyle w:val="ra"/>
      </w:rPr>
    </w:pPr>
    <w:r w:rsidRPr="00C61F09">
      <w:rPr>
        <w:sz w:val="24"/>
        <w:szCs w:val="24"/>
      </w:rPr>
      <w:t xml:space="preserve">Zapísaná v obchodnom registri Okresného súdu Banská Bystrica, oddiel Sro, vložka č.: </w:t>
    </w:r>
    <w:r w:rsidRPr="00C61F09">
      <w:rPr>
        <w:rStyle w:val="ra"/>
      </w:rPr>
      <w:t>15383/S</w:t>
    </w:r>
  </w:p>
  <w:p w:rsidR="005C4A28" w:rsidRPr="00C61F09" w:rsidRDefault="005C4A28">
    <w:pPr>
      <w:pStyle w:val="Hlavika"/>
      <w:rPr>
        <w:sz w:val="24"/>
        <w:szCs w:val="24"/>
      </w:rPr>
    </w:pPr>
    <w:r w:rsidRPr="00C61F09">
      <w:rPr>
        <w:sz w:val="24"/>
        <w:szCs w:val="24"/>
      </w:rPr>
      <w:t>IČO: 44 384 084</w:t>
    </w:r>
  </w:p>
  <w:tbl>
    <w:tblPr>
      <w:tblW w:w="5000" w:type="pct"/>
      <w:jc w:val="center"/>
      <w:tblCellSpacing w:w="22" w:type="dxa"/>
      <w:shd w:val="clear" w:color="auto" w:fill="FFFFFF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133"/>
      <w:gridCol w:w="8333"/>
    </w:tblGrid>
    <w:tr w:rsidR="00C61F09" w:rsidRPr="005C4A28" w:rsidTr="005C4A28">
      <w:trPr>
        <w:tblCellSpacing w:w="22" w:type="dxa"/>
        <w:jc w:val="center"/>
      </w:trPr>
      <w:tc>
        <w:tcPr>
          <w:tcW w:w="1000" w:type="pct"/>
          <w:shd w:val="clear" w:color="auto" w:fill="FFFFFF"/>
          <w:hideMark/>
        </w:tcPr>
        <w:p w:rsidR="005C4A28" w:rsidRPr="005C4A28" w:rsidRDefault="005C4A28" w:rsidP="005C4A28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4000" w:type="pct"/>
          <w:shd w:val="clear" w:color="auto" w:fill="FFFFFF"/>
          <w:vAlign w:val="center"/>
          <w:hideMark/>
        </w:tcPr>
        <w:tbl>
          <w:tblPr>
            <w:tblW w:w="5000" w:type="pct"/>
            <w:tblCellSpacing w:w="15" w:type="dxa"/>
            <w:tblCellMar>
              <w:top w:w="15" w:type="dxa"/>
              <w:left w:w="15" w:type="dxa"/>
              <w:bottom w:w="15" w:type="dxa"/>
              <w:right w:w="15" w:type="dxa"/>
            </w:tblCellMar>
            <w:tblLook w:val="04A0" w:firstRow="1" w:lastRow="0" w:firstColumn="1" w:lastColumn="0" w:noHBand="0" w:noVBand="1"/>
          </w:tblPr>
          <w:tblGrid>
            <w:gridCol w:w="8267"/>
          </w:tblGrid>
          <w:tr w:rsidR="00C61F09" w:rsidRPr="005C4A28">
            <w:trPr>
              <w:tblCellSpacing w:w="15" w:type="dxa"/>
            </w:trPr>
            <w:tc>
              <w:tcPr>
                <w:tcW w:w="3350" w:type="pct"/>
                <w:vAlign w:val="center"/>
                <w:hideMark/>
              </w:tcPr>
              <w:p w:rsidR="005C4A28" w:rsidRPr="005C4A28" w:rsidRDefault="005C4A28" w:rsidP="005C4A28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sz w:val="24"/>
                    <w:szCs w:val="24"/>
                    <w:lang w:eastAsia="sk-SK"/>
                  </w:rPr>
                </w:pPr>
              </w:p>
            </w:tc>
          </w:tr>
        </w:tbl>
        <w:p w:rsidR="005C4A28" w:rsidRPr="005C4A28" w:rsidRDefault="005C4A28" w:rsidP="005C4A28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</w:tr>
  </w:tbl>
  <w:p w:rsidR="005C4A28" w:rsidRPr="005C4A28" w:rsidRDefault="005C4A28">
    <w:pPr>
      <w:pStyle w:val="Hlavika"/>
      <w:rPr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C93F0E"/>
    <w:multiLevelType w:val="hybridMultilevel"/>
    <w:tmpl w:val="0C8CBA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5B7136"/>
    <w:multiLevelType w:val="multilevel"/>
    <w:tmpl w:val="F50441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8F8675A"/>
    <w:multiLevelType w:val="hybridMultilevel"/>
    <w:tmpl w:val="0DC6CE8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452651F"/>
    <w:multiLevelType w:val="hybridMultilevel"/>
    <w:tmpl w:val="3740DD32"/>
    <w:lvl w:ilvl="0" w:tplc="4EFA54F2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DA74904"/>
    <w:multiLevelType w:val="hybridMultilevel"/>
    <w:tmpl w:val="BA18BD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4A28"/>
    <w:rsid w:val="000239D5"/>
    <w:rsid w:val="00073D95"/>
    <w:rsid w:val="001147A6"/>
    <w:rsid w:val="001475F5"/>
    <w:rsid w:val="00296BCE"/>
    <w:rsid w:val="00445C2F"/>
    <w:rsid w:val="005C4A28"/>
    <w:rsid w:val="006964B8"/>
    <w:rsid w:val="007A3159"/>
    <w:rsid w:val="00BE0D33"/>
    <w:rsid w:val="00C61F09"/>
    <w:rsid w:val="00C76B46"/>
    <w:rsid w:val="00C93BE4"/>
    <w:rsid w:val="00DC0A47"/>
    <w:rsid w:val="00E0392E"/>
    <w:rsid w:val="00E05414"/>
    <w:rsid w:val="00E64945"/>
    <w:rsid w:val="00EB48B0"/>
    <w:rsid w:val="00EC411A"/>
    <w:rsid w:val="00EE32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0AF1DA"/>
  <w15:chartTrackingRefBased/>
  <w15:docId w15:val="{70465078-2AE4-4A86-A483-8B298B226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4">
    <w:name w:val="heading 4"/>
    <w:basedOn w:val="Normlny"/>
    <w:link w:val="Nadpis4Char"/>
    <w:uiPriority w:val="9"/>
    <w:qFormat/>
    <w:rsid w:val="005C4A28"/>
    <w:pPr>
      <w:spacing w:after="0" w:line="240" w:lineRule="auto"/>
      <w:outlineLvl w:val="3"/>
    </w:pPr>
    <w:rPr>
      <w:rFonts w:ascii="inherit" w:eastAsia="Times New Roman" w:hAnsi="inherit" w:cs="Times New Roman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uiPriority w:val="9"/>
    <w:rsid w:val="005C4A28"/>
    <w:rPr>
      <w:rFonts w:ascii="inherit" w:eastAsia="Times New Roman" w:hAnsi="inherit" w:cs="Times New Roman"/>
      <w:sz w:val="29"/>
      <w:szCs w:val="29"/>
      <w:lang w:eastAsia="sk-SK"/>
    </w:rPr>
  </w:style>
  <w:style w:type="character" w:styleId="Vrazn">
    <w:name w:val="Strong"/>
    <w:basedOn w:val="Predvolenpsmoodseku"/>
    <w:uiPriority w:val="22"/>
    <w:qFormat/>
    <w:rsid w:val="005C4A28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5C4A28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5C4A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C4A28"/>
  </w:style>
  <w:style w:type="paragraph" w:styleId="Pta">
    <w:name w:val="footer"/>
    <w:basedOn w:val="Normlny"/>
    <w:link w:val="PtaChar"/>
    <w:uiPriority w:val="99"/>
    <w:unhideWhenUsed/>
    <w:rsid w:val="005C4A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C4A28"/>
  </w:style>
  <w:style w:type="character" w:customStyle="1" w:styleId="ra">
    <w:name w:val="ra"/>
    <w:basedOn w:val="Predvolenpsmoodseku"/>
    <w:rsid w:val="005C4A28"/>
  </w:style>
  <w:style w:type="paragraph" w:styleId="Bezriadkovania">
    <w:name w:val="No Spacing"/>
    <w:uiPriority w:val="1"/>
    <w:qFormat/>
    <w:rsid w:val="00C61F09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7A315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4486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408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65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2640823">
                  <w:marLeft w:val="0"/>
                  <w:marRight w:val="0"/>
                  <w:marTop w:val="75"/>
                  <w:marBottom w:val="75"/>
                  <w:divBdr>
                    <w:top w:val="single" w:sz="6" w:space="4" w:color="CCCCCC"/>
                    <w:left w:val="single" w:sz="6" w:space="4" w:color="CCCCCC"/>
                    <w:bottom w:val="single" w:sz="6" w:space="4" w:color="CCCCCC"/>
                    <w:right w:val="single" w:sz="6" w:space="4" w:color="CCCCCC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17CF16-40E5-44F3-9CB6-42E8DBB078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731</Words>
  <Characters>4171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Ján Mádela</dc:creator>
  <cp:keywords/>
  <dc:description/>
  <cp:lastModifiedBy>Ján Mádela</cp:lastModifiedBy>
  <cp:revision>4</cp:revision>
  <dcterms:created xsi:type="dcterms:W3CDTF">2019-06-10T05:33:00Z</dcterms:created>
  <dcterms:modified xsi:type="dcterms:W3CDTF">2019-07-11T05:07:00Z</dcterms:modified>
</cp:coreProperties>
</file>