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VÝROČNÁ SPRÁVA  ZA ROK 2017</w:t>
      </w: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Obsah</w:t>
      </w:r>
    </w:p>
    <w:p w:rsidR="005C4A28" w:rsidRPr="005C4A28" w:rsidRDefault="005C4A28" w:rsidP="005C4A28">
      <w:pPr>
        <w:numPr>
          <w:ilvl w:val="0"/>
          <w:numId w:val="1"/>
        </w:numPr>
        <w:spacing w:before="100" w:beforeAutospacing="1" w:after="100" w:afterAutospacing="1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Charakteristika spoločnosti, informácia o spoločnosti</w:t>
      </w: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Predmet podnikania</w:t>
      </w:r>
    </w:p>
    <w:p w:rsidR="005C4A28" w:rsidRPr="005C4A28" w:rsidRDefault="005C4A28" w:rsidP="005C4A28">
      <w:pPr>
        <w:numPr>
          <w:ilvl w:val="0"/>
          <w:numId w:val="1"/>
        </w:numPr>
        <w:spacing w:before="100" w:beforeAutospacing="1" w:after="100" w:afterAutospacing="1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Organizácia spoločnosti</w:t>
      </w:r>
    </w:p>
    <w:p w:rsidR="005C4A28" w:rsidRPr="005C4A28" w:rsidRDefault="005C4A28" w:rsidP="005C4A28">
      <w:pPr>
        <w:numPr>
          <w:ilvl w:val="0"/>
          <w:numId w:val="1"/>
        </w:numPr>
        <w:spacing w:before="100" w:beforeAutospacing="1" w:after="100" w:afterAutospacing="1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Vývoj ekonomických ukazovateľov</w:t>
      </w:r>
    </w:p>
    <w:p w:rsidR="005C4A28" w:rsidRPr="005C4A28" w:rsidRDefault="005C4A28" w:rsidP="005C4A28">
      <w:pPr>
        <w:numPr>
          <w:ilvl w:val="0"/>
          <w:numId w:val="1"/>
        </w:numPr>
        <w:spacing w:before="100" w:beforeAutospacing="1" w:after="100" w:afterAutospacing="1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Ostatné doplňujúce informácie</w:t>
      </w:r>
    </w:p>
    <w:p w:rsidR="005C4A28" w:rsidRPr="005C4A28" w:rsidRDefault="005C4A28" w:rsidP="005C4A28">
      <w:pPr>
        <w:numPr>
          <w:ilvl w:val="0"/>
          <w:numId w:val="1"/>
        </w:numPr>
        <w:spacing w:before="100" w:beforeAutospacing="1" w:after="100" w:afterAutospacing="1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Výhľad na ďalšie obdobie</w:t>
      </w:r>
    </w:p>
    <w:p w:rsidR="005C4A28" w:rsidRPr="005C4A28" w:rsidRDefault="005C4A28" w:rsidP="005C4A28">
      <w:pPr>
        <w:numPr>
          <w:ilvl w:val="0"/>
          <w:numId w:val="1"/>
        </w:numPr>
        <w:spacing w:before="100" w:beforeAutospacing="1" w:after="100" w:afterAutospacing="1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Prílohy:</w:t>
      </w:r>
    </w:p>
    <w:p w:rsidR="005C4A28" w:rsidRPr="00C61F09" w:rsidRDefault="005C4A28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5C4A28" w:rsidRDefault="005C4A28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1. Charakteristika spoločnosti, informácie o spoločnosti</w:t>
      </w:r>
    </w:p>
    <w:p w:rsidR="005C4A28" w:rsidRP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Identifikačné údaje o spoločnosti</w:t>
      </w:r>
    </w:p>
    <w:p w:rsidR="005C4A28" w:rsidRPr="00C61F09" w:rsidRDefault="005C4A28" w:rsidP="00C61F09">
      <w:pPr>
        <w:rPr>
          <w:sz w:val="24"/>
          <w:szCs w:val="24"/>
          <w:lang w:eastAsia="sk-SK"/>
        </w:rPr>
      </w:pPr>
      <w:r w:rsidRPr="00C61F09">
        <w:rPr>
          <w:sz w:val="24"/>
          <w:szCs w:val="24"/>
          <w:lang w:eastAsia="sk-SK"/>
        </w:rPr>
        <w:t>Názov spoločnosti: AGROJÁN s.r.o.</w:t>
      </w: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S</w:t>
      </w: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ídlo spoločnosti</w:t>
      </w: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: Viničná cesta 52, 968 01 Nová Baňa</w:t>
      </w: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P</w:t>
      </w: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rávna forma</w:t>
      </w: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: Spoločnosť s ručením obmedzeným </w:t>
      </w: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R</w:t>
      </w: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egistrácia</w:t>
      </w: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: OR OS Banská Bystrica</w:t>
      </w:r>
      <w:r w:rsidR="00C61F09"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oddiel </w:t>
      </w:r>
      <w:proofErr w:type="spellStart"/>
      <w:r w:rsidR="00C61F09"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Sro</w:t>
      </w:r>
      <w:proofErr w:type="spellEnd"/>
      <w:r w:rsidR="00C61F09"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, vložka č.: 15383/S</w:t>
      </w: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IČO</w:t>
      </w: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  <w:r w:rsidR="00C61F09"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44 384 084</w:t>
      </w: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DIČ</w:t>
      </w: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  <w:r w:rsidR="00C61F09"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2022686677</w:t>
      </w: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IČ DPH</w:t>
      </w: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  <w:r w:rsidR="00C61F09"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SK2022686677</w:t>
      </w:r>
    </w:p>
    <w:p w:rsidR="00C61F09" w:rsidRPr="00C61F09" w:rsidRDefault="00C61F09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Predmety podnikania zapísané v obchodnom registri: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C61F09" w:rsidRPr="00C61F0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61F09" w:rsidRPr="00C61F09" w:rsidRDefault="00C61F09" w:rsidP="00C61F0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61F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:rsidR="00C61F09" w:rsidRPr="00C61F09" w:rsidRDefault="00C61F09" w:rsidP="00C61F0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61F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 (od: 18.09.2008)</w:t>
            </w:r>
          </w:p>
        </w:tc>
      </w:tr>
    </w:tbl>
    <w:p w:rsidR="00C61F09" w:rsidRPr="00C61F09" w:rsidRDefault="00C61F09" w:rsidP="00C61F09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C61F09" w:rsidRPr="00C61F0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61F09" w:rsidRPr="00C61F09" w:rsidRDefault="00C61F09" w:rsidP="00C61F0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61F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poľnohospodárstvo vrátane predaja nespracovaných poľnohospodárskych výrobkov za účelom spracovania, alebo ďalšieho predaja </w:t>
            </w:r>
          </w:p>
        </w:tc>
        <w:tc>
          <w:tcPr>
            <w:tcW w:w="1650" w:type="pct"/>
            <w:hideMark/>
          </w:tcPr>
          <w:p w:rsidR="00C61F09" w:rsidRPr="00C61F09" w:rsidRDefault="00C61F09" w:rsidP="00C61F0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61F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 (od: 18.09.2008)</w:t>
            </w:r>
          </w:p>
        </w:tc>
      </w:tr>
    </w:tbl>
    <w:p w:rsidR="00C61F09" w:rsidRPr="00C61F09" w:rsidRDefault="00C61F09" w:rsidP="00C61F09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C61F09" w:rsidRPr="00C61F0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61F09" w:rsidRPr="00C61F09" w:rsidRDefault="00C61F09" w:rsidP="00C61F0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61F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prenájom hnuteľných vecí </w:t>
            </w:r>
          </w:p>
        </w:tc>
        <w:tc>
          <w:tcPr>
            <w:tcW w:w="1650" w:type="pct"/>
            <w:hideMark/>
          </w:tcPr>
          <w:p w:rsidR="00C61F09" w:rsidRPr="00C61F09" w:rsidRDefault="00C61F09" w:rsidP="00C61F0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61F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 (od: 18.09.2008)</w:t>
            </w:r>
          </w:p>
        </w:tc>
      </w:tr>
    </w:tbl>
    <w:p w:rsidR="00C61F09" w:rsidRPr="00C61F09" w:rsidRDefault="00C61F09" w:rsidP="00C61F09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C61F09" w:rsidRPr="00C61F0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61F09" w:rsidRPr="00C61F09" w:rsidRDefault="00C61F09" w:rsidP="00C61F0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61F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poskytovanie služieb v poľnohospodárstve a záhradníctve </w:t>
            </w:r>
          </w:p>
        </w:tc>
        <w:tc>
          <w:tcPr>
            <w:tcW w:w="1650" w:type="pct"/>
            <w:hideMark/>
          </w:tcPr>
          <w:p w:rsidR="00C61F09" w:rsidRPr="00C61F09" w:rsidRDefault="00C61F09" w:rsidP="00C61F0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61F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 (od: 18.09.2008)</w:t>
            </w:r>
          </w:p>
        </w:tc>
      </w:tr>
    </w:tbl>
    <w:p w:rsidR="00C61F09" w:rsidRPr="00C61F09" w:rsidRDefault="00C61F09" w:rsidP="00C61F09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C61F09" w:rsidRPr="00C61F0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61F09" w:rsidRPr="00C61F09" w:rsidRDefault="00C61F09" w:rsidP="00C61F0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61F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pohostinská činnosť a výroba hotových jedál pre výdajne </w:t>
            </w:r>
          </w:p>
        </w:tc>
        <w:tc>
          <w:tcPr>
            <w:tcW w:w="1650" w:type="pct"/>
            <w:hideMark/>
          </w:tcPr>
          <w:p w:rsidR="00C61F09" w:rsidRPr="00C61F09" w:rsidRDefault="00C61F09" w:rsidP="00C61F0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61F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 (od: 06.02.2014)</w:t>
            </w:r>
          </w:p>
        </w:tc>
      </w:tr>
    </w:tbl>
    <w:p w:rsidR="00C61F09" w:rsidRPr="00C61F09" w:rsidRDefault="00C61F09" w:rsidP="00C61F09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466"/>
      </w:tblGrid>
      <w:tr w:rsidR="00C61F09" w:rsidRPr="00C61F0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61F09" w:rsidRPr="00C61F09" w:rsidRDefault="00C61F09" w:rsidP="00C61F0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61F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výroba pekárskych a cukrárenských výrobkov </w:t>
            </w:r>
          </w:p>
        </w:tc>
      </w:tr>
    </w:tbl>
    <w:p w:rsidR="00C61F09" w:rsidRDefault="00C61F09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61F09" w:rsidRDefault="00C61F09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61F09" w:rsidRPr="00C61F09" w:rsidRDefault="00C61F09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61F09" w:rsidRPr="005C4A28" w:rsidRDefault="00C61F09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Oblasti pôsobenia spoločnosti</w:t>
      </w:r>
    </w:p>
    <w:p w:rsidR="001475F5" w:rsidRPr="00C61F09" w:rsidRDefault="001475F5" w:rsidP="005C4A28">
      <w:pPr>
        <w:spacing w:before="144" w:after="144" w:line="240" w:lineRule="atLeast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C61F09" w:rsidRDefault="00C61F09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Činnosť spoločnosti je zameraná  na poskytovanie  reštauračných služieb, výrobu pekárenských a cukrárenských výrobkov  a poľnohospodársku výrobu.</w:t>
      </w:r>
    </w:p>
    <w:p w:rsidR="001475F5" w:rsidRPr="005C4A28" w:rsidRDefault="001475F5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61F09" w:rsidRDefault="00C61F09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Reštauračná činnosť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je realizovaná prostredníctvom reštaurácie ,,TEKOVSKÁ KÚRIA“</w:t>
      </w:r>
      <w:r w:rsidR="007A3159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, ktorá sa nachádza v blízkosti diaľnice  R1 v časti </w:t>
      </w:r>
      <w:proofErr w:type="spellStart"/>
      <w:r w:rsidR="007A3159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Remiatka</w:t>
      </w:r>
      <w:proofErr w:type="spellEnd"/>
      <w:r w:rsidR="007A3159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– Hronský Beňadik. Reštaurácia je zameraná na hostí prechádzajúcich po R1 so zameraným na slovenskú kuchyňu s prvkami moderny. </w:t>
      </w:r>
    </w:p>
    <w:p w:rsidR="001475F5" w:rsidRDefault="001475F5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Spoločnosť má pripravenú realizáciu prevádzky ďalšej reštaurácie v Trnave v období prelomu rokov 2018/2019 spolu s realizáciou predaja pekárenských výrobkov</w:t>
      </w:r>
    </w:p>
    <w:p w:rsidR="007A3159" w:rsidRDefault="007A3159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:rsidR="007A3159" w:rsidRDefault="007A3159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7A315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Výroba pekárenských a cukrárenských výrobkov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je realizovaná prostredníctvom dvoch pekárni a to:</w:t>
      </w:r>
    </w:p>
    <w:p w:rsidR="007A3159" w:rsidRPr="007A3159" w:rsidRDefault="007A3159" w:rsidP="007A3159">
      <w:pPr>
        <w:pStyle w:val="Odsekzoznamu"/>
        <w:numPr>
          <w:ilvl w:val="0"/>
          <w:numId w:val="2"/>
        </w:numPr>
        <w:spacing w:after="0" w:line="240" w:lineRule="auto"/>
        <w:outlineLvl w:val="3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7A3159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pekáreň nachádzajúca sa v priamej blízkosti reštaurácie so zameraním na sladké pečivo</w:t>
      </w:r>
    </w:p>
    <w:p w:rsidR="007A3159" w:rsidRDefault="007A3159" w:rsidP="007A3159">
      <w:pPr>
        <w:pStyle w:val="Odsekzoznamu"/>
        <w:numPr>
          <w:ilvl w:val="0"/>
          <w:numId w:val="2"/>
        </w:numPr>
        <w:spacing w:after="0" w:line="240" w:lineRule="auto"/>
        <w:outlineLvl w:val="3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pekáreň nachádzajúca sa v Novej Bani so zameraním na slané pečivo</w:t>
      </w:r>
    </w:p>
    <w:p w:rsidR="007A3159" w:rsidRDefault="007A3159" w:rsidP="007A3159">
      <w:pPr>
        <w:spacing w:after="0" w:line="240" w:lineRule="auto"/>
        <w:outlineLvl w:val="3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Uvedené výrobky sú realizované do výnosov prostredníctvom predaja v priestoroch pekárne č. 1, dodávkou pečiva do reštaurácie, predajom  v predajných miestach Trnava, Levice, Zvolen, Nová Baňa, Žiar nad Hronom.</w:t>
      </w:r>
      <w:r w:rsidR="001475F5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Kapacita pekárne č.2 je využitá na cca 50 % , ale v rámci plánovanej realizácie projektu Trnava bude jej kapacita využitá na 100%.</w:t>
      </w:r>
    </w:p>
    <w:p w:rsidR="007A3159" w:rsidRDefault="007A3159" w:rsidP="007A3159">
      <w:pPr>
        <w:spacing w:after="0" w:line="240" w:lineRule="auto"/>
        <w:outlineLvl w:val="3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:rsidR="007A3159" w:rsidRPr="007A3159" w:rsidRDefault="007A3159" w:rsidP="007A3159">
      <w:pPr>
        <w:spacing w:after="0" w:line="240" w:lineRule="auto"/>
        <w:outlineLvl w:val="3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Poľnohospodárka výroba-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spoločnosť vykonáva </w:t>
      </w:r>
      <w:r w:rsidR="006964B8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poľnohospodársku činnosť prostredníctvom  strediska VOZNICA – kde realizuje chov zvierat, predovšetkým hovädzieho dobytka- chov kráv bez trhovej produkcie mlieka. Spoločnosť obhospodaruje cca 400 ha poľnohospodárskej pôdy- výroba krmovín a trvalé trávne porasty určené aj na pasenie zvierat. Spoločnosť ustupuje od chovu oviec, nakoľko nie je možné uvedenú činnosť zabezpečiť personálne.</w:t>
      </w:r>
      <w:r w:rsidR="001475F5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Ostatná činnosť je zabezpečená personálne aj technicky na vysokej úrovni. Spoločnosť na stredisku Voznica plánuje vykonanie rekonštrukcie existujúcich stavieb, bohužiaľ bez presnejšieho termínu, nakoľko pozemky vlastný Slovenský pozemkový fond s ktorým má spoločnosť uzatvorenú kúpnu zmluvu na odkúpenie predmetných pozemkov, ale ešte nedoručenú zo strany SPF cez 2 roky, čo znemožňuje začatie stavebného konania.</w:t>
      </w:r>
    </w:p>
    <w:p w:rsidR="00C61F09" w:rsidRDefault="00C61F09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C61F09" w:rsidRDefault="00C61F09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5C4A28" w:rsidRPr="005C4A28" w:rsidRDefault="005C4A28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2. Organizácia spoločnosti</w:t>
      </w:r>
    </w:p>
    <w:p w:rsid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Štatutárne a riadiace orgány spoločnosti, organizačná štruktúra</w:t>
      </w:r>
      <w:r w:rsidR="006964B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spoločnosť zastupujú a konajú za ňu dvaja konatelia – a to vždy spoločne od 2.12.2017.  Do 1.12.2017- konal za spoločnosť jediný spoločník a konateľ v jednej osobe.</w:t>
      </w:r>
    </w:p>
    <w:p w:rsidR="005C4A28" w:rsidRP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Vlastnícka štruktúra</w:t>
      </w:r>
      <w:r w:rsidR="006964B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spoločnosť má jedného spoločníka, ktorý vlastní 100% podiel spoločnosti</w:t>
      </w:r>
    </w:p>
    <w:p w:rsidR="005C4A28" w:rsidRP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 konsolidovanom celku</w:t>
      </w:r>
      <w:r w:rsidR="006964B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spoločnosť nie je v konsolidovanom celku</w:t>
      </w:r>
    </w:p>
    <w:p w:rsid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Stav zamestnancov</w:t>
      </w:r>
      <w:r w:rsidR="006964B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 31.12.2017 – 49.</w:t>
      </w:r>
    </w:p>
    <w:p w:rsidR="006964B8" w:rsidRDefault="006964B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964B8" w:rsidRDefault="006964B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475F5" w:rsidRDefault="001475F5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475F5" w:rsidRDefault="001475F5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964B8" w:rsidRPr="005C4A28" w:rsidRDefault="006964B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Default="005C4A28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lastRenderedPageBreak/>
        <w:t xml:space="preserve">3. </w:t>
      </w:r>
      <w:r w:rsidR="001475F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Prehľad</w:t>
      </w:r>
      <w:r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ekonomických ukazovateľov</w:t>
      </w:r>
      <w:r w:rsidR="001475F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za rok 2017</w:t>
      </w:r>
      <w:r w:rsidR="00EB48B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, 2016</w:t>
      </w:r>
    </w:p>
    <w:p w:rsidR="001475F5" w:rsidRDefault="001475F5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B48B0" w:rsidRDefault="00EB48B0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2016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2017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%</w:t>
      </w:r>
    </w:p>
    <w:p w:rsidR="001475F5" w:rsidRDefault="00EB48B0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96BC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Majetok spolu: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2.293.631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2.821.934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+23</w:t>
      </w:r>
    </w:p>
    <w:p w:rsidR="00EB48B0" w:rsidRDefault="00EB48B0" w:rsidP="00EB48B0">
      <w:pPr>
        <w:pStyle w:val="Odsekzoznamu"/>
        <w:numPr>
          <w:ilvl w:val="0"/>
          <w:numId w:val="3"/>
        </w:num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B48B0">
        <w:rPr>
          <w:rFonts w:ascii="Times New Roman" w:eastAsia="Times New Roman" w:hAnsi="Times New Roman" w:cs="Times New Roman"/>
          <w:sz w:val="24"/>
          <w:szCs w:val="24"/>
          <w:lang w:eastAsia="sk-SK"/>
        </w:rPr>
        <w:t>Neobežný majetok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1.558.292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590.041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-</w:t>
      </w:r>
      <w:r w:rsidR="00DC0A47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64,4</w:t>
      </w:r>
    </w:p>
    <w:p w:rsidR="00EB48B0" w:rsidRDefault="00EB48B0" w:rsidP="00EB48B0">
      <w:pPr>
        <w:pStyle w:val="Odsekzoznamu"/>
        <w:numPr>
          <w:ilvl w:val="0"/>
          <w:numId w:val="3"/>
        </w:num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Obežný majetok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735.339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2.231.893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+</w:t>
      </w:r>
      <w:r w:rsidR="00DC0A47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03,5</w:t>
      </w:r>
    </w:p>
    <w:p w:rsidR="00EB48B0" w:rsidRDefault="00EB48B0" w:rsidP="00EB48B0">
      <w:pPr>
        <w:pStyle w:val="Odsekzoznamu"/>
        <w:numPr>
          <w:ilvl w:val="0"/>
          <w:numId w:val="3"/>
        </w:num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Časové rozlíšenie</w:t>
      </w:r>
      <w:r w:rsidR="00296BC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296BC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296BC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0</w:t>
      </w:r>
      <w:r w:rsidR="00296BC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296BC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296BC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0</w:t>
      </w:r>
    </w:p>
    <w:p w:rsidR="00296BCE" w:rsidRDefault="00296BCE" w:rsidP="00296BCE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96BCE" w:rsidRPr="00296BCE" w:rsidRDefault="00296BCE" w:rsidP="00296BCE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96BC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Spolu vlastné imanie a záväzky: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296BCE">
        <w:rPr>
          <w:rFonts w:ascii="Times New Roman" w:eastAsia="Times New Roman" w:hAnsi="Times New Roman" w:cs="Times New Roman"/>
          <w:sz w:val="24"/>
          <w:szCs w:val="24"/>
          <w:lang w:eastAsia="sk-SK"/>
        </w:rPr>
        <w:t>2.293.631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2.821.934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+23</w:t>
      </w:r>
    </w:p>
    <w:p w:rsidR="00296BCE" w:rsidRDefault="00296BCE" w:rsidP="00296BCE">
      <w:pPr>
        <w:pStyle w:val="Odsekzoznamu"/>
        <w:numPr>
          <w:ilvl w:val="0"/>
          <w:numId w:val="5"/>
        </w:num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Vlastné imanie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1.805.250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2.151.274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+19,2</w:t>
      </w:r>
    </w:p>
    <w:p w:rsidR="00296BCE" w:rsidRDefault="00296BCE" w:rsidP="00296BCE">
      <w:pPr>
        <w:pStyle w:val="Odsekzoznamu"/>
        <w:numPr>
          <w:ilvl w:val="0"/>
          <w:numId w:val="5"/>
        </w:num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Záväzky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109.161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291.440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+</w:t>
      </w:r>
      <w:r w:rsidR="00DC0A47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66,9</w:t>
      </w:r>
    </w:p>
    <w:p w:rsidR="00296BCE" w:rsidRDefault="00296BCE" w:rsidP="00296BCE">
      <w:pPr>
        <w:pStyle w:val="Odsekzoznamu"/>
        <w:numPr>
          <w:ilvl w:val="0"/>
          <w:numId w:val="5"/>
        </w:num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Časové rozlíšenie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379.220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379.220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0</w:t>
      </w:r>
    </w:p>
    <w:p w:rsidR="00073D95" w:rsidRDefault="00073D95" w:rsidP="00073D95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73D95" w:rsidRPr="00073D95" w:rsidRDefault="00073D95" w:rsidP="00073D95">
      <w:pPr>
        <w:spacing w:after="0" w:line="240" w:lineRule="auto"/>
        <w:outlineLvl w:val="3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Výsledok hospodárenia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 xml:space="preserve">   387.792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 xml:space="preserve">   346.024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>-12%</w:t>
      </w:r>
    </w:p>
    <w:p w:rsidR="00296BCE" w:rsidRDefault="00296BCE" w:rsidP="005C4A28">
      <w:pPr>
        <w:spacing w:before="144" w:after="144" w:line="240" w:lineRule="atLeast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5C4A28" w:rsidRP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Rozdelenie výsledku hospodárenia</w:t>
      </w: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E0541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</w:t>
      </w:r>
      <w:r w:rsidR="00073D95">
        <w:rPr>
          <w:rFonts w:ascii="Times New Roman" w:eastAsia="Times New Roman" w:hAnsi="Times New Roman" w:cs="Times New Roman"/>
          <w:sz w:val="24"/>
          <w:szCs w:val="24"/>
          <w:lang w:eastAsia="sk-SK"/>
        </w:rPr>
        <w:t>hospodársky výsledok bude rozdelený spoločníkovi   po doplnený zákonného rezervného fondu, úhrad strát minulých období.</w:t>
      </w:r>
    </w:p>
    <w:p w:rsidR="005C4A28" w:rsidRDefault="00073D95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4</w:t>
      </w:r>
      <w:r w:rsidR="005C4A28"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. Výhľad na ďalšie obdobie</w:t>
      </w:r>
    </w:p>
    <w:p w:rsidR="00073D95" w:rsidRDefault="00073D95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73D95" w:rsidRDefault="00073D95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Spoločnosť v ďalšom období predpokladá iba rast svojej činnosti predovšetkým so zameraním na reštauračné služby a to realizáciou reštauračného zariadenia v Trnave, využitím voľných kapacít v pekárni na Novej Bani a tým aj zvýšenie výnosov z pekárenskej činnosti. </w:t>
      </w:r>
      <w:r w:rsidR="00EE327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poľnohospodárskej činnosti  predpokladáme stagnáciu, nakoľko kapacitne nie je možné zvýšenie stavu zvierat a následne aj výnosov. </w:t>
      </w:r>
      <w:r w:rsidRPr="00DC0A4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Čistý obrat medziročne-2016/2017 narástol 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Pr="00073D9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35,2%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.</w:t>
      </w:r>
    </w:p>
    <w:p w:rsidR="00073D95" w:rsidRPr="005C4A28" w:rsidRDefault="00073D95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bookmarkStart w:id="0" w:name="_GoBack"/>
      <w:bookmarkEnd w:id="0"/>
    </w:p>
    <w:p w:rsidR="005C4A28" w:rsidRPr="005C4A28" w:rsidRDefault="005C4A28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6. Prílohy</w:t>
      </w:r>
    </w:p>
    <w:p w:rsidR="005C4A28" w:rsidRP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závierka spoločnosti za ro</w:t>
      </w:r>
      <w:r w:rsidR="00073D95">
        <w:rPr>
          <w:rFonts w:ascii="Times New Roman" w:eastAsia="Times New Roman" w:hAnsi="Times New Roman" w:cs="Times New Roman"/>
          <w:sz w:val="24"/>
          <w:szCs w:val="24"/>
          <w:lang w:eastAsia="sk-SK"/>
        </w:rPr>
        <w:t>k 2017</w:t>
      </w:r>
    </w:p>
    <w:p w:rsidR="005C4A28" w:rsidRP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Správa audítora</w:t>
      </w:r>
    </w:p>
    <w:p w:rsidR="00E0392E" w:rsidRPr="00C61F09" w:rsidRDefault="00E0392E">
      <w:pPr>
        <w:rPr>
          <w:rFonts w:ascii="Times New Roman" w:hAnsi="Times New Roman" w:cs="Times New Roman"/>
          <w:sz w:val="24"/>
          <w:szCs w:val="24"/>
        </w:rPr>
      </w:pPr>
    </w:p>
    <w:sectPr w:rsidR="00E0392E" w:rsidRPr="00C61F09" w:rsidSect="005C4A28">
      <w:headerReference w:type="default" r:id="rId8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E0D33" w:rsidRDefault="00BE0D33" w:rsidP="005C4A28">
      <w:pPr>
        <w:spacing w:after="0" w:line="240" w:lineRule="auto"/>
      </w:pPr>
      <w:r>
        <w:separator/>
      </w:r>
    </w:p>
  </w:endnote>
  <w:endnote w:type="continuationSeparator" w:id="0">
    <w:p w:rsidR="00BE0D33" w:rsidRDefault="00BE0D33" w:rsidP="005C4A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E0D33" w:rsidRDefault="00BE0D33" w:rsidP="005C4A28">
      <w:pPr>
        <w:spacing w:after="0" w:line="240" w:lineRule="auto"/>
      </w:pPr>
      <w:r>
        <w:separator/>
      </w:r>
    </w:p>
  </w:footnote>
  <w:footnote w:type="continuationSeparator" w:id="0">
    <w:p w:rsidR="00BE0D33" w:rsidRDefault="00BE0D33" w:rsidP="005C4A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C4A28" w:rsidRPr="00C61F09" w:rsidRDefault="005C4A28">
    <w:pPr>
      <w:pStyle w:val="Hlavika"/>
      <w:pBdr>
        <w:bottom w:val="single" w:sz="6" w:space="1" w:color="auto"/>
      </w:pBdr>
      <w:rPr>
        <w:b/>
        <w:sz w:val="28"/>
        <w:szCs w:val="28"/>
      </w:rPr>
    </w:pPr>
    <w:r w:rsidRPr="00C61F09">
      <w:rPr>
        <w:b/>
        <w:sz w:val="28"/>
        <w:szCs w:val="28"/>
      </w:rPr>
      <w:t>AGROJÁN s.r.o., Viničná cesta 52, 968 01 Nová Baňa</w:t>
    </w:r>
  </w:p>
  <w:p w:rsidR="005C4A28" w:rsidRPr="00C61F09" w:rsidRDefault="005C4A28">
    <w:pPr>
      <w:pStyle w:val="Hlavika"/>
      <w:rPr>
        <w:rStyle w:val="ra"/>
      </w:rPr>
    </w:pPr>
    <w:r w:rsidRPr="00C61F09">
      <w:rPr>
        <w:sz w:val="24"/>
        <w:szCs w:val="24"/>
      </w:rPr>
      <w:t xml:space="preserve">Zapísaná v obchodnom registri Okresného súdu Banská Bystrica, oddiel </w:t>
    </w:r>
    <w:proofErr w:type="spellStart"/>
    <w:r w:rsidRPr="00C61F09">
      <w:rPr>
        <w:sz w:val="24"/>
        <w:szCs w:val="24"/>
      </w:rPr>
      <w:t>Sro</w:t>
    </w:r>
    <w:proofErr w:type="spellEnd"/>
    <w:r w:rsidRPr="00C61F09">
      <w:rPr>
        <w:sz w:val="24"/>
        <w:szCs w:val="24"/>
      </w:rPr>
      <w:t xml:space="preserve">, vložka č.: </w:t>
    </w:r>
    <w:r w:rsidRPr="00C61F09">
      <w:rPr>
        <w:rStyle w:val="ra"/>
      </w:rPr>
      <w:t>15383/S</w:t>
    </w:r>
  </w:p>
  <w:p w:rsidR="005C4A28" w:rsidRPr="00C61F09" w:rsidRDefault="005C4A28">
    <w:pPr>
      <w:pStyle w:val="Hlavika"/>
      <w:rPr>
        <w:sz w:val="24"/>
        <w:szCs w:val="24"/>
      </w:rPr>
    </w:pPr>
    <w:r w:rsidRPr="00C61F09">
      <w:rPr>
        <w:sz w:val="24"/>
        <w:szCs w:val="24"/>
      </w:rPr>
      <w:t>IČO: 44 384 084</w:t>
    </w:r>
  </w:p>
  <w:tbl>
    <w:tblPr>
      <w:tblW w:w="5000" w:type="pct"/>
      <w:jc w:val="center"/>
      <w:tblCellSpacing w:w="22" w:type="dxa"/>
      <w:shd w:val="clear" w:color="auto" w:fill="FFFFFF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2133"/>
      <w:gridCol w:w="8333"/>
    </w:tblGrid>
    <w:tr w:rsidR="00C61F09" w:rsidRPr="005C4A28" w:rsidTr="005C4A28">
      <w:trPr>
        <w:tblCellSpacing w:w="22" w:type="dxa"/>
        <w:jc w:val="center"/>
      </w:trPr>
      <w:tc>
        <w:tcPr>
          <w:tcW w:w="1000" w:type="pct"/>
          <w:shd w:val="clear" w:color="auto" w:fill="FFFFFF"/>
          <w:hideMark/>
        </w:tcPr>
        <w:p w:rsidR="005C4A28" w:rsidRPr="005C4A28" w:rsidRDefault="005C4A28" w:rsidP="005C4A28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</w:p>
      </w:tc>
      <w:tc>
        <w:tcPr>
          <w:tcW w:w="4000" w:type="pct"/>
          <w:shd w:val="clear" w:color="auto" w:fill="FFFFFF"/>
          <w:vAlign w:val="center"/>
          <w:hideMark/>
        </w:tcPr>
        <w:tbl>
          <w:tblPr>
            <w:tblW w:w="5000" w:type="pct"/>
            <w:tblCellSpacing w:w="15" w:type="dxa"/>
            <w:tblCellMar>
              <w:top w:w="15" w:type="dxa"/>
              <w:left w:w="15" w:type="dxa"/>
              <w:bottom w:w="15" w:type="dxa"/>
              <w:right w:w="15" w:type="dxa"/>
            </w:tblCellMar>
            <w:tblLook w:val="04A0" w:firstRow="1" w:lastRow="0" w:firstColumn="1" w:lastColumn="0" w:noHBand="0" w:noVBand="1"/>
          </w:tblPr>
          <w:tblGrid>
            <w:gridCol w:w="8267"/>
          </w:tblGrid>
          <w:tr w:rsidR="00C61F09" w:rsidRPr="005C4A28">
            <w:trPr>
              <w:tblCellSpacing w:w="15" w:type="dxa"/>
            </w:trPr>
            <w:tc>
              <w:tcPr>
                <w:tcW w:w="3350" w:type="pct"/>
                <w:vAlign w:val="center"/>
                <w:hideMark/>
              </w:tcPr>
              <w:p w:rsidR="005C4A28" w:rsidRPr="005C4A28" w:rsidRDefault="005C4A28" w:rsidP="005C4A28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</w:p>
            </w:tc>
          </w:tr>
        </w:tbl>
        <w:p w:rsidR="005C4A28" w:rsidRPr="005C4A28" w:rsidRDefault="005C4A28" w:rsidP="005C4A28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</w:p>
      </w:tc>
    </w:tr>
  </w:tbl>
  <w:p w:rsidR="005C4A28" w:rsidRPr="005C4A28" w:rsidRDefault="005C4A28">
    <w:pPr>
      <w:pStyle w:val="Hlavika"/>
      <w:rPr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C93F0E"/>
    <w:multiLevelType w:val="hybridMultilevel"/>
    <w:tmpl w:val="0C8CBA0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35B7136"/>
    <w:multiLevelType w:val="multilevel"/>
    <w:tmpl w:val="F50441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8F8675A"/>
    <w:multiLevelType w:val="hybridMultilevel"/>
    <w:tmpl w:val="0DC6CE8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452651F"/>
    <w:multiLevelType w:val="hybridMultilevel"/>
    <w:tmpl w:val="3740DD32"/>
    <w:lvl w:ilvl="0" w:tplc="4EFA54F2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DA74904"/>
    <w:multiLevelType w:val="hybridMultilevel"/>
    <w:tmpl w:val="BA18BD9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4A28"/>
    <w:rsid w:val="00073D95"/>
    <w:rsid w:val="001475F5"/>
    <w:rsid w:val="00296BCE"/>
    <w:rsid w:val="00445C2F"/>
    <w:rsid w:val="005C4A28"/>
    <w:rsid w:val="006964B8"/>
    <w:rsid w:val="007A3159"/>
    <w:rsid w:val="00BE0D33"/>
    <w:rsid w:val="00C61F09"/>
    <w:rsid w:val="00DC0A47"/>
    <w:rsid w:val="00E0392E"/>
    <w:rsid w:val="00E05414"/>
    <w:rsid w:val="00EB48B0"/>
    <w:rsid w:val="00EE32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DE56771"/>
  <w15:chartTrackingRefBased/>
  <w15:docId w15:val="{70465078-2AE4-4A86-A483-8B298B2261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paragraph" w:styleId="Nadpis4">
    <w:name w:val="heading 4"/>
    <w:basedOn w:val="Normlny"/>
    <w:link w:val="Nadpis4Char"/>
    <w:uiPriority w:val="9"/>
    <w:qFormat/>
    <w:rsid w:val="005C4A28"/>
    <w:pPr>
      <w:spacing w:after="0" w:line="240" w:lineRule="auto"/>
      <w:outlineLvl w:val="3"/>
    </w:pPr>
    <w:rPr>
      <w:rFonts w:ascii="inherit" w:eastAsia="Times New Roman" w:hAnsi="inherit" w:cs="Times New Roman"/>
      <w:sz w:val="29"/>
      <w:szCs w:val="29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4Char">
    <w:name w:val="Nadpis 4 Char"/>
    <w:basedOn w:val="Predvolenpsmoodseku"/>
    <w:link w:val="Nadpis4"/>
    <w:uiPriority w:val="9"/>
    <w:rsid w:val="005C4A28"/>
    <w:rPr>
      <w:rFonts w:ascii="inherit" w:eastAsia="Times New Roman" w:hAnsi="inherit" w:cs="Times New Roman"/>
      <w:sz w:val="29"/>
      <w:szCs w:val="29"/>
      <w:lang w:eastAsia="sk-SK"/>
    </w:rPr>
  </w:style>
  <w:style w:type="character" w:styleId="Vrazn">
    <w:name w:val="Strong"/>
    <w:basedOn w:val="Predvolenpsmoodseku"/>
    <w:uiPriority w:val="22"/>
    <w:qFormat/>
    <w:rsid w:val="005C4A28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5C4A28"/>
    <w:pPr>
      <w:spacing w:before="144" w:after="144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5C4A2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C4A28"/>
  </w:style>
  <w:style w:type="paragraph" w:styleId="Pta">
    <w:name w:val="footer"/>
    <w:basedOn w:val="Normlny"/>
    <w:link w:val="PtaChar"/>
    <w:uiPriority w:val="99"/>
    <w:unhideWhenUsed/>
    <w:rsid w:val="005C4A2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C4A28"/>
  </w:style>
  <w:style w:type="character" w:customStyle="1" w:styleId="ra">
    <w:name w:val="ra"/>
    <w:basedOn w:val="Predvolenpsmoodseku"/>
    <w:rsid w:val="005C4A28"/>
  </w:style>
  <w:style w:type="paragraph" w:styleId="Bezriadkovania">
    <w:name w:val="No Spacing"/>
    <w:uiPriority w:val="1"/>
    <w:qFormat/>
    <w:rsid w:val="00C61F09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7A315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4486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1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408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8065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2640823">
                  <w:marLeft w:val="0"/>
                  <w:marRight w:val="0"/>
                  <w:marTop w:val="75"/>
                  <w:marBottom w:val="75"/>
                  <w:divBdr>
                    <w:top w:val="single" w:sz="6" w:space="4" w:color="CCCCCC"/>
                    <w:left w:val="single" w:sz="6" w:space="4" w:color="CCCCCC"/>
                    <w:bottom w:val="single" w:sz="6" w:space="4" w:color="CCCCCC"/>
                    <w:right w:val="single" w:sz="6" w:space="4" w:color="CCCCCC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D4B5509-8DC6-4E4E-BDBE-BFABFC616A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4</Pages>
  <Words>733</Words>
  <Characters>4179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Ján Mádela</dc:creator>
  <cp:keywords/>
  <dc:description/>
  <cp:lastModifiedBy>Ján Mádela</cp:lastModifiedBy>
  <cp:revision>3</cp:revision>
  <dcterms:created xsi:type="dcterms:W3CDTF">2018-05-25T04:38:00Z</dcterms:created>
  <dcterms:modified xsi:type="dcterms:W3CDTF">2018-05-25T06:34:00Z</dcterms:modified>
</cp:coreProperties>
</file>