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465D" w:rsidRDefault="00DC0C50">
      <w:r>
        <w:rPr>
          <w:noProof/>
        </w:rPr>
        <w:drawing>
          <wp:inline distT="0" distB="0" distL="0" distR="0">
            <wp:extent cx="5760720" cy="79248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60720" cy="79248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760720" cy="79248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54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C50"/>
    <w:rsid w:val="00DC0C50"/>
    <w:rsid w:val="00E54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DCDD0C-8474-45A0-A86D-630B50B3D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Krásnohorská Dlhá Lúka</dc:creator>
  <cp:keywords/>
  <dc:description/>
  <cp:lastModifiedBy>Obecný úrad Krásnohorská Dlhá Lúka</cp:lastModifiedBy>
  <cp:revision>1</cp:revision>
  <dcterms:created xsi:type="dcterms:W3CDTF">2019-09-09T12:25:00Z</dcterms:created>
  <dcterms:modified xsi:type="dcterms:W3CDTF">2019-09-09T12:26:00Z</dcterms:modified>
</cp:coreProperties>
</file>