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>
        <w:trPr>
          <w:trHeight w:val="2880" w:hRule="atLeast"/>
        </w:trPr>
        <w:tc>
          <w:tcPr>
            <w:tcW w:w="9072" w:type="dxa"/>
            <w:tcBorders/>
            <w:shd w:fill="auto" w:val="clear"/>
          </w:tcPr>
          <w:p>
            <w:pPr>
              <w:pStyle w:val="NoSpacing"/>
              <w:jc w:val="center"/>
              <w:rPr>
                <w:rFonts w:ascii="Cambria" w:hAnsi="Cambria" w:cs="Cambria"/>
                <w:caps/>
              </w:rPr>
            </w:pPr>
            <w:r>
              <w:rPr>
                <w:rFonts w:cs="Cambria" w:ascii="Cambria" w:hAnsi="Cambria"/>
                <w:caps/>
              </w:rPr>
              <w:t>Poľnohospodárske  výrobno – obchodné druŽstvo domovina Dulovce</w:t>
            </w:r>
          </w:p>
          <w:p>
            <w:pPr>
              <w:pStyle w:val="NoSpacing"/>
              <w:jc w:val="center"/>
              <w:rPr>
                <w:rFonts w:ascii="Cambria" w:hAnsi="Cambria" w:cs="Cambria"/>
                <w:caps/>
              </w:rPr>
            </w:pPr>
            <w:r>
              <w:rPr>
                <w:rFonts w:cs="Cambria" w:ascii="Cambria" w:hAnsi="Cambria"/>
                <w:caps/>
              </w:rPr>
              <w:t>Družstevná 8, 946 56 Dulovce</w:t>
            </w:r>
          </w:p>
          <w:p>
            <w:pPr>
              <w:pStyle w:val="Normal"/>
              <w:rPr>
                <w:rFonts w:ascii="Cambria" w:hAnsi="Cambria" w:cs="Cambria"/>
                <w:caps/>
              </w:rPr>
            </w:pPr>
            <w:r>
              <w:rPr>
                <w:rFonts w:cs="Cambria" w:ascii="Cambria" w:hAnsi="Cambria"/>
                <w:caps/>
              </w:rPr>
            </w:r>
          </w:p>
          <w:p>
            <w:pPr>
              <w:pStyle w:val="Normal"/>
              <w:rPr>
                <w:rFonts w:ascii="Cambria" w:hAnsi="Cambria" w:cs="Cambria"/>
                <w:caps/>
              </w:rPr>
            </w:pPr>
            <w:r>
              <w:rPr>
                <w:rFonts w:cs="Cambria" w:ascii="Cambria" w:hAnsi="Cambria"/>
                <w:caps/>
              </w:rPr>
            </w:r>
          </w:p>
          <w:p>
            <w:pPr>
              <w:pStyle w:val="Normal"/>
              <w:rPr>
                <w:rFonts w:ascii="Cambria" w:hAnsi="Cambria" w:cs="Cambria"/>
                <w:caps/>
              </w:rPr>
            </w:pPr>
            <w:r>
              <w:rPr>
                <w:rFonts w:cs="Cambria" w:ascii="Cambria" w:hAnsi="Cambria"/>
                <w:caps/>
              </w:rPr>
            </w:r>
          </w:p>
          <w:p>
            <w:pPr>
              <w:pStyle w:val="Normal"/>
              <w:rPr>
                <w:rFonts w:ascii="Cambria" w:hAnsi="Cambria" w:cs="Cambria"/>
                <w:caps/>
              </w:rPr>
            </w:pPr>
            <w:r>
              <w:rPr>
                <w:rFonts w:cs="Cambria" w:ascii="Cambria" w:hAnsi="Cambria"/>
                <w:caps/>
              </w:rPr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40" w:hRule="atLeast"/>
        </w:trPr>
        <w:tc>
          <w:tcPr>
            <w:tcW w:w="9072" w:type="dxa"/>
            <w:tcBorders>
              <w:bottom w:val="single" w:sz="4" w:space="0" w:color="4F81BD"/>
            </w:tcBorders>
            <w:shd w:fill="auto" w:val="clear"/>
            <w:vAlign w:val="center"/>
          </w:tcPr>
          <w:p>
            <w:pPr>
              <w:pStyle w:val="NoSpacing"/>
              <w:jc w:val="center"/>
              <w:rPr>
                <w:rFonts w:ascii="Cambria" w:hAnsi="Cambria" w:cs="Cambria"/>
                <w:sz w:val="80"/>
                <w:szCs w:val="80"/>
              </w:rPr>
            </w:pPr>
            <w:r>
              <w:rPr>
                <w:rFonts w:cs="Cambria" w:ascii="Cambria" w:hAnsi="Cambria"/>
                <w:sz w:val="80"/>
                <w:szCs w:val="80"/>
              </w:rPr>
              <w:t>Výročná správa 2018</w:t>
            </w:r>
          </w:p>
        </w:tc>
      </w:tr>
      <w:tr>
        <w:trPr>
          <w:trHeight w:val="720" w:hRule="atLeast"/>
        </w:trPr>
        <w:tc>
          <w:tcPr>
            <w:tcW w:w="9072" w:type="dxa"/>
            <w:tcBorders>
              <w:top w:val="single" w:sz="4" w:space="0" w:color="4F81BD"/>
            </w:tcBorders>
            <w:shd w:fill="auto" w:val="clear"/>
            <w:vAlign w:val="center"/>
          </w:tcPr>
          <w:p>
            <w:pPr>
              <w:pStyle w:val="NoSpacing"/>
              <w:snapToGrid w:val="false"/>
              <w:jc w:val="center"/>
              <w:rPr>
                <w:rFonts w:ascii="Cambria" w:hAnsi="Cambria" w:cs="Cambria"/>
                <w:sz w:val="44"/>
                <w:szCs w:val="44"/>
              </w:rPr>
            </w:pPr>
            <w:r>
              <w:rPr>
                <w:rFonts w:cs="Cambria" w:ascii="Cambria" w:hAnsi="Cambria"/>
                <w:sz w:val="44"/>
                <w:szCs w:val="44"/>
              </w:rPr>
            </w:r>
          </w:p>
        </w:tc>
      </w:tr>
      <w:tr>
        <w:trPr>
          <w:trHeight w:val="360" w:hRule="atLeast"/>
        </w:trPr>
        <w:tc>
          <w:tcPr>
            <w:tcW w:w="9072" w:type="dxa"/>
            <w:tcBorders/>
            <w:shd w:fill="auto" w:val="clear"/>
            <w:vAlign w:val="center"/>
          </w:tcPr>
          <w:p>
            <w:pPr>
              <w:pStyle w:val="NoSpacing"/>
              <w:snapToGrid w:val="false"/>
              <w:jc w:val="center"/>
              <w:rPr>
                <w:rFonts w:ascii="Cambria" w:hAnsi="Cambria" w:cs="Cambria"/>
                <w:sz w:val="44"/>
                <w:szCs w:val="44"/>
              </w:rPr>
            </w:pPr>
            <w:r>
              <w:rPr>
                <w:rFonts w:cs="Cambria" w:ascii="Cambria" w:hAnsi="Cambria"/>
                <w:sz w:val="44"/>
                <w:szCs w:val="44"/>
              </w:rPr>
            </w:r>
          </w:p>
        </w:tc>
      </w:tr>
      <w:tr>
        <w:trPr>
          <w:trHeight w:val="360" w:hRule="atLeast"/>
        </w:trPr>
        <w:tc>
          <w:tcPr>
            <w:tcW w:w="9072" w:type="dxa"/>
            <w:tcBorders/>
            <w:shd w:fill="auto" w:val="clear"/>
            <w:vAlign w:val="center"/>
          </w:tcPr>
          <w:p>
            <w:pPr>
              <w:pStyle w:val="NoSpacing"/>
              <w:snapToGrid w:val="false"/>
              <w:jc w:val="center"/>
              <w:rPr>
                <w:rFonts w:ascii="Cambria" w:hAnsi="Cambria" w:cs="Cambria"/>
                <w:b/>
                <w:b/>
                <w:bCs/>
                <w:sz w:val="44"/>
                <w:szCs w:val="44"/>
              </w:rPr>
            </w:pPr>
            <w:r>
              <w:rPr>
                <w:rFonts w:cs="Cambria" w:ascii="Cambria" w:hAnsi="Cambria"/>
                <w:b/>
                <w:bCs/>
                <w:sz w:val="44"/>
                <w:szCs w:val="44"/>
              </w:rPr>
            </w:r>
          </w:p>
        </w:tc>
      </w:tr>
      <w:tr>
        <w:trPr>
          <w:trHeight w:val="360" w:hRule="atLeast"/>
        </w:trPr>
        <w:tc>
          <w:tcPr>
            <w:tcW w:w="9072" w:type="dxa"/>
            <w:tcBorders/>
            <w:shd w:fill="auto" w:val="clear"/>
            <w:vAlign w:val="center"/>
          </w:tcPr>
          <w:p>
            <w:pPr>
              <w:pStyle w:val="NoSpacing"/>
              <w:snapToGrid w:val="false"/>
              <w:jc w:val="center"/>
              <w:rPr>
                <w:rFonts w:ascii="Cambria" w:hAnsi="Cambria" w:cs="Cambria"/>
                <w:b/>
                <w:b/>
                <w:bCs/>
                <w:sz w:val="44"/>
                <w:szCs w:val="44"/>
              </w:rPr>
            </w:pPr>
            <w:r>
              <w:rPr>
                <w:rFonts w:cs="Cambria" w:ascii="Cambria" w:hAnsi="Cambria"/>
                <w:b/>
                <w:bCs/>
                <w:sz w:val="44"/>
                <w:szCs w:val="44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5000" w:type="pct"/>
        <w:jc w:val="left"/>
        <w:tblInd w:w="-10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72"/>
      </w:tblGrid>
      <w:tr>
        <w:trPr/>
        <w:tc>
          <w:tcPr>
            <w:tcW w:w="9072" w:type="dxa"/>
            <w:tcBorders/>
            <w:shd w:fill="auto" w:val="clear"/>
          </w:tcPr>
          <w:p>
            <w:pPr>
              <w:pStyle w:val="NoSpacing"/>
              <w:jc w:val="center"/>
              <w:rPr>
                <w:rFonts w:cs="Calibri"/>
              </w:rPr>
            </w:pPr>
            <w:r>
              <w:rPr>
                <w:rFonts w:cs="Calibri"/>
              </w:rPr>
              <w:t xml:space="preserve">Výročná správa vyhotovená podľa § 20 zákona č.431/2002 Z.z. o účtovníctve </w:t>
            </w:r>
          </w:p>
          <w:p>
            <w:pPr>
              <w:pStyle w:val="NoSpacing"/>
              <w:jc w:val="center"/>
              <w:rPr>
                <w:rFonts w:cs="Calibri"/>
              </w:rPr>
            </w:pPr>
            <w:r>
              <w:rPr>
                <w:rFonts w:cs="Calibri"/>
              </w:rPr>
              <w:t>v znení neskorších predpisov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spacing w:before="0" w:after="120"/>
        <w:ind w:left="0" w:right="0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Legislatívny rámec pre výročnú správu</w:t>
      </w:r>
    </w:p>
    <w:p>
      <w:pPr>
        <w:pStyle w:val="Normal"/>
        <w:spacing w:before="0" w:after="120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Družstvo nemá povinnosť auditu podľa § 19 zákona č.431/2002 Z.z. o účtovníctve v znení neskorších predpisov.  </w:t>
      </w:r>
    </w:p>
    <w:p>
      <w:pPr>
        <w:pStyle w:val="Normal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  <w:t>Táto výročná správa nepodlieha overeniu audítorom. Výročná správa bude elektronicky uložená do registra účtovných závierok a jeho cestou aj do obchodného registra tak, ako to ustanovuje § 23 ods. 2 a § 23b ods. 4 zákona o účtovníctve.</w:t>
      </w:r>
    </w:p>
    <w:p>
      <w:pPr>
        <w:pStyle w:val="Normal"/>
        <w:ind w:left="0" w:righ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right="0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Obsah výročnej správy: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1) Identifikačné údaje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2) Povinné informácie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3) Ďalšie informácie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4) Povinné prílohy</w:t>
      </w:r>
    </w:p>
    <w:p>
      <w:pPr>
        <w:pStyle w:val="Normal"/>
        <w:ind w:left="0" w:right="0" w:hanging="0"/>
        <w:jc w:val="both"/>
        <w:rPr>
          <w:b/>
          <w:b/>
          <w:bCs/>
          <w:color w:val="0F243E"/>
          <w:sz w:val="28"/>
          <w:szCs w:val="28"/>
        </w:rPr>
      </w:pPr>
      <w:r>
        <w:rPr>
          <w:b/>
          <w:bCs/>
          <w:color w:val="0F243E"/>
          <w:sz w:val="28"/>
          <w:szCs w:val="28"/>
        </w:rPr>
      </w:r>
    </w:p>
    <w:p>
      <w:pPr>
        <w:pStyle w:val="Normal"/>
        <w:ind w:left="0" w:right="0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1) Identifikačné údaje – základné informácie</w:t>
      </w:r>
    </w:p>
    <w:p>
      <w:pPr>
        <w:pStyle w:val="Normal"/>
        <w:ind w:left="0" w:right="0" w:hanging="0"/>
        <w:jc w:val="both"/>
        <w:rPr>
          <w:b/>
          <w:b/>
          <w:bCs/>
          <w:color w:val="0F243E"/>
          <w:sz w:val="28"/>
          <w:szCs w:val="28"/>
        </w:rPr>
      </w:pPr>
      <w:r>
        <w:rPr>
          <w:b/>
          <w:bCs/>
          <w:color w:val="0F243E"/>
          <w:sz w:val="28"/>
          <w:szCs w:val="28"/>
        </w:rPr>
      </w:r>
    </w:p>
    <w:tbl>
      <w:tblPr>
        <w:tblW w:w="9252" w:type="dxa"/>
        <w:jc w:val="left"/>
        <w:tblInd w:w="-12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4"/>
        <w:gridCol w:w="5458"/>
      </w:tblGrid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Poľnohospodárske výrobno-obchodné družstvo DOMOVINA Dulovce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00193003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2020397456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SK2020397456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Družstevná 8, 946 56 Dulovce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0kresného súdu NITRA, Oddiel: DR,Vložka číslo: 82/N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Predseda družstva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Ing. Vladimír Kajan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Podpredseda družstva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Ing. Zsolt  Fördős 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Mailova adresa</w:t>
            </w:r>
          </w:p>
        </w:tc>
        <w:tc>
          <w:tcPr>
            <w:tcW w:w="5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color w:val="0F243E"/>
                <w:sz w:val="24"/>
                <w:szCs w:val="24"/>
              </w:rPr>
              <w:t>pvoddulovce</w:t>
            </w:r>
            <w:r>
              <w:rPr>
                <w:color w:val="0F243E"/>
                <w:sz w:val="24"/>
                <w:szCs w:val="24"/>
                <w:lang w:val="en-US"/>
              </w:rPr>
              <w:t>@</w:t>
            </w:r>
            <w:r>
              <w:rPr>
                <w:color w:val="0F243E"/>
                <w:sz w:val="24"/>
                <w:szCs w:val="24"/>
              </w:rPr>
              <w:t>konfer.sk</w:t>
            </w:r>
          </w:p>
        </w:tc>
      </w:tr>
    </w:tbl>
    <w:p>
      <w:pPr>
        <w:pStyle w:val="Normal"/>
        <w:ind w:left="0" w:right="0" w:hanging="0"/>
        <w:jc w:val="both"/>
        <w:rPr>
          <w:b/>
          <w:b/>
          <w:bCs/>
          <w:color w:val="0F243E"/>
          <w:sz w:val="28"/>
          <w:szCs w:val="28"/>
        </w:rPr>
      </w:pPr>
      <w:r>
        <w:rPr>
          <w:b/>
          <w:bCs/>
          <w:color w:val="0F243E"/>
          <w:sz w:val="28"/>
          <w:szCs w:val="28"/>
        </w:rPr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Štatutárnym orgánom družstva je 5 členné predstavenstvo. Kontrolným orgánom je 3 členná kontrolná komisia . </w:t>
      </w:r>
    </w:p>
    <w:p>
      <w:pPr>
        <w:pStyle w:val="Normal"/>
        <w:ind w:left="0" w:right="0" w:hanging="0"/>
        <w:jc w:val="both"/>
        <w:rPr/>
      </w:pPr>
      <w:r>
        <w:rPr>
          <w:rFonts w:eastAsia="Calibri"/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>Za družstvo koná navonok predseda družstva v jeho neprítomnosti popredseda družstva. Činnosť družstva upravujú Stanovy družstva.</w:t>
      </w:r>
    </w:p>
    <w:p>
      <w:pPr>
        <w:pStyle w:val="Normal"/>
        <w:ind w:left="7791" w:right="0" w:hanging="7365"/>
        <w:jc w:val="both"/>
        <w:rPr>
          <w:b/>
          <w:b/>
          <w:bCs/>
          <w:color w:val="244061"/>
          <w:sz w:val="28"/>
          <w:szCs w:val="28"/>
        </w:rPr>
      </w:pPr>
      <w:r>
        <w:rPr>
          <w:b/>
          <w:bCs/>
          <w:color w:val="244061"/>
          <w:sz w:val="28"/>
          <w:szCs w:val="28"/>
        </w:rPr>
      </w:r>
    </w:p>
    <w:p>
      <w:pPr>
        <w:pStyle w:val="Normal"/>
        <w:ind w:left="0" w:right="0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Identifikačné údaje – doplňujúce informácie</w:t>
      </w:r>
    </w:p>
    <w:p>
      <w:pPr>
        <w:pStyle w:val="Normal"/>
        <w:ind w:left="0" w:right="0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W w:w="9252" w:type="dxa"/>
        <w:jc w:val="left"/>
        <w:tblInd w:w="-12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5175"/>
      </w:tblGrid>
      <w:tr>
        <w:trPr/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color w:val="0F243E"/>
                <w:sz w:val="24"/>
                <w:szCs w:val="24"/>
              </w:rPr>
              <w:t>Výsledok hospodárenia 2018</w:t>
            </w:r>
          </w:p>
        </w:tc>
        <w:tc>
          <w:tcPr>
            <w:tcW w:w="5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Zisk 137 168 eur</w:t>
            </w:r>
          </w:p>
        </w:tc>
      </w:tr>
      <w:tr>
        <w:trPr/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 (účet 411)</w:t>
            </w:r>
          </w:p>
        </w:tc>
        <w:tc>
          <w:tcPr>
            <w:tcW w:w="5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567 780 eur</w:t>
            </w:r>
          </w:p>
        </w:tc>
      </w:tr>
      <w:tr>
        <w:trPr/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307 943 eur</w:t>
            </w:r>
          </w:p>
        </w:tc>
      </w:tr>
      <w:tr>
        <w:trPr/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</w:t>
            </w:r>
          </w:p>
        </w:tc>
      </w:tr>
      <w:tr>
        <w:trPr/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Poľnohospodárska výroba</w:t>
            </w:r>
          </w:p>
        </w:tc>
      </w:tr>
    </w:tbl>
    <w:p>
      <w:pPr>
        <w:pStyle w:val="Normal"/>
        <w:ind w:left="0" w:right="0" w:hanging="0"/>
        <w:jc w:val="both"/>
        <w:rPr>
          <w:b/>
          <w:b/>
          <w:bCs/>
          <w:color w:val="0F243E"/>
          <w:sz w:val="28"/>
          <w:szCs w:val="28"/>
        </w:rPr>
      </w:pPr>
      <w:r>
        <w:rPr>
          <w:b/>
          <w:bCs/>
          <w:color w:val="0F243E"/>
          <w:sz w:val="28"/>
          <w:szCs w:val="28"/>
        </w:rPr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Účtovným obdobím družstva je kalendárny rok. Družstvo nemá odštepný závod ani organizačnú zložku v tuzemsku ani v zahraničí. Družstvo nie je vlastnené inou spoločnosťou.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Členmi družstva sú výhradne fyzické osoby.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ind w:left="0" w:right="0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2) Povinné informácie</w:t>
      </w:r>
    </w:p>
    <w:p>
      <w:pPr>
        <w:pStyle w:val="Normal"/>
        <w:ind w:left="0" w:right="0" w:hanging="0"/>
        <w:jc w:val="both"/>
        <w:rPr>
          <w:b/>
          <w:b/>
          <w:bCs/>
          <w:color w:val="0F243E"/>
          <w:sz w:val="24"/>
          <w:szCs w:val="24"/>
        </w:rPr>
      </w:pPr>
      <w:r>
        <w:rPr>
          <w:b/>
          <w:bCs/>
          <w:color w:val="0F243E"/>
          <w:sz w:val="24"/>
          <w:szCs w:val="24"/>
        </w:rPr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a) Informácie o vývoji účtovnej jednotky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Družstvo bolo založené v roku 1955 a pôsobí len na tuzemskom trhu. Od svojho založenia si relatívne stabilne udržiava svoje postavenie vo svojej oblasti pôsobenia. 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Družstvo neidentifikovalo žiadne špecifické významné riziká a neistoty, okrem všeobecne známych rizík podnikania alebo prípadných udalosti vyššej moci. Prognóza pre ďalšie obdobie je stabilná.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Družstvo svojou činnosťou nemá významný vplyv na životné prostredie, nevypúšťa exhaláty do vzduchu ani nevytvára znečistenie vody, či nebezpečné odpady. Spoločnosť stabilne a dlhodobo zamestnáva na plný úväzok okolo 20 pracovníkov a prispieva tým k lokálnej zamestnanosti. Spoločnosť zamestnáva aj 1 pracovníka so zdravotným postihnutím. 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right="0" w:hanging="0"/>
        <w:jc w:val="center"/>
        <w:rPr>
          <w:b/>
          <w:b/>
          <w:bCs/>
          <w:color w:val="0F243E"/>
          <w:sz w:val="24"/>
          <w:szCs w:val="24"/>
        </w:rPr>
      </w:pPr>
      <w:r>
        <w:rPr>
          <w:b/>
          <w:bCs/>
          <w:color w:val="0F243E"/>
          <w:sz w:val="24"/>
          <w:szCs w:val="24"/>
        </w:rPr>
        <w:t>SÚVAHA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right="0" w:hanging="0"/>
        <w:jc w:val="center"/>
        <w:rPr>
          <w:b/>
          <w:b/>
          <w:bCs/>
          <w:color w:val="0F243E"/>
          <w:sz w:val="24"/>
          <w:szCs w:val="24"/>
        </w:rPr>
      </w:pPr>
      <w:r>
        <w:rPr>
          <w:b/>
          <w:bCs/>
          <w:color w:val="0F243E"/>
          <w:sz w:val="24"/>
          <w:szCs w:val="24"/>
        </w:rPr>
        <w:t>Vybrané ukazovatele o majetku a záväzkoch</w:t>
      </w:r>
    </w:p>
    <w:p>
      <w:pPr>
        <w:pStyle w:val="Normal"/>
        <w:ind w:left="0" w:right="0" w:hanging="0"/>
        <w:jc w:val="both"/>
        <w:rPr>
          <w:b/>
          <w:b/>
          <w:bCs/>
          <w:color w:val="0F243E"/>
          <w:sz w:val="24"/>
          <w:szCs w:val="24"/>
        </w:rPr>
      </w:pPr>
      <w:r>
        <w:rPr>
          <w:b/>
          <w:bCs/>
          <w:color w:val="0F243E"/>
          <w:sz w:val="24"/>
          <w:szCs w:val="24"/>
        </w:rPr>
      </w:r>
    </w:p>
    <w:tbl>
      <w:tblPr>
        <w:tblW w:w="9252" w:type="dxa"/>
        <w:jc w:val="left"/>
        <w:tblInd w:w="-12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20"/>
        <w:gridCol w:w="1701"/>
        <w:gridCol w:w="1631"/>
      </w:tblGrid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center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STRANA AKTÍV SÚVAHY</w:t>
            </w:r>
          </w:p>
          <w:p>
            <w:pPr>
              <w:pStyle w:val="Normal"/>
              <w:ind w:left="0" w:right="0" w:hanging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center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ROK 2018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center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ROK 2017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2 385 154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2 216 918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1 973 748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1 750 467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     </w:t>
            </w: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1 952 038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1 728 757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color w:val="0F243E"/>
                <w:sz w:val="24"/>
                <w:szCs w:val="24"/>
              </w:rPr>
              <w:t>21 710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color w:val="0F243E"/>
                <w:sz w:val="24"/>
                <w:szCs w:val="24"/>
              </w:rPr>
              <w:t>21 710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411 406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rFonts w:eastAsia="Calibri"/>
                <w:color w:val="0F243E"/>
                <w:sz w:val="24"/>
                <w:szCs w:val="24"/>
              </w:rPr>
              <w:t>466 451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149 500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139 600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240 733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rFonts w:eastAsia="Calibri"/>
                <w:color w:val="0F243E"/>
                <w:sz w:val="24"/>
                <w:szCs w:val="24"/>
              </w:rPr>
              <w:t>286 111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21 173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40 740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</w:tr>
    </w:tbl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tbl>
      <w:tblPr>
        <w:tblW w:w="9252" w:type="dxa"/>
        <w:jc w:val="left"/>
        <w:tblInd w:w="-12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20"/>
        <w:gridCol w:w="1701"/>
        <w:gridCol w:w="1631"/>
      </w:tblGrid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center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STRANA PASÍV SÚVAHY</w:t>
            </w:r>
          </w:p>
          <w:p>
            <w:pPr>
              <w:pStyle w:val="Normal"/>
              <w:ind w:left="0" w:right="0" w:hanging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center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ROK 2018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center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ROK 2017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VLASTNÉ IMANIE A ZÁVÄZKY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2 385 154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2 216 918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1 507 353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1 392 201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567 780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578 566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525 658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538 879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307 943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305 952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244 779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244 779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- 275 975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- 294 488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</w:t>
            </w:r>
            <w:r>
              <w:rPr>
                <w:rFonts w:eastAsia="Calibri"/>
                <w:color w:val="0F243E"/>
                <w:sz w:val="24"/>
                <w:szCs w:val="24"/>
              </w:rPr>
              <w:t>137 168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18 513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</w:t>
            </w:r>
            <w:r>
              <w:rPr>
                <w:rFonts w:eastAsia="Calibri"/>
                <w:color w:val="0F243E"/>
                <w:sz w:val="24"/>
                <w:szCs w:val="24"/>
              </w:rPr>
              <w:t>828 078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784 761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color w:val="0F243E"/>
                <w:sz w:val="24"/>
                <w:szCs w:val="24"/>
              </w:rPr>
              <w:t xml:space="preserve">5 369 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5 194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rFonts w:eastAsia="Calibri"/>
                <w:color w:val="0F243E"/>
                <w:sz w:val="24"/>
                <w:szCs w:val="24"/>
              </w:rPr>
              <w:t>2 143</w:t>
            </w:r>
            <w:r>
              <w:rPr>
                <w:color w:val="0F243E"/>
                <w:sz w:val="24"/>
                <w:szCs w:val="24"/>
              </w:rPr>
              <w:t xml:space="preserve"> 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1 842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rFonts w:eastAsia="Calibri"/>
                <w:color w:val="0F243E"/>
                <w:sz w:val="24"/>
                <w:szCs w:val="24"/>
              </w:rPr>
              <w:t>601 560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color w:val="0F243E"/>
                <w:sz w:val="24"/>
                <w:szCs w:val="24"/>
              </w:rPr>
              <w:t xml:space="preserve">357 427 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90 934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119 180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20 253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</w:t>
            </w:r>
            <w:r>
              <w:rPr>
                <w:color w:val="0F243E"/>
                <w:sz w:val="24"/>
                <w:szCs w:val="24"/>
              </w:rPr>
              <w:t>13 973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rFonts w:eastAsia="Calibri"/>
                <w:color w:val="0F243E"/>
                <w:sz w:val="24"/>
                <w:szCs w:val="24"/>
              </w:rPr>
              <w:t>107 819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217 145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49 723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</w:t>
            </w:r>
            <w:r>
              <w:rPr>
                <w:rFonts w:eastAsia="Calibri"/>
                <w:color w:val="0F243E"/>
                <w:sz w:val="24"/>
                <w:szCs w:val="24"/>
              </w:rPr>
              <w:t>39 956</w:t>
            </w:r>
          </w:p>
        </w:tc>
      </w:tr>
    </w:tbl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Komentár k súvahe - aktíva: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Družstvo hospodári s vlastným dlhodobým hmotným majetkom (nie prenajatým). Dlhodobý hmotný majetok je už opotrebovaný (oprávky/OC) na 66.8 %. Dlhodobý nehmotný majetok predstavuje najmä softvér.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Družstvo vlastní akcie spoločnosti Agrostav Komárno, a.s. zučtované na účte 063.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Vývoj stavu zásob je priaznivý. Došlo k zníženiu nedokončenej výroby omeškaním rezu vinice a hlbokej orby koncom roku v dôsledku počasia. Celkový nárast zásob je dôsledkom predzásobenia priemyselnými hnojivami na jarné hnojenie za výhodné ceny. Opravná položka k zásobám nebola tvorená.  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Zvýšenie stavu krátkodobých pohľadávok z obchodného styku je dôsledkom vyžšej úrody hrozna s úhradou faktúr do 31.03.2019, opravnú  položku k pohľadávkam družstvo netvorilo.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Komentár k súvahe - pasíva: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Celé základné imanie spoločnosti v sume 567 780 eur je splatené. Vlastné imanie spoločnosti je v sume 1 507 353 eur, a celkové záväzky sú v sume 828 078 eur, čo značí, že družstvo hospodári prevažne s vlastnými zdrojmi. Družstvo vytvára zákonný rezervný fond v súlade so Stanovami družstva a Obchodným zákonníkom.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Dlhodobé záväzky v sume 5 369  eur sú záväzky zo sociálneho fondu. Dlhodobé bankové  úvery boli použité v minulých rokoch na nákup kombajnu na hrozno a pôdy, v roku 2018 družstvo čerpalo ďalšie dva dlhodobé úvery na nákup druhého kombajnu na hrozno a na výsadbu vinice</w:t>
      </w:r>
    </w:p>
    <w:p>
      <w:pPr>
        <w:pStyle w:val="Normal"/>
        <w:spacing w:before="0" w:after="120"/>
        <w:ind w:left="0" w:right="0" w:hanging="0"/>
        <w:jc w:val="both"/>
        <w:rPr/>
      </w:pPr>
      <w:r>
        <w:rPr>
          <w:rFonts w:eastAsia="Calibri"/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 xml:space="preserve">Bežné bankové úvery sú časti úverov na nákup pôdy a na nákup kombajnov splatné do 1 roka. 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Krátkodobé rezervy v sume 20 253 eur sú  na nevyčerpané dovolenky a príslušné odvody do  fondov.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pasív predstavujú výnosy budúcich období, a to investičné dotácie, 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a dotácia na vyklčovanie vinice.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right="0" w:hanging="0"/>
        <w:jc w:val="center"/>
        <w:rPr>
          <w:b/>
          <w:b/>
          <w:bCs/>
          <w:color w:val="0F243E"/>
          <w:sz w:val="24"/>
          <w:szCs w:val="24"/>
        </w:rPr>
      </w:pPr>
      <w:r>
        <w:rPr>
          <w:b/>
          <w:bCs/>
          <w:color w:val="0F243E"/>
          <w:sz w:val="24"/>
          <w:szCs w:val="24"/>
        </w:rPr>
        <w:t>VÝKAZ ZISKOV A STRÁT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right="0" w:hanging="0"/>
        <w:jc w:val="center"/>
        <w:rPr>
          <w:b/>
          <w:b/>
          <w:bCs/>
          <w:color w:val="0F243E"/>
          <w:sz w:val="24"/>
          <w:szCs w:val="24"/>
        </w:rPr>
      </w:pPr>
      <w:r>
        <w:rPr>
          <w:b/>
          <w:bCs/>
          <w:color w:val="0F243E"/>
          <w:sz w:val="24"/>
          <w:szCs w:val="24"/>
        </w:rPr>
        <w:t>Vybrané ukazovatele o výsledku hospodárenia</w:t>
      </w:r>
    </w:p>
    <w:p>
      <w:pPr>
        <w:pStyle w:val="Normal"/>
        <w:ind w:left="0" w:right="0" w:hanging="0"/>
        <w:jc w:val="both"/>
        <w:rPr>
          <w:b/>
          <w:b/>
          <w:bCs/>
          <w:color w:val="0F243E"/>
          <w:sz w:val="24"/>
          <w:szCs w:val="24"/>
        </w:rPr>
      </w:pPr>
      <w:r>
        <w:rPr>
          <w:b/>
          <w:bCs/>
          <w:color w:val="0F243E"/>
          <w:sz w:val="24"/>
          <w:szCs w:val="24"/>
        </w:rPr>
      </w:r>
    </w:p>
    <w:tbl>
      <w:tblPr>
        <w:tblW w:w="9252" w:type="dxa"/>
        <w:jc w:val="left"/>
        <w:tblInd w:w="-128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20"/>
        <w:gridCol w:w="1701"/>
        <w:gridCol w:w="1631"/>
      </w:tblGrid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center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ROK 2018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center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ROK 2017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1 083 125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738 434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color w:val="0F243E"/>
                <w:sz w:val="24"/>
                <w:szCs w:val="24"/>
              </w:rPr>
              <w:t>1 278 274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</w:t>
            </w:r>
            <w:r>
              <w:rPr>
                <w:color w:val="0F243E"/>
                <w:sz w:val="24"/>
                <w:szCs w:val="24"/>
              </w:rPr>
              <w:t>1 039 966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1 007 645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705 200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75 480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rFonts w:eastAsia="Calibri"/>
                <w:color w:val="0F243E"/>
                <w:sz w:val="24"/>
                <w:szCs w:val="24"/>
              </w:rPr>
              <w:t>33 234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center" w:pos="742" w:leader="none"/>
              </w:tabs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</w:t>
            </w:r>
            <w:r>
              <w:rPr>
                <w:color w:val="0F243E"/>
                <w:sz w:val="24"/>
                <w:szCs w:val="24"/>
              </w:rPr>
              <w:t xml:space="preserve">-34 523 </w:t>
              <w:tab/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</w:t>
            </w:r>
            <w:r>
              <w:rPr>
                <w:rFonts w:eastAsia="Calibri"/>
                <w:color w:val="0F243E"/>
                <w:sz w:val="24"/>
                <w:szCs w:val="24"/>
              </w:rPr>
              <w:t>-40 366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43 501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</w:t>
            </w:r>
            <w:r>
              <w:rPr>
                <w:color w:val="0F243E"/>
                <w:sz w:val="24"/>
                <w:szCs w:val="24"/>
              </w:rPr>
              <w:t>9 162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3 823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12 247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rFonts w:eastAsia="Calibri"/>
                <w:color w:val="0F243E"/>
                <w:sz w:val="24"/>
                <w:szCs w:val="24"/>
              </w:rPr>
              <w:t>182 348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320 489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1 100 145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999 219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rFonts w:eastAsia="Calibri"/>
                <w:color w:val="0F243E"/>
                <w:sz w:val="24"/>
                <w:szCs w:val="24"/>
              </w:rPr>
              <w:t>410 680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384 869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</w:t>
            </w:r>
            <w:r>
              <w:rPr>
                <w:color w:val="0F243E"/>
                <w:sz w:val="24"/>
                <w:szCs w:val="24"/>
              </w:rPr>
              <w:t>96 896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</w:t>
            </w:r>
            <w:r>
              <w:rPr>
                <w:rFonts w:eastAsia="Calibri"/>
                <w:color w:val="0F243E"/>
                <w:sz w:val="24"/>
                <w:szCs w:val="24"/>
              </w:rPr>
              <w:t>96 218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color w:val="0F243E"/>
                <w:sz w:val="24"/>
                <w:szCs w:val="24"/>
              </w:rPr>
              <w:t>372 126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302 437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color w:val="0F243E"/>
                <w:sz w:val="24"/>
                <w:szCs w:val="24"/>
              </w:rPr>
              <w:t>168 651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163 329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4 908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</w:t>
            </w:r>
            <w:r>
              <w:rPr>
                <w:rFonts w:eastAsia="Calibri"/>
                <w:color w:val="0F243E"/>
                <w:sz w:val="24"/>
                <w:szCs w:val="24"/>
              </w:rPr>
              <w:t>10 702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</w:t>
            </w:r>
            <w:r>
              <w:rPr>
                <w:color w:val="0F243E"/>
                <w:sz w:val="24"/>
                <w:szCs w:val="24"/>
              </w:rPr>
              <w:t>28 124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</w:t>
            </w:r>
            <w:r>
              <w:rPr>
                <w:rFonts w:eastAsia="Calibri"/>
                <w:color w:val="0F243E"/>
                <w:sz w:val="24"/>
                <w:szCs w:val="24"/>
              </w:rPr>
              <w:t>22 189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rFonts w:eastAsia="Calibri"/>
                <w:color w:val="0F243E"/>
                <w:sz w:val="24"/>
                <w:szCs w:val="24"/>
              </w:rPr>
              <w:t>178 129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40 747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          </w:t>
            </w: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22 569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</w:t>
            </w:r>
            <w:r>
              <w:rPr>
                <w:rFonts w:eastAsia="Calibri"/>
                <w:color w:val="0F243E"/>
                <w:sz w:val="24"/>
                <w:szCs w:val="24"/>
              </w:rPr>
              <w:t>19 354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</w:t>
            </w:r>
            <w:r>
              <w:rPr>
                <w:color w:val="0F243E"/>
                <w:sz w:val="24"/>
                <w:szCs w:val="24"/>
              </w:rPr>
              <w:t>-  22 569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</w:t>
            </w:r>
            <w:r>
              <w:rPr>
                <w:rFonts w:eastAsia="Calibri"/>
                <w:color w:val="0F243E"/>
                <w:sz w:val="24"/>
                <w:szCs w:val="24"/>
              </w:rPr>
              <w:t>-19 354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rFonts w:eastAsia="Calibri"/>
                <w:color w:val="0F243E"/>
                <w:sz w:val="24"/>
                <w:szCs w:val="24"/>
              </w:rPr>
              <w:t>155 560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21 393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  </w:t>
            </w:r>
            <w:r>
              <w:rPr>
                <w:rFonts w:eastAsia="Calibri"/>
                <w:color w:val="0F243E"/>
                <w:sz w:val="24"/>
                <w:szCs w:val="24"/>
              </w:rPr>
              <w:t>18 392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rFonts w:eastAsia="Calibri"/>
                <w:color w:val="0F243E"/>
                <w:sz w:val="24"/>
                <w:szCs w:val="24"/>
              </w:rPr>
              <w:t>2 880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ind w:left="0" w:right="0" w:hanging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rFonts w:eastAsia="Calibri"/>
                <w:color w:val="0F243E"/>
                <w:sz w:val="24"/>
                <w:szCs w:val="24"/>
              </w:rPr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</w:p>
        </w:tc>
      </w:tr>
      <w:tr>
        <w:trPr/>
        <w:tc>
          <w:tcPr>
            <w:tcW w:w="5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>
                <w:b/>
                <w:b/>
                <w:bCs/>
                <w:color w:val="0F243E"/>
                <w:sz w:val="24"/>
                <w:szCs w:val="24"/>
              </w:rPr>
            </w:pPr>
            <w:r>
              <w:rPr>
                <w:b/>
                <w:bCs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  </w:t>
            </w:r>
            <w:r>
              <w:rPr>
                <w:rFonts w:eastAsia="Calibri"/>
                <w:color w:val="0F243E"/>
                <w:sz w:val="24"/>
                <w:szCs w:val="24"/>
              </w:rPr>
              <w:t>137 168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0" w:right="0" w:hanging="0"/>
              <w:jc w:val="both"/>
              <w:rPr/>
            </w:pPr>
            <w:r>
              <w:rPr>
                <w:rFonts w:eastAsia="Calibri"/>
                <w:color w:val="0F243E"/>
                <w:sz w:val="24"/>
                <w:szCs w:val="24"/>
              </w:rPr>
              <w:t xml:space="preserve">      </w:t>
            </w:r>
            <w:r>
              <w:rPr>
                <w:rFonts w:eastAsia="Calibri"/>
                <w:color w:val="0F243E"/>
                <w:sz w:val="24"/>
                <w:szCs w:val="24"/>
              </w:rPr>
              <w:t>18 513</w:t>
            </w:r>
          </w:p>
        </w:tc>
      </w:tr>
    </w:tbl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Komentár k výkazu ziskov a strát (výsledovka):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Družstvo zaznamenalo nárast výnosov z hospodárskej činnosti. K zvýšeniu tržieb z predaja vlastných výrobkov o 43 % došlo dosiahnutím nadpriemerných úrod u všetkých pestovaných plodín najmä v porovnaní s rokom 2017. Na zvýšení tržieb z predaja služieb sa podieľal  </w:t>
      </w:r>
    </w:p>
    <w:p>
      <w:pPr>
        <w:pStyle w:val="Normal"/>
        <w:spacing w:before="0" w:after="120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kombajnový zber hrozna pre cudzích. Aktivácia predstavuje vlastnú prácu pri výsadbe novej vinice. Nárast osobných nákladov je popri zvýšení priemernej mzdy o 10,4 %, hlavne dôsledkom nárastu priemerného stavu zamestnancov a sezónnych brigádnikov.</w:t>
      </w:r>
    </w:p>
    <w:p>
      <w:pPr>
        <w:pStyle w:val="Normal"/>
        <w:ind w:left="0" w:right="0" w:hanging="0"/>
        <w:jc w:val="both"/>
        <w:rPr/>
      </w:pPr>
      <w:r>
        <w:rPr>
          <w:rFonts w:eastAsia="Calibri"/>
          <w:color w:val="0F243E"/>
          <w:sz w:val="24"/>
          <w:szCs w:val="24"/>
          <w:u w:val="single"/>
        </w:rPr>
        <w:t xml:space="preserve"> </w:t>
      </w:r>
      <w:r>
        <w:rPr>
          <w:color w:val="0F243E"/>
          <w:sz w:val="24"/>
          <w:szCs w:val="24"/>
          <w:u w:val="single"/>
        </w:rPr>
        <w:t>Informácie o udalostiach osobitného významu, ktoré nastali po skončení účtovného obdobia.</w:t>
      </w:r>
      <w:r>
        <w:rPr>
          <w:color w:val="0F243E"/>
          <w:sz w:val="24"/>
          <w:szCs w:val="24"/>
        </w:rPr>
        <w:t xml:space="preserve"> 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Družstvo neidentifikovalo žiadne významné následné udalosti.</w:t>
      </w:r>
    </w:p>
    <w:p>
      <w:pPr>
        <w:pStyle w:val="Normal"/>
        <w:ind w:left="0" w:right="0" w:hanging="0"/>
        <w:jc w:val="both"/>
        <w:rPr/>
      </w:pPr>
      <w:r>
        <w:rPr/>
      </w:r>
    </w:p>
    <w:p>
      <w:pPr>
        <w:pStyle w:val="Normal"/>
        <w:ind w:left="0" w:right="0" w:hanging="0"/>
        <w:jc w:val="both"/>
        <w:rPr/>
      </w:pPr>
      <w:r>
        <w:rPr>
          <w:rFonts w:eastAsia="Calibri"/>
          <w:color w:val="0F243E"/>
          <w:sz w:val="24"/>
          <w:szCs w:val="24"/>
          <w:u w:val="single"/>
        </w:rPr>
        <w:t xml:space="preserve"> </w:t>
      </w:r>
      <w:r>
        <w:rPr>
          <w:color w:val="0F243E"/>
          <w:sz w:val="24"/>
          <w:szCs w:val="24"/>
          <w:u w:val="single"/>
        </w:rPr>
        <w:t>Informácie o predpokladanom budúcom vývoji účtovnej jednotky.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Budúci vývoj družstva bude ovplyvnený hlavne vývojom počasia a cien poľnohospodárskych komodít. Plánujeme hospodáriť na cca 720 ha pôdy, bez živočíšnej výroby. Vzhľadom na</w:t>
      </w:r>
    </w:p>
    <w:p>
      <w:pPr>
        <w:pStyle w:val="Normal"/>
        <w:ind w:left="0" w:right="0" w:hanging="0"/>
        <w:jc w:val="both"/>
        <w:rPr/>
      </w:pPr>
      <w:r>
        <w:rPr/>
      </w:r>
    </w:p>
    <w:p>
      <w:pPr>
        <w:pStyle w:val="Normal"/>
        <w:ind w:left="0" w:right="0" w:hanging="0"/>
        <w:jc w:val="both"/>
        <w:rPr/>
      </w:pPr>
      <w:r>
        <w:rPr>
          <w:rFonts w:eastAsia="Calibri"/>
          <w:color w:val="0F243E"/>
          <w:sz w:val="24"/>
          <w:szCs w:val="24"/>
        </w:rPr>
        <w:t xml:space="preserve"> </w:t>
      </w:r>
      <w:r>
        <w:rPr>
          <w:color w:val="0F243E"/>
          <w:sz w:val="24"/>
          <w:szCs w:val="24"/>
        </w:rPr>
        <w:t>kvalitu pôd a tradície sa družstvo sústredí hlavne na špeciálnu výrobu – pestovanie hrozna.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Súčasnú výmeru viníc 78 ha plánujeme zvýšiť v najbližších dvoch rokoch o 19 ha a perspektívne  až na 120 ha. Ďalšie investície budú zamerané na obnovu strojového parku. 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ind w:left="0" w:right="0" w:hanging="0"/>
        <w:jc w:val="both"/>
        <w:rPr/>
      </w:pPr>
      <w:r>
        <w:rPr>
          <w:rFonts w:eastAsia="Calibri"/>
          <w:color w:val="0F243E"/>
          <w:sz w:val="24"/>
          <w:szCs w:val="24"/>
          <w:u w:val="single"/>
        </w:rPr>
        <w:t xml:space="preserve"> </w:t>
      </w:r>
      <w:r>
        <w:rPr>
          <w:color w:val="0F243E"/>
          <w:sz w:val="24"/>
          <w:szCs w:val="24"/>
          <w:u w:val="single"/>
        </w:rPr>
        <w:t>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>
        <w:rPr>
          <w:b/>
          <w:bCs/>
          <w:i/>
          <w:iCs/>
          <w:color w:val="0F243E"/>
          <w:sz w:val="24"/>
          <w:szCs w:val="24"/>
        </w:rPr>
        <w:t>bez náplne</w:t>
      </w:r>
      <w:r>
        <w:rPr>
          <w:i/>
          <w:iCs/>
          <w:color w:val="0F243E"/>
          <w:sz w:val="24"/>
          <w:szCs w:val="24"/>
        </w:rPr>
        <w:t>.</w:t>
      </w:r>
    </w:p>
    <w:p>
      <w:pPr>
        <w:pStyle w:val="Normal"/>
        <w:ind w:left="0" w:right="0" w:hanging="0"/>
        <w:jc w:val="both"/>
        <w:rPr>
          <w:i/>
          <w:i/>
          <w:iCs/>
          <w:color w:val="0F243E"/>
          <w:sz w:val="24"/>
          <w:szCs w:val="24"/>
        </w:rPr>
      </w:pPr>
      <w:r>
        <w:rPr>
          <w:i/>
          <w:iCs/>
          <w:color w:val="0F243E"/>
          <w:sz w:val="24"/>
          <w:szCs w:val="24"/>
        </w:rPr>
      </w:r>
    </w:p>
    <w:p>
      <w:pPr>
        <w:pStyle w:val="Normal"/>
        <w:ind w:left="0" w:right="0" w:hanging="0"/>
        <w:jc w:val="both"/>
        <w:rPr/>
      </w:pPr>
      <w:r>
        <w:rPr>
          <w:rFonts w:eastAsia="Calibri"/>
          <w:color w:val="0F243E"/>
          <w:sz w:val="24"/>
          <w:szCs w:val="24"/>
          <w:u w:val="single"/>
        </w:rPr>
        <w:t xml:space="preserve"> </w:t>
      </w:r>
      <w:r>
        <w:rPr>
          <w:color w:val="0F243E"/>
          <w:sz w:val="24"/>
          <w:szCs w:val="24"/>
          <w:u w:val="single"/>
        </w:rPr>
        <w:t>Informácie o nadobúdaní vlastných akcií, dočasných listov, obchodných podielov a akcií, dočasných listov a obchodných podielov materskej účtovnej jednotky</w:t>
      </w:r>
      <w:r>
        <w:rPr>
          <w:color w:val="0F243E"/>
          <w:sz w:val="24"/>
          <w:szCs w:val="24"/>
        </w:rPr>
        <w:t xml:space="preserve"> – </w:t>
      </w:r>
      <w:r>
        <w:rPr>
          <w:b/>
          <w:bCs/>
          <w:i/>
          <w:iCs/>
          <w:color w:val="0F243E"/>
          <w:sz w:val="24"/>
          <w:szCs w:val="24"/>
        </w:rPr>
        <w:t>bez náplne</w:t>
      </w:r>
      <w:r>
        <w:rPr>
          <w:i/>
          <w:iCs/>
          <w:color w:val="0F243E"/>
          <w:sz w:val="24"/>
          <w:szCs w:val="24"/>
        </w:rPr>
        <w:t>.</w:t>
      </w:r>
    </w:p>
    <w:p>
      <w:pPr>
        <w:pStyle w:val="Normal"/>
        <w:ind w:left="0" w:right="0" w:hanging="0"/>
        <w:jc w:val="both"/>
        <w:rPr>
          <w:i/>
          <w:i/>
          <w:iCs/>
          <w:color w:val="0F243E"/>
          <w:sz w:val="24"/>
          <w:szCs w:val="24"/>
        </w:rPr>
      </w:pPr>
      <w:r>
        <w:rPr>
          <w:i/>
          <w:iCs/>
          <w:color w:val="0F243E"/>
          <w:sz w:val="24"/>
          <w:szCs w:val="24"/>
        </w:rPr>
      </w:r>
    </w:p>
    <w:p>
      <w:pPr>
        <w:pStyle w:val="Normal"/>
        <w:ind w:left="0" w:right="0" w:hanging="0"/>
        <w:jc w:val="both"/>
        <w:rPr/>
      </w:pPr>
      <w:r>
        <w:rPr>
          <w:rFonts w:eastAsia="Calibri"/>
          <w:color w:val="0F243E"/>
          <w:sz w:val="24"/>
          <w:szCs w:val="24"/>
          <w:u w:val="single"/>
        </w:rPr>
        <w:t xml:space="preserve"> </w:t>
      </w:r>
      <w:r>
        <w:rPr>
          <w:color w:val="0F243E"/>
          <w:sz w:val="24"/>
          <w:szCs w:val="24"/>
          <w:u w:val="single"/>
        </w:rPr>
        <w:t>Informácie o návrhu na rozdelenie zisku alebo vyrovnanie straty.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Družstvo vytvorilo za rok 2018 účtovný zisk po zdanení vo výške 137 168 eur. Zisk bude v plnej výške použitý na úhradu strát z minulých rokov.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ind w:left="0" w:right="0" w:hanging="0"/>
        <w:jc w:val="both"/>
        <w:rPr/>
      </w:pPr>
      <w:r>
        <w:rPr>
          <w:color w:val="0F243E"/>
          <w:sz w:val="24"/>
          <w:szCs w:val="24"/>
          <w:u w:val="single"/>
        </w:rPr>
        <w:t>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>
        <w:rPr>
          <w:b/>
          <w:bCs/>
          <w:i/>
          <w:iCs/>
          <w:color w:val="0F243E"/>
          <w:sz w:val="24"/>
          <w:szCs w:val="24"/>
        </w:rPr>
        <w:t>bez náplne.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Informácie o tom, či účtovná jednotka má organizačnú zložku v zahraničí.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Družstvo nemá organizačnú zložku v zahraničí.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Finančné nástroje (§ 20 ods. 5 zákona o účtovníctve)</w:t>
      </w:r>
    </w:p>
    <w:p>
      <w:pPr>
        <w:pStyle w:val="Normal"/>
        <w:ind w:left="0" w:right="0" w:hanging="0"/>
        <w:jc w:val="both"/>
        <w:rPr/>
      </w:pPr>
      <w:r>
        <w:rPr>
          <w:color w:val="0F243E"/>
          <w:sz w:val="24"/>
          <w:szCs w:val="24"/>
        </w:rPr>
        <w:t xml:space="preserve">Družstvo nepoužíva finančné nástroje (napr. prevoditeľné cenné papiere, finančné rozdielové zmluvy, deriváty) podľa zákona č.566/2001 Z. z. o cenných papieroch v znení neskorších predpisov – preto nemá povinnosť uviesť špecifické </w:t>
      </w:r>
      <w:r>
        <w:rPr>
          <w:b/>
          <w:bCs/>
          <w:color w:val="0F243E"/>
          <w:sz w:val="24"/>
          <w:szCs w:val="24"/>
        </w:rPr>
        <w:t>informácie o metódach riadenia rizík.</w:t>
      </w:r>
    </w:p>
    <w:p>
      <w:pPr>
        <w:pStyle w:val="Normal"/>
        <w:ind w:left="0" w:right="0" w:hanging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Cenné papiere obchodované na regulovanom trhu (§ 20 ods. 6 a 7 zákona o účtovníctve).</w:t>
      </w:r>
    </w:p>
    <w:p>
      <w:pPr>
        <w:pStyle w:val="Normal"/>
        <w:ind w:left="0" w:right="0" w:hanging="0"/>
        <w:jc w:val="both"/>
        <w:rPr/>
      </w:pPr>
      <w:r>
        <w:rPr>
          <w:color w:val="0F243E"/>
          <w:sz w:val="24"/>
          <w:szCs w:val="24"/>
        </w:rPr>
        <w:t xml:space="preserve">Družstvo neemitovalo cenné papiere (akcie), ktoré by boli prijaté na obchodovanie na regulovanom trhu (napr. Burza cenných papierov Bratislava). Preto družstvo nemá povinnosť  vo výročnej správe uvádzať štruktúrované informácie podľa § 20 ods. 6 a 7 zákona o účtovníctve, napríklad – </w:t>
      </w:r>
      <w:r>
        <w:rPr>
          <w:b/>
          <w:bCs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>
      <w:pPr>
        <w:pStyle w:val="Normal"/>
        <w:ind w:left="0" w:right="0" w:hanging="0"/>
        <w:jc w:val="both"/>
        <w:rPr/>
      </w:pPr>
      <w:r>
        <w:rPr/>
      </w:r>
    </w:p>
    <w:p>
      <w:pPr>
        <w:pStyle w:val="Normal"/>
        <w:ind w:left="0" w:right="0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3) Ďalšie informácie</w:t>
      </w:r>
    </w:p>
    <w:p>
      <w:pPr>
        <w:pStyle w:val="Normal"/>
        <w:numPr>
          <w:ilvl w:val="0"/>
          <w:numId w:val="1"/>
        </w:numPr>
        <w:jc w:val="both"/>
        <w:rPr/>
      </w:pPr>
      <w:r>
        <w:rPr>
          <w:rStyle w:val="Ra"/>
          <w:rFonts w:cs="Calibri"/>
          <w:sz w:val="24"/>
          <w:szCs w:val="24"/>
        </w:rPr>
        <w:t>Sociálna politika : družstvo tvorí sociálny fond, ktorý je čerpaný hlavne na príspevky na stravovanie zamestnancov nad rámec zákona a ochranné odevy a pomôcky.</w:t>
      </w:r>
    </w:p>
    <w:p>
      <w:pPr>
        <w:pStyle w:val="Normal"/>
        <w:numPr>
          <w:ilvl w:val="0"/>
          <w:numId w:val="1"/>
        </w:numPr>
        <w:jc w:val="both"/>
        <w:rPr/>
      </w:pPr>
      <w:r>
        <w:rPr>
          <w:rStyle w:val="Ra"/>
          <w:rFonts w:cs="Calibri"/>
          <w:sz w:val="24"/>
          <w:szCs w:val="24"/>
        </w:rPr>
        <w:t xml:space="preserve">Ľudské zdroje: družstvo zamestnáva 23 zamestnancov, z toho 5 žien, 5 THP, fluktuácia zamestnancov je minimálna  </w:t>
      </w:r>
    </w:p>
    <w:p>
      <w:pPr>
        <w:pStyle w:val="Normal"/>
        <w:numPr>
          <w:ilvl w:val="0"/>
          <w:numId w:val="1"/>
        </w:numPr>
        <w:jc w:val="both"/>
        <w:rPr/>
      </w:pPr>
      <w:r>
        <w:rPr>
          <w:rStyle w:val="Ra"/>
          <w:rFonts w:cs="Calibri"/>
          <w:sz w:val="24"/>
          <w:szCs w:val="24"/>
        </w:rPr>
        <w:t>Hlavný dodávatelia a odberatelia: Gamex Trading s.r.o. Komárno, Gamota Trading a.s..Komárno, Dufrex s. r. o. Hurbanovo</w:t>
      </w:r>
    </w:p>
    <w:p>
      <w:pPr>
        <w:pStyle w:val="Normal"/>
        <w:numPr>
          <w:ilvl w:val="0"/>
          <w:numId w:val="1"/>
        </w:numPr>
        <w:jc w:val="both"/>
        <w:rPr/>
      </w:pPr>
      <w:r>
        <w:rPr>
          <w:rStyle w:val="Ra"/>
          <w:rFonts w:cs="Calibri"/>
          <w:sz w:val="24"/>
          <w:szCs w:val="24"/>
        </w:rPr>
        <w:t>ISO normy kvality alebo iné certifikáty a osvedčenia: družstvo nie je držiteľom</w:t>
      </w:r>
    </w:p>
    <w:p>
      <w:pPr>
        <w:pStyle w:val="Normal"/>
        <w:numPr>
          <w:ilvl w:val="0"/>
          <w:numId w:val="1"/>
        </w:numPr>
        <w:jc w:val="both"/>
        <w:rPr/>
      </w:pPr>
      <w:r>
        <w:rPr/>
      </w:r>
    </w:p>
    <w:p>
      <w:pPr>
        <w:pStyle w:val="Normal"/>
        <w:ind w:left="0" w:right="0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4) Povinné prílohy</w:t>
      </w:r>
    </w:p>
    <w:p>
      <w:pPr>
        <w:pStyle w:val="Normal"/>
        <w:ind w:left="0" w:right="0" w:hanging="0"/>
        <w:jc w:val="both"/>
        <w:rPr/>
      </w:pPr>
      <w:r>
        <w:rPr>
          <w:rStyle w:val="Ra"/>
          <w:rFonts w:cs="Calibri"/>
          <w:sz w:val="24"/>
          <w:szCs w:val="24"/>
        </w:rPr>
        <w:t>Prílohou tejto výročnej správy sú:</w:t>
      </w:r>
    </w:p>
    <w:p>
      <w:pPr>
        <w:pStyle w:val="Normal"/>
        <w:ind w:left="0" w:right="0" w:hanging="0"/>
        <w:jc w:val="both"/>
        <w:rPr/>
      </w:pPr>
      <w:r>
        <w:rPr>
          <w:rStyle w:val="Ra"/>
          <w:rFonts w:cs="Calibri"/>
          <w:b/>
          <w:bCs/>
          <w:sz w:val="24"/>
          <w:szCs w:val="24"/>
        </w:rPr>
        <w:t>Účtovná závierka spoločnosti za rok 2018 (Súvaha, Výkaz ziskov a strát a Poznámky )</w:t>
      </w:r>
    </w:p>
    <w:p>
      <w:pPr>
        <w:pStyle w:val="Normal"/>
        <w:ind w:left="0" w:right="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ind w:left="0" w:right="0" w:hanging="0"/>
        <w:jc w:val="both"/>
        <w:rPr/>
      </w:pPr>
      <w:r>
        <w:rPr>
          <w:rStyle w:val="Ra"/>
          <w:rFonts w:eastAsia="Calibri" w:cs="Calibri"/>
          <w:sz w:val="24"/>
          <w:szCs w:val="24"/>
        </w:rPr>
        <w:t xml:space="preserve">                                                                                                                   </w:t>
      </w:r>
      <w:r>
        <w:rPr>
          <w:rStyle w:val="Ra"/>
          <w:rFonts w:cs="Calibri"/>
          <w:sz w:val="24"/>
          <w:szCs w:val="24"/>
        </w:rPr>
        <w:t>Ing. Vladimír Kajan</w:t>
      </w:r>
    </w:p>
    <w:p>
      <w:pPr>
        <w:pStyle w:val="Normal"/>
        <w:ind w:left="1416" w:right="0" w:hanging="0"/>
        <w:jc w:val="both"/>
        <w:rPr/>
      </w:pPr>
      <w:r>
        <w:rPr>
          <w:rStyle w:val="Ra"/>
          <w:rFonts w:eastAsia="Calibri" w:cs="Calibri"/>
          <w:sz w:val="24"/>
          <w:szCs w:val="24"/>
        </w:rPr>
        <w:t xml:space="preserve">                                                                                     </w:t>
      </w:r>
      <w:r>
        <w:rPr>
          <w:rStyle w:val="Ra"/>
          <w:rFonts w:cs="Calibri"/>
          <w:sz w:val="24"/>
          <w:szCs w:val="24"/>
        </w:rPr>
        <w:t>Predseda predstavenstva</w:t>
      </w:r>
    </w:p>
    <w:sectPr>
      <w:footerReference w:type="default" r:id="rId2"/>
      <w:footerReference w:type="first" r:id="rId3"/>
      <w:type w:val="nextPage"/>
      <w:pgSz w:w="11906" w:h="16838"/>
      <w:pgMar w:left="1417" w:right="1417" w:header="0" w:top="1417" w:footer="720" w:bottom="1417" w:gutter="0"/>
      <w:pgNumType w:start="0"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3"/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sz w:val="24"/>
        <w:szCs w:val="24"/>
        <w:rFonts w:cs="Calibri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4"/>
        <w:szCs w:val="24"/>
        <w:lang w:val="en-GB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ind w:left="7791" w:right="0" w:firstLine="709"/>
    </w:pPr>
    <w:rPr>
      <w:rFonts w:ascii="Calibri" w:hAnsi="Calibri" w:eastAsia="Times New Roman" w:cs="Calibri"/>
      <w:color w:val="auto"/>
      <w:sz w:val="22"/>
      <w:szCs w:val="22"/>
      <w:lang w:val="sk-SK" w:eastAsia="zh-CN" w:bidi="ar-SA"/>
    </w:rPr>
  </w:style>
  <w:style w:type="character" w:styleId="WW8Num1z0">
    <w:name w:val="WW8Num1z0"/>
    <w:qFormat/>
    <w:rPr>
      <w:rFonts w:ascii="Calibri" w:hAnsi="Calibri" w:cs="Calibri"/>
      <w:sz w:val="24"/>
      <w:szCs w:val="24"/>
    </w:rPr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1z1">
    <w:name w:val="WW8Num1z1"/>
    <w:qFormat/>
    <w:rPr>
      <w:rFonts w:ascii="Courier New" w:hAnsi="Courier New" w:cs="Courier New"/>
    </w:rPr>
  </w:style>
  <w:style w:type="character" w:styleId="WW8Num1z2">
    <w:name w:val="WW8Num1z2"/>
    <w:qFormat/>
    <w:rPr>
      <w:rFonts w:ascii="Wingdings" w:hAnsi="Wingdings" w:cs="Wingdings"/>
    </w:rPr>
  </w:style>
  <w:style w:type="character" w:styleId="WW8Num1z3">
    <w:name w:val="WW8Num1z3"/>
    <w:qFormat/>
    <w:rPr>
      <w:rFonts w:ascii="Symbol" w:hAnsi="Symbol" w:cs="Symbol"/>
    </w:rPr>
  </w:style>
  <w:style w:type="character" w:styleId="WW8Num3z0">
    <w:name w:val="WW8Num3z0"/>
    <w:qFormat/>
    <w:rPr>
      <w:rFonts w:ascii="Symbol" w:hAnsi="Symbol" w:cs="Symbo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4z0">
    <w:name w:val="WW8Num4z0"/>
    <w:qFormat/>
    <w:rPr>
      <w:rFonts w:cs="Times New Roman"/>
    </w:rPr>
  </w:style>
  <w:style w:type="character" w:styleId="WW8Num5z0">
    <w:name w:val="WW8Num5z0"/>
    <w:qFormat/>
    <w:rPr>
      <w:rFonts w:cs="Times New Roman"/>
    </w:rPr>
  </w:style>
  <w:style w:type="character" w:styleId="WW8Num6z0">
    <w:name w:val="WW8Num6z0"/>
    <w:qFormat/>
    <w:rPr>
      <w:rFonts w:ascii="Calibri" w:hAnsi="Calibri" w:eastAsia="Times New Roman" w:cs="Calibri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>
      <w:rFonts w:ascii="Calibri" w:hAnsi="Calibri" w:eastAsia="Times New Roman" w:cs="Calibri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2">
    <w:name w:val="WW8Num7z2"/>
    <w:qFormat/>
    <w:rPr>
      <w:rFonts w:ascii="Wingdings" w:hAnsi="Wingdings" w:cs="Wingdings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8z0">
    <w:name w:val="WW8Num8z0"/>
    <w:qFormat/>
    <w:rPr>
      <w:rFonts w:cs="Times New Roman"/>
    </w:rPr>
  </w:style>
  <w:style w:type="character" w:styleId="WW8Num9z0">
    <w:name w:val="WW8Num9z0"/>
    <w:qFormat/>
    <w:rPr>
      <w:rFonts w:cs="Times New Roman"/>
    </w:rPr>
  </w:style>
  <w:style w:type="character" w:styleId="WW8Num10z0">
    <w:name w:val="WW8Num10z0"/>
    <w:qFormat/>
    <w:rPr>
      <w:rFonts w:cs="Times New Roman"/>
    </w:rPr>
  </w:style>
  <w:style w:type="character" w:styleId="WW8Num11z0">
    <w:name w:val="WW8Num11z0"/>
    <w:qFormat/>
    <w:rPr>
      <w:rFonts w:ascii="Symbol" w:hAnsi="Symbol" w:cs="Symbol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2">
    <w:name w:val="WW8Num11z2"/>
    <w:qFormat/>
    <w:rPr>
      <w:rFonts w:ascii="Wingdings" w:hAnsi="Wingdings" w:cs="Wingdings"/>
    </w:rPr>
  </w:style>
  <w:style w:type="character" w:styleId="WW8Num12z0">
    <w:name w:val="WW8Num12z0"/>
    <w:qFormat/>
    <w:rPr>
      <w:rFonts w:cs="Times New Roman"/>
    </w:rPr>
  </w:style>
  <w:style w:type="character" w:styleId="WW8Num13z0">
    <w:name w:val="WW8Num13z0"/>
    <w:qFormat/>
    <w:rPr>
      <w:rFonts w:cs="Times New Roman"/>
    </w:rPr>
  </w:style>
  <w:style w:type="character" w:styleId="WW8Num14z0">
    <w:name w:val="WW8Num14z0"/>
    <w:qFormat/>
    <w:rPr>
      <w:rFonts w:cs="Times New Roman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WW8Num14z2">
    <w:name w:val="WW8Num14z2"/>
    <w:qFormat/>
    <w:rPr>
      <w:rFonts w:ascii="Wingdings" w:hAnsi="Wingdings" w:cs="Wingdings"/>
    </w:rPr>
  </w:style>
  <w:style w:type="character" w:styleId="WW8Num14z3">
    <w:name w:val="WW8Num14z3"/>
    <w:qFormat/>
    <w:rPr>
      <w:rFonts w:ascii="Symbol" w:hAnsi="Symbol" w:cs="Symbol"/>
    </w:rPr>
  </w:style>
  <w:style w:type="character" w:styleId="WW8Num15z0">
    <w:name w:val="WW8Num15z0"/>
    <w:qFormat/>
    <w:rPr>
      <w:rFonts w:ascii="Symbol" w:hAnsi="Symbol" w:cs="Symbol"/>
    </w:rPr>
  </w:style>
  <w:style w:type="character" w:styleId="WW8Num15z1">
    <w:name w:val="WW8Num15z1"/>
    <w:qFormat/>
    <w:rPr>
      <w:rFonts w:ascii="Courier New" w:hAnsi="Courier New" w:cs="Courier New"/>
    </w:rPr>
  </w:style>
  <w:style w:type="character" w:styleId="WW8Num15z2">
    <w:name w:val="WW8Num15z2"/>
    <w:qFormat/>
    <w:rPr>
      <w:rFonts w:ascii="Wingdings" w:hAnsi="Wingdings" w:cs="Wingdings"/>
    </w:rPr>
  </w:style>
  <w:style w:type="character" w:styleId="WW8Num16z0">
    <w:name w:val="WW8Num16z0"/>
    <w:qFormat/>
    <w:rPr>
      <w:rFonts w:ascii="Symbol" w:hAnsi="Symbol" w:cs="Symbol"/>
    </w:rPr>
  </w:style>
  <w:style w:type="character" w:styleId="WW8Num16z1">
    <w:name w:val="WW8Num16z1"/>
    <w:qFormat/>
    <w:rPr>
      <w:rFonts w:ascii="Courier New" w:hAnsi="Courier New" w:cs="Courier New"/>
    </w:rPr>
  </w:style>
  <w:style w:type="character" w:styleId="WW8Num16z2">
    <w:name w:val="WW8Num16z2"/>
    <w:qFormat/>
    <w:rPr>
      <w:rFonts w:ascii="Wingdings" w:hAnsi="Wingdings" w:cs="Wingdings"/>
    </w:rPr>
  </w:style>
  <w:style w:type="character" w:styleId="WW8Num17z0">
    <w:name w:val="WW8Num17z0"/>
    <w:qFormat/>
    <w:rPr>
      <w:rFonts w:ascii="Symbol" w:hAnsi="Symbol" w:cs="Symbol"/>
    </w:rPr>
  </w:style>
  <w:style w:type="character" w:styleId="WW8Num17z1">
    <w:name w:val="WW8Num17z1"/>
    <w:qFormat/>
    <w:rPr>
      <w:rFonts w:ascii="Courier New" w:hAnsi="Courier New" w:cs="Courier New"/>
    </w:rPr>
  </w:style>
  <w:style w:type="character" w:styleId="WW8Num17z2">
    <w:name w:val="WW8Num17z2"/>
    <w:qFormat/>
    <w:rPr>
      <w:rFonts w:ascii="Wingdings" w:hAnsi="Wingdings" w:cs="Wingdings"/>
    </w:rPr>
  </w:style>
  <w:style w:type="character" w:styleId="WW8Num18z0">
    <w:name w:val="WW8Num18z0"/>
    <w:qFormat/>
    <w:rPr>
      <w:rFonts w:cs="Times New Roman"/>
    </w:rPr>
  </w:style>
  <w:style w:type="character" w:styleId="WW8Num18z1">
    <w:name w:val="WW8Num18z1"/>
    <w:qFormat/>
    <w:rPr>
      <w:rFonts w:ascii="Courier New" w:hAnsi="Courier New" w:cs="Courier New"/>
      <w:sz w:val="20"/>
    </w:rPr>
  </w:style>
  <w:style w:type="character" w:styleId="WW8Num19z0">
    <w:name w:val="WW8Num19z0"/>
    <w:qFormat/>
    <w:rPr>
      <w:rFonts w:ascii="Calibri" w:hAnsi="Calibri" w:eastAsia="Times New Roman" w:cs="Calibri"/>
    </w:rPr>
  </w:style>
  <w:style w:type="character" w:styleId="WW8Num19z1">
    <w:name w:val="WW8Num19z1"/>
    <w:qFormat/>
    <w:rPr>
      <w:rFonts w:ascii="Courier New" w:hAnsi="Courier New" w:cs="Courier New"/>
    </w:rPr>
  </w:style>
  <w:style w:type="character" w:styleId="WW8Num19z2">
    <w:name w:val="WW8Num19z2"/>
    <w:qFormat/>
    <w:rPr>
      <w:rFonts w:ascii="Wingdings" w:hAnsi="Wingdings" w:cs="Wingdings"/>
    </w:rPr>
  </w:style>
  <w:style w:type="character" w:styleId="WW8Num19z3">
    <w:name w:val="WW8Num19z3"/>
    <w:qFormat/>
    <w:rPr>
      <w:rFonts w:ascii="Symbol" w:hAnsi="Symbol" w:cs="Symbol"/>
    </w:rPr>
  </w:style>
  <w:style w:type="character" w:styleId="WW8Num20z0">
    <w:name w:val="WW8Num20z0"/>
    <w:qFormat/>
    <w:rPr>
      <w:rFonts w:ascii="Symbol" w:hAnsi="Symbol" w:cs="Symbol"/>
      <w:color w:val="000000"/>
    </w:rPr>
  </w:style>
  <w:style w:type="character" w:styleId="WW8Num20z1">
    <w:name w:val="WW8Num20z1"/>
    <w:qFormat/>
    <w:rPr>
      <w:rFonts w:ascii="Courier New" w:hAnsi="Courier New" w:cs="Courier New"/>
    </w:rPr>
  </w:style>
  <w:style w:type="character" w:styleId="WW8Num20z2">
    <w:name w:val="WW8Num20z2"/>
    <w:qFormat/>
    <w:rPr>
      <w:rFonts w:ascii="Wingdings" w:hAnsi="Wingdings" w:cs="Wingdings"/>
    </w:rPr>
  </w:style>
  <w:style w:type="character" w:styleId="WW8Num20z3">
    <w:name w:val="WW8Num20z3"/>
    <w:qFormat/>
    <w:rPr>
      <w:rFonts w:ascii="Symbol" w:hAnsi="Symbol" w:cs="Symbol"/>
    </w:rPr>
  </w:style>
  <w:style w:type="character" w:styleId="WW8Num21z0">
    <w:name w:val="WW8Num21z0"/>
    <w:qFormat/>
    <w:rPr>
      <w:rFonts w:ascii="Calibri" w:hAnsi="Calibri" w:eastAsia="Times New Roman" w:cs="Calibri"/>
      <w:sz w:val="24"/>
      <w:szCs w:val="24"/>
    </w:rPr>
  </w:style>
  <w:style w:type="character" w:styleId="WW8Num21z1">
    <w:name w:val="WW8Num21z1"/>
    <w:qFormat/>
    <w:rPr>
      <w:rFonts w:ascii="Courier New" w:hAnsi="Courier New" w:cs="Courier New"/>
    </w:rPr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3">
    <w:name w:val="WW8Num21z3"/>
    <w:qFormat/>
    <w:rPr>
      <w:rFonts w:ascii="Symbol" w:hAnsi="Symbol" w:cs="Symbol"/>
    </w:rPr>
  </w:style>
  <w:style w:type="character" w:styleId="WW8Num22z0">
    <w:name w:val="WW8Num22z0"/>
    <w:qFormat/>
    <w:rPr>
      <w:rFonts w:ascii="Calibri" w:hAnsi="Calibri" w:eastAsia="Times New Roman" w:cs="Calibri"/>
    </w:rPr>
  </w:style>
  <w:style w:type="character" w:styleId="WW8Num22z1">
    <w:name w:val="WW8Num22z1"/>
    <w:qFormat/>
    <w:rPr>
      <w:rFonts w:ascii="Courier New" w:hAnsi="Courier New" w:cs="Courier New"/>
    </w:rPr>
  </w:style>
  <w:style w:type="character" w:styleId="WW8Num22z2">
    <w:name w:val="WW8Num22z2"/>
    <w:qFormat/>
    <w:rPr>
      <w:rFonts w:ascii="Wingdings" w:hAnsi="Wingdings" w:cs="Wingdings"/>
    </w:rPr>
  </w:style>
  <w:style w:type="character" w:styleId="WW8Num22z3">
    <w:name w:val="WW8Num22z3"/>
    <w:qFormat/>
    <w:rPr>
      <w:rFonts w:ascii="Symbol" w:hAnsi="Symbol" w:cs="Symbol"/>
    </w:rPr>
  </w:style>
  <w:style w:type="character" w:styleId="WW8Num23z0">
    <w:name w:val="WW8Num23z0"/>
    <w:qFormat/>
    <w:rPr>
      <w:rFonts w:ascii="Calibri" w:hAnsi="Calibri" w:eastAsia="Times New Roman" w:cs="Calibri"/>
    </w:rPr>
  </w:style>
  <w:style w:type="character" w:styleId="WW8Num23z1">
    <w:name w:val="WW8Num23z1"/>
    <w:qFormat/>
    <w:rPr>
      <w:rFonts w:ascii="Courier New" w:hAnsi="Courier New" w:cs="Courier New"/>
    </w:rPr>
  </w:style>
  <w:style w:type="character" w:styleId="WW8Num23z2">
    <w:name w:val="WW8Num23z2"/>
    <w:qFormat/>
    <w:rPr>
      <w:rFonts w:ascii="Wingdings" w:hAnsi="Wingdings" w:cs="Wingdings"/>
    </w:rPr>
  </w:style>
  <w:style w:type="character" w:styleId="WW8Num23z3">
    <w:name w:val="WW8Num23z3"/>
    <w:qFormat/>
    <w:rPr>
      <w:rFonts w:ascii="Symbol" w:hAnsi="Symbol" w:cs="Symbol"/>
    </w:rPr>
  </w:style>
  <w:style w:type="character" w:styleId="WW8Num24z0">
    <w:name w:val="WW8Num24z0"/>
    <w:qFormat/>
    <w:rPr>
      <w:rFonts w:ascii="Symbol" w:hAnsi="Symbol" w:cs="Symbol"/>
    </w:rPr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8Num24z2">
    <w:name w:val="WW8Num24z2"/>
    <w:qFormat/>
    <w:rPr>
      <w:rFonts w:ascii="Wingdings" w:hAnsi="Wingdings" w:cs="Wingdings"/>
    </w:rPr>
  </w:style>
  <w:style w:type="character" w:styleId="WW8Num25z0">
    <w:name w:val="WW8Num25z0"/>
    <w:qFormat/>
    <w:rPr>
      <w:rFonts w:ascii="Symbol" w:hAnsi="Symbol" w:cs="Symbol"/>
    </w:rPr>
  </w:style>
  <w:style w:type="character" w:styleId="WW8Num25z1">
    <w:name w:val="WW8Num25z1"/>
    <w:qFormat/>
    <w:rPr>
      <w:rFonts w:ascii="Courier New" w:hAnsi="Courier New" w:cs="Courier New"/>
    </w:rPr>
  </w:style>
  <w:style w:type="character" w:styleId="WW8Num25z2">
    <w:name w:val="WW8Num25z2"/>
    <w:qFormat/>
    <w:rPr>
      <w:rFonts w:ascii="Wingdings" w:hAnsi="Wingdings" w:cs="Wingdings"/>
    </w:rPr>
  </w:style>
  <w:style w:type="character" w:styleId="WW8Num26z0">
    <w:name w:val="WW8Num26z0"/>
    <w:qFormat/>
    <w:rPr>
      <w:rFonts w:cs="Times New Roman"/>
    </w:rPr>
  </w:style>
  <w:style w:type="character" w:styleId="WW8Num27z0">
    <w:name w:val="WW8Num27z0"/>
    <w:qFormat/>
    <w:rPr>
      <w:rFonts w:ascii="Calibri" w:hAnsi="Calibri" w:eastAsia="Times New Roman" w:cs="Calibri"/>
    </w:rPr>
  </w:style>
  <w:style w:type="character" w:styleId="WW8Num27z1">
    <w:name w:val="WW8Num27z1"/>
    <w:qFormat/>
    <w:rPr>
      <w:rFonts w:ascii="Courier New" w:hAnsi="Courier New" w:cs="Courier New"/>
    </w:rPr>
  </w:style>
  <w:style w:type="character" w:styleId="WW8Num27z2">
    <w:name w:val="WW8Num27z2"/>
    <w:qFormat/>
    <w:rPr>
      <w:rFonts w:ascii="Wingdings" w:hAnsi="Wingdings" w:cs="Wingdings"/>
    </w:rPr>
  </w:style>
  <w:style w:type="character" w:styleId="WW8Num27z3">
    <w:name w:val="WW8Num27z3"/>
    <w:qFormat/>
    <w:rPr>
      <w:rFonts w:ascii="Symbol" w:hAnsi="Symbol" w:cs="Symbol"/>
    </w:rPr>
  </w:style>
  <w:style w:type="character" w:styleId="WW8Num28z0">
    <w:name w:val="WW8Num28z0"/>
    <w:qFormat/>
    <w:rPr>
      <w:rFonts w:ascii="Symbol" w:hAnsi="Symbol" w:cs="Symbol"/>
      <w:sz w:val="20"/>
    </w:rPr>
  </w:style>
  <w:style w:type="character" w:styleId="WW8Num28z1">
    <w:name w:val="WW8Num28z1"/>
    <w:qFormat/>
    <w:rPr>
      <w:rFonts w:ascii="Courier New" w:hAnsi="Courier New" w:cs="Courier New"/>
      <w:sz w:val="20"/>
    </w:rPr>
  </w:style>
  <w:style w:type="character" w:styleId="WW8Num28z2">
    <w:name w:val="WW8Num28z2"/>
    <w:qFormat/>
    <w:rPr>
      <w:rFonts w:ascii="Wingdings" w:hAnsi="Wingdings" w:cs="Wingdings"/>
      <w:sz w:val="20"/>
    </w:rPr>
  </w:style>
  <w:style w:type="character" w:styleId="WW8Num29z0">
    <w:name w:val="WW8Num29z0"/>
    <w:qFormat/>
    <w:rPr>
      <w:rFonts w:ascii="Symbol" w:hAnsi="Symbol" w:cs="Symbol"/>
    </w:rPr>
  </w:style>
  <w:style w:type="character" w:styleId="WW8Num29z1">
    <w:name w:val="WW8Num29z1"/>
    <w:qFormat/>
    <w:rPr>
      <w:rFonts w:ascii="Courier New" w:hAnsi="Courier New" w:cs="Courier New"/>
    </w:rPr>
  </w:style>
  <w:style w:type="character" w:styleId="WW8Num29z2">
    <w:name w:val="WW8Num29z2"/>
    <w:qFormat/>
    <w:rPr>
      <w:rFonts w:ascii="Wingdings" w:hAnsi="Wingdings" w:cs="Wingdings"/>
    </w:rPr>
  </w:style>
  <w:style w:type="character" w:styleId="WW8Num30z0">
    <w:name w:val="WW8Num30z0"/>
    <w:qFormat/>
    <w:rPr>
      <w:rFonts w:ascii="Calibri" w:hAnsi="Calibri" w:eastAsia="Times New Roman" w:cs="Calibri"/>
    </w:rPr>
  </w:style>
  <w:style w:type="character" w:styleId="WW8Num30z1">
    <w:name w:val="WW8Num30z1"/>
    <w:qFormat/>
    <w:rPr>
      <w:rFonts w:ascii="Courier New" w:hAnsi="Courier New" w:cs="Courier New"/>
    </w:rPr>
  </w:style>
  <w:style w:type="character" w:styleId="WW8Num30z2">
    <w:name w:val="WW8Num30z2"/>
    <w:qFormat/>
    <w:rPr>
      <w:rFonts w:ascii="Wingdings" w:hAnsi="Wingdings" w:cs="Wingdings"/>
    </w:rPr>
  </w:style>
  <w:style w:type="character" w:styleId="WW8Num30z3">
    <w:name w:val="WW8Num30z3"/>
    <w:qFormat/>
    <w:rPr>
      <w:rFonts w:ascii="Symbol" w:hAnsi="Symbol" w:cs="Symbol"/>
    </w:rPr>
  </w:style>
  <w:style w:type="character" w:styleId="WW8Num31z0">
    <w:name w:val="WW8Num31z0"/>
    <w:qFormat/>
    <w:rPr>
      <w:rFonts w:ascii="Symbol" w:hAnsi="Symbol" w:cs="Symbol"/>
    </w:rPr>
  </w:style>
  <w:style w:type="character" w:styleId="WW8Num31z1">
    <w:name w:val="WW8Num31z1"/>
    <w:qFormat/>
    <w:rPr>
      <w:rFonts w:ascii="Courier New" w:hAnsi="Courier New" w:cs="Courier New"/>
    </w:rPr>
  </w:style>
  <w:style w:type="character" w:styleId="WW8Num31z2">
    <w:name w:val="WW8Num31z2"/>
    <w:qFormat/>
    <w:rPr>
      <w:rFonts w:ascii="Wingdings" w:hAnsi="Wingdings" w:cs="Wingdings"/>
    </w:rPr>
  </w:style>
  <w:style w:type="character" w:styleId="Standardnpsmoodstavce">
    <w:name w:val="Standardní písmo odstavce"/>
    <w:qFormat/>
    <w:rPr/>
  </w:style>
  <w:style w:type="character" w:styleId="Ra">
    <w:name w:val="ra"/>
    <w:basedOn w:val="Standardnpsmoodstavce"/>
    <w:qFormat/>
    <w:rPr>
      <w:rFonts w:cs="Times New Roman"/>
    </w:rPr>
  </w:style>
  <w:style w:type="character" w:styleId="HeaderChar">
    <w:name w:val="Header Char"/>
    <w:basedOn w:val="Standardnpsmoodstavce"/>
    <w:qFormat/>
    <w:rPr>
      <w:rFonts w:cs="Times New Roman"/>
      <w:sz w:val="22"/>
      <w:szCs w:val="22"/>
      <w:lang w:val="en-GB"/>
    </w:rPr>
  </w:style>
  <w:style w:type="character" w:styleId="FooterChar">
    <w:name w:val="Footer Char"/>
    <w:basedOn w:val="Standardnpsmoodstavce"/>
    <w:qFormat/>
    <w:rPr>
      <w:rFonts w:cs="Times New Roman"/>
      <w:sz w:val="22"/>
      <w:szCs w:val="22"/>
      <w:lang w:val="en-GB"/>
    </w:rPr>
  </w:style>
  <w:style w:type="character" w:styleId="BalloonTextChar">
    <w:name w:val="Balloon Text Char"/>
    <w:basedOn w:val="Standardnpsmoodstavce"/>
    <w:qFormat/>
    <w:rPr>
      <w:rFonts w:ascii="Tahoma" w:hAnsi="Tahoma" w:cs="Tahoma"/>
      <w:sz w:val="16"/>
      <w:szCs w:val="16"/>
      <w:lang w:val="en-GB"/>
    </w:rPr>
  </w:style>
  <w:style w:type="character" w:styleId="NoSpacingChar">
    <w:name w:val="No Spacing Char"/>
    <w:qFormat/>
    <w:rPr>
      <w:rFonts w:eastAsia="Times New Roman"/>
      <w:sz w:val="22"/>
      <w:lang w:val="sk-SK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lnweb">
    <w:name w:val="Normální (web)"/>
    <w:basedOn w:val="Normal"/>
    <w:qFormat/>
    <w:pPr>
      <w:spacing w:before="280" w:after="280"/>
      <w:ind w:left="0" w:right="0" w:hanging="0"/>
    </w:pPr>
    <w:rPr>
      <w:rFonts w:ascii="Times New Roman" w:hAnsi="Times New Roman" w:eastAsia="Calibri" w:cs="Times New Roman"/>
      <w:sz w:val="24"/>
      <w:szCs w:val="24"/>
      <w:lang w:val="cs-CZ"/>
    </w:rPr>
  </w:style>
  <w:style w:type="paragraph" w:styleId="Hlavika">
    <w:name w:val="Head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</w:rPr>
  </w:style>
  <w:style w:type="paragraph" w:styleId="NoSpacing">
    <w:name w:val="No Spacing"/>
    <w:qFormat/>
    <w:pPr>
      <w:widowControl/>
      <w:suppressAutoHyphens w:val="true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4587</TotalTime>
  <Application>LibreOffice/6.2.2.2$Windows_x86 LibreOffice_project/2b840030fec2aae0fd2658d8d4f9548af4e3518d</Application>
  <Pages>7</Pages>
  <Words>1572</Words>
  <Characters>8628</Characters>
  <CharactersWithSpaces>10744</CharactersWithSpaces>
  <Paragraphs>263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2017-12-07T13:32:00Z</dcterms:created>
  <dc:creator>Administrator</dc:creator>
  <dc:description/>
  <dc:language>en-GB</dc:language>
  <cp:lastModifiedBy/>
  <cp:lastPrinted>1995-11-21T17:41:00Z</cp:lastPrinted>
  <dcterms:modified xsi:type="dcterms:W3CDTF">2019-12-13T14:14:24Z</dcterms:modified>
  <cp:revision>23</cp:revision>
  <dc:subject>ALFA s.r.o.</dc:subject>
  <dc:title>Výročná správa 2014</dc:title>
</cp:coreProperties>
</file>