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2018</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V Ľubeli, máj 2019</w:t>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2018 a jeho plnenie</w:t>
      </w:r>
    </w:p>
    <w:p>
      <w:pPr>
        <w:pStyle w:val="Normal"/>
        <w:ind w:firstLine="708"/>
        <w:jc w:val="both"/>
        <w:rPr/>
      </w:pPr>
      <w:r>
        <w:rPr/>
        <w:t>Rozbor plnenia príjmov za rok 2018</w:t>
      </w:r>
    </w:p>
    <w:p>
      <w:pPr>
        <w:pStyle w:val="Normal"/>
        <w:ind w:firstLine="708"/>
        <w:jc w:val="both"/>
        <w:rPr/>
      </w:pPr>
      <w:r>
        <w:rPr/>
        <w:t>Rozbor plnenia výdavkov  za rok 2018</w:t>
      </w:r>
    </w:p>
    <w:p>
      <w:pPr>
        <w:pStyle w:val="Normal"/>
        <w:ind w:firstLine="708"/>
        <w:jc w:val="both"/>
        <w:rPr/>
      </w:pPr>
      <w:r>
        <w:rPr/>
      </w:r>
    </w:p>
    <w:p>
      <w:pPr>
        <w:pStyle w:val="Normal"/>
        <w:ind w:firstLine="708"/>
        <w:jc w:val="both"/>
        <w:rPr/>
      </w:pPr>
      <w:r>
        <w:rPr>
          <w:b/>
          <w:bCs/>
        </w:rPr>
        <w:t>3. Hospodárenie obce a rozdelenie výsledku hospodárenia za rok 2018</w:t>
      </w:r>
    </w:p>
    <w:p>
      <w:pPr>
        <w:pStyle w:val="Normal"/>
        <w:ind w:firstLine="708"/>
        <w:jc w:val="both"/>
        <w:rPr/>
      </w:pPr>
      <w:r>
        <w:rPr/>
        <w:t>Skutočnosť a výsledok rozpočtového hospodárenia za rok 2018</w:t>
      </w:r>
    </w:p>
    <w:p>
      <w:pPr>
        <w:pStyle w:val="Normal"/>
        <w:ind w:firstLine="708"/>
        <w:jc w:val="both"/>
        <w:rPr/>
      </w:pPr>
      <w:r>
        <w:rPr/>
      </w:r>
    </w:p>
    <w:p>
      <w:pPr>
        <w:pStyle w:val="Normal"/>
        <w:ind w:firstLine="708"/>
        <w:jc w:val="both"/>
        <w:rPr/>
      </w:pPr>
      <w:r>
        <w:rPr>
          <w:b/>
          <w:bCs/>
        </w:rPr>
        <w:t>4. Bilancia aktív a pasív k 31.12.2018</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31.12.2018</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Investičné akcie v roku 2018</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 xml:space="preserve">Počet obyvateľov obce Ľubeľa  k 31.12.2018:  </w:t>
      </w:r>
      <w:r>
        <w:rPr>
          <w:b w:val="false"/>
          <w:bCs w:val="false"/>
          <w:color w:val="auto"/>
        </w:rPr>
        <w:t>1112 obyvateľov (63,69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2018 vykonávali samosprávu obce jeho obyvatelia prostredníctvom volených orgánov obce, ktoré vzišli z komunálnych volieb na obdobie 4 rokov zo dňa 1. decembra 2014 a tiež 10. novembra 2018.</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color w:val="auto"/>
        </w:rPr>
      </w:pPr>
      <w:r>
        <w:rPr>
          <w:b/>
          <w:bCs/>
          <w:color w:val="auto"/>
        </w:rPr>
        <w:t>Orgány obce vo volebnom období 2014 - 2018</w:t>
      </w:r>
    </w:p>
    <w:p>
      <w:pPr>
        <w:pStyle w:val="Normal"/>
        <w:ind w:firstLine="708"/>
        <w:jc w:val="both"/>
        <w:rPr>
          <w:color w:val="auto"/>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color w:val="auto"/>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2014 - 2018</w:t>
      </w:r>
    </w:p>
    <w:p>
      <w:pPr>
        <w:pStyle w:val="Normal"/>
        <w:rPr>
          <w:color w:val="auto"/>
        </w:rPr>
      </w:pPr>
      <w:r>
        <w:rPr>
          <w:color w:val="auto"/>
        </w:rPr>
        <w:t>1/ Bc. Peter Slavkovský – zástupca starostu obce</w:t>
      </w:r>
    </w:p>
    <w:p>
      <w:pPr>
        <w:pStyle w:val="Normal"/>
        <w:rPr>
          <w:color w:val="auto"/>
        </w:rPr>
      </w:pPr>
      <w:r>
        <w:rPr>
          <w:color w:val="auto"/>
        </w:rPr>
        <w:t>2/ Mgr. Erika Miklášová</w:t>
      </w:r>
    </w:p>
    <w:p>
      <w:pPr>
        <w:pStyle w:val="Normal"/>
        <w:rPr>
          <w:color w:val="auto"/>
        </w:rPr>
      </w:pPr>
      <w:r>
        <w:rPr>
          <w:color w:val="auto"/>
        </w:rPr>
        <w:t>3/ PhDr. Mariana Magerčiaková PhD.</w:t>
      </w:r>
    </w:p>
    <w:p>
      <w:pPr>
        <w:pStyle w:val="Normal"/>
        <w:rPr>
          <w:color w:val="auto"/>
        </w:rPr>
      </w:pPr>
      <w:r>
        <w:rPr>
          <w:color w:val="auto"/>
        </w:rPr>
        <w:t>4/ MUDr. Adrian Kališ PhD.</w:t>
      </w:r>
    </w:p>
    <w:p>
      <w:pPr>
        <w:pStyle w:val="Normal"/>
        <w:rPr>
          <w:color w:val="auto"/>
        </w:rPr>
      </w:pPr>
      <w:r>
        <w:rPr>
          <w:color w:val="auto"/>
        </w:rPr>
        <w:t>5/ Marian Matejovie</w:t>
      </w:r>
    </w:p>
    <w:p>
      <w:pPr>
        <w:pStyle w:val="Normal"/>
        <w:rPr>
          <w:color w:val="auto"/>
        </w:rPr>
      </w:pPr>
      <w:r>
        <w:rPr>
          <w:color w:val="auto"/>
        </w:rPr>
        <w:t>6/ Ing. Zuzana Kubíková</w:t>
      </w:r>
    </w:p>
    <w:p>
      <w:pPr>
        <w:pStyle w:val="Normal"/>
        <w:rPr>
          <w:color w:val="auto"/>
        </w:rPr>
      </w:pPr>
      <w:r>
        <w:rPr>
          <w:color w:val="auto"/>
        </w:rPr>
        <w:t>7/ Ľubomír Kubík</w:t>
      </w:r>
    </w:p>
    <w:p>
      <w:pPr>
        <w:pStyle w:val="Normal"/>
        <w:rPr>
          <w:color w:val="auto"/>
        </w:rPr>
      </w:pPr>
      <w:r>
        <w:rPr>
          <w:color w:val="auto"/>
        </w:rPr>
        <w:t>8/ Ing. Andrej Kubík</w:t>
      </w:r>
    </w:p>
    <w:p>
      <w:pPr>
        <w:pStyle w:val="Normal"/>
        <w:rPr>
          <w:color w:val="auto"/>
        </w:rPr>
      </w:pPr>
      <w:r>
        <w:rPr>
          <w:color w:val="auto"/>
        </w:rPr>
        <w:t>9/ Daniel Kandera</w:t>
      </w:r>
    </w:p>
    <w:p>
      <w:pPr>
        <w:pStyle w:val="Normal"/>
        <w:rPr>
          <w:bCs w:val="false"/>
          <w:color w:val="EF413D"/>
        </w:rPr>
      </w:pPr>
      <w:r>
        <w:rPr>
          <w:bCs w:val="false"/>
          <w:color w:val="EF413D"/>
        </w:rPr>
      </w:r>
    </w:p>
    <w:p>
      <w:pPr>
        <w:pStyle w:val="Normal"/>
        <w:rPr/>
      </w:pPr>
      <w:r>
        <w:rPr>
          <w:b/>
          <w:bCs/>
          <w:color w:val="auto"/>
        </w:rPr>
        <w:t>Orgány obce vo volebnom období 2018 - 2022</w:t>
      </w:r>
    </w:p>
    <w:p>
      <w:pPr>
        <w:pStyle w:val="Normal"/>
        <w:ind w:firstLine="708"/>
        <w:jc w:val="both"/>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2018 - 2022</w:t>
      </w:r>
    </w:p>
    <w:p>
      <w:pPr>
        <w:pStyle w:val="Normal"/>
        <w:rPr/>
      </w:pPr>
      <w:r>
        <w:rPr>
          <w:color w:val="auto"/>
        </w:rPr>
        <w:t>1/ Bc. Peter Slavkovský – zástupca starostu obce</w:t>
      </w:r>
    </w:p>
    <w:p>
      <w:pPr>
        <w:pStyle w:val="Normal"/>
        <w:rPr>
          <w:bCs w:val="false"/>
          <w:color w:val="EF413D"/>
        </w:rPr>
      </w:pPr>
      <w:r>
        <w:rPr>
          <w:bCs w:val="false"/>
          <w:color w:val="auto"/>
        </w:rPr>
        <w:t>2/ MUDr. Adrian Kališ PhD.</w:t>
      </w:r>
    </w:p>
    <w:p>
      <w:pPr>
        <w:pStyle w:val="Normal"/>
        <w:rPr>
          <w:bCs w:val="false"/>
          <w:color w:val="EF413D"/>
        </w:rPr>
      </w:pPr>
      <w:r>
        <w:rPr>
          <w:bCs w:val="false"/>
          <w:color w:val="auto"/>
        </w:rPr>
        <w:t>3/ Ing. Andrej Kubík</w:t>
      </w:r>
    </w:p>
    <w:p>
      <w:pPr>
        <w:pStyle w:val="Normal"/>
        <w:rPr>
          <w:bCs w:val="false"/>
          <w:color w:val="EF413D"/>
        </w:rPr>
      </w:pPr>
      <w:r>
        <w:rPr>
          <w:bCs w:val="false"/>
          <w:color w:val="auto"/>
        </w:rPr>
        <w:t>4/ Ľubomír Kubík</w:t>
      </w:r>
    </w:p>
    <w:p>
      <w:pPr>
        <w:pStyle w:val="Normal"/>
        <w:rPr>
          <w:bCs w:val="false"/>
          <w:color w:val="EF413D"/>
        </w:rPr>
      </w:pPr>
      <w:r>
        <w:rPr>
          <w:bCs w:val="false"/>
          <w:color w:val="auto"/>
        </w:rPr>
        <w:t>5/ Ing. Zuzana Lúčanová</w:t>
      </w:r>
    </w:p>
    <w:p>
      <w:pPr>
        <w:pStyle w:val="Normal"/>
        <w:rPr>
          <w:bCs w:val="false"/>
          <w:color w:val="EF413D"/>
        </w:rPr>
      </w:pPr>
      <w:r>
        <w:rPr>
          <w:bCs w:val="false"/>
          <w:color w:val="auto"/>
        </w:rPr>
        <w:t>6/ PhDr. Mariana Magerčiaková PhD.</w:t>
      </w:r>
    </w:p>
    <w:p>
      <w:pPr>
        <w:pStyle w:val="Normal"/>
        <w:rPr>
          <w:bCs w:val="false"/>
          <w:color w:val="EF413D"/>
        </w:rPr>
      </w:pPr>
      <w:r>
        <w:rPr>
          <w:bCs w:val="false"/>
          <w:color w:val="auto"/>
        </w:rPr>
        <w:t>7/ Marian Matejovie</w:t>
      </w:r>
    </w:p>
    <w:p>
      <w:pPr>
        <w:pStyle w:val="Normal"/>
        <w:rPr>
          <w:bCs w:val="false"/>
          <w:color w:val="EF413D"/>
        </w:rPr>
      </w:pPr>
      <w:r>
        <w:rPr>
          <w:bCs w:val="false"/>
          <w:color w:val="auto"/>
        </w:rPr>
        <w:t>8/ Mgr. Erika Miklášová</w:t>
      </w:r>
    </w:p>
    <w:p>
      <w:pPr>
        <w:pStyle w:val="Normal"/>
        <w:rPr>
          <w:bCs w:val="false"/>
          <w:color w:val="EF413D"/>
        </w:rPr>
      </w:pPr>
      <w:r>
        <w:rPr>
          <w:bCs w:val="false"/>
          <w:color w:val="auto"/>
        </w:rPr>
        <w:t>9/ Vladimír Škvarka</w:t>
      </w:r>
    </w:p>
    <w:p>
      <w:pPr>
        <w:pStyle w:val="Normal"/>
        <w:rPr>
          <w:color w:val="auto"/>
        </w:rPr>
      </w:pPr>
      <w:r>
        <w:rPr>
          <w:color w:val="auto"/>
        </w:rPr>
      </w:r>
    </w:p>
    <w:p>
      <w:pPr>
        <w:pStyle w:val="Nadpis1"/>
        <w:numPr>
          <w:ilvl w:val="0"/>
          <w:numId w:val="4"/>
        </w:numPr>
        <w:jc w:val="both"/>
        <w:rPr/>
      </w:pPr>
      <w:r>
        <w:rPr>
          <w:bCs w:val="false"/>
          <w:color w:val="auto"/>
        </w:rPr>
        <w:t xml:space="preserve">Pri obecnom zastupiteľstve vykonávali v roku 2018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pPr>
      <w:r>
        <w:rPr>
          <w:color w:val="auto"/>
        </w:rPr>
        <w:t>5. Komisia pre ochranu verejného záujmu</w:t>
      </w:r>
    </w:p>
    <w:p>
      <w:pPr>
        <w:pStyle w:val="Normal"/>
        <w:rPr/>
      </w:pPr>
      <w:r>
        <w:rPr>
          <w:color w:val="auto"/>
        </w:rPr>
        <w:t>6. Komisia pre rozvoj bývania</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pPr>
      <w:r>
        <w:rPr>
          <w:color w:val="auto"/>
        </w:rPr>
        <w:t xml:space="preserve">Kontrolu  zákonnosti,   účinnosti,  hospodárnosti  a efektívnosti  pri hospodárení  a nakladaní s majetkom  a   majetkovými    právami  obce v roku  2018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pPr>
      <w:r>
        <w:rPr>
          <w:color w:val="auto"/>
        </w:rPr>
        <w:t>(2018-2024).</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rFonts w:ascii="Times New Roman" w:hAnsi="Times New Roman"/>
          <w:sz w:val="24"/>
          <w:szCs w:val="24"/>
        </w:rPr>
      </w:pPr>
      <w:r>
        <w:rPr>
          <w:rFonts w:ascii="Times New Roman" w:hAnsi="Times New Roman"/>
          <w:color w:val="auto"/>
          <w:sz w:val="24"/>
          <w:szCs w:val="24"/>
        </w:rPr>
        <w:t>Milena Škvarková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color w:val="auto"/>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prebytkový. Bežný rozpočet bol zostavený ako prebytkový. Kapitálový rozpočet bol zostavený ako schodkový.</w:t>
      </w:r>
    </w:p>
    <w:p>
      <w:pPr>
        <w:pStyle w:val="Normal"/>
        <w:jc w:val="both"/>
        <w:rPr/>
      </w:pPr>
      <w:r>
        <w:rPr>
          <w:color w:val="auto"/>
        </w:rPr>
        <w:t xml:space="preserve">     </w:t>
      </w:r>
      <w:r>
        <w:rPr>
          <w:color w:val="auto"/>
        </w:rPr>
        <w:tab/>
        <w:t>Hospodárenie obce sa riadilo podľa schváleného rozpočtu obce na rok 2018. Rozpočet schválilo obecné zastupiteľstvo obce Ľubeľa dňa 23. novembra 2017 uznesením č. 32/2017.</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firstLine="708"/>
        <w:jc w:val="both"/>
        <w:rPr>
          <w:color w:val="auto"/>
        </w:rPr>
      </w:pPr>
      <w:r>
        <w:rPr>
          <w:color w:val="auto"/>
        </w:rPr>
      </w:r>
    </w:p>
    <w:p>
      <w:pPr>
        <w:pStyle w:val="Normal"/>
        <w:ind w:firstLine="708"/>
        <w:jc w:val="both"/>
        <w:rPr>
          <w:color w:val="auto"/>
        </w:rPr>
      </w:pPr>
      <w:r>
        <w:rPr>
          <w:color w:val="auto"/>
        </w:rPr>
      </w:r>
    </w:p>
    <w:p>
      <w:pPr>
        <w:pStyle w:val="Normal"/>
        <w:ind w:firstLine="708"/>
        <w:jc w:val="both"/>
        <w:rPr>
          <w:color w:val="auto"/>
        </w:rPr>
      </w:pPr>
      <w:r>
        <w:rPr>
          <w:color w:val="auto"/>
        </w:rPr>
      </w:r>
    </w:p>
    <w:p>
      <w:pPr>
        <w:pStyle w:val="Normal"/>
        <w:ind w:firstLine="708"/>
        <w:jc w:val="both"/>
        <w:rPr>
          <w:color w:val="auto"/>
        </w:rPr>
      </w:pPr>
      <w:r>
        <w:rPr>
          <w:color w:val="auto"/>
        </w:rPr>
      </w:r>
    </w:p>
    <w:p>
      <w:pPr>
        <w:pStyle w:val="Normal"/>
        <w:ind w:firstLine="708"/>
        <w:jc w:val="both"/>
        <w:rPr>
          <w:color w:val="auto"/>
        </w:rPr>
      </w:pPr>
      <w:r>
        <w:rPr/>
      </w:r>
    </w:p>
    <w:p>
      <w:pPr>
        <w:pStyle w:val="Normal"/>
        <w:ind w:firstLine="708"/>
        <w:jc w:val="both"/>
        <w:rPr>
          <w:color w:val="auto"/>
        </w:rPr>
      </w:pPr>
      <w:r>
        <w:rPr/>
      </w:r>
    </w:p>
    <w:p>
      <w:pPr>
        <w:pStyle w:val="Normal"/>
        <w:ind w:firstLine="708"/>
        <w:jc w:val="both"/>
        <w:rPr>
          <w:b/>
          <w:b/>
          <w:color w:val="002060"/>
          <w:sz w:val="28"/>
          <w:szCs w:val="28"/>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3"/>
        </w:numPr>
        <w:spacing w:lineRule="auto" w:line="240"/>
        <w:jc w:val="both"/>
        <w:rPr/>
      </w:pPr>
      <w:r>
        <w:rPr/>
        <w:t>Predajne potravín – COOP Jednota, VEREX</w:t>
      </w:r>
    </w:p>
    <w:p>
      <w:pPr>
        <w:pStyle w:val="Normal"/>
        <w:numPr>
          <w:ilvl w:val="0"/>
          <w:numId w:val="3"/>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3"/>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3"/>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color w:val="auto"/>
        </w:rPr>
      </w:pPr>
      <w:r>
        <w:rPr>
          <w:b/>
          <w:bCs/>
          <w:color w:val="auto"/>
        </w:rPr>
        <w:t xml:space="preserve">Počet žiakov: </w:t>
      </w:r>
      <w:r>
        <w:rPr>
          <w:b w:val="false"/>
          <w:bCs w:val="false"/>
          <w:color w:val="auto"/>
        </w:rPr>
        <w:t>188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pPr>
      <w:r>
        <w:rPr>
          <w:b/>
          <w:color w:val="0066B3"/>
          <w:sz w:val="28"/>
          <w:szCs w:val="28"/>
        </w:rPr>
        <w:t>2. Rozpočet obce za rok 2018 a jeho plnenie</w:t>
      </w:r>
    </w:p>
    <w:p>
      <w:pPr>
        <w:pStyle w:val="Normal"/>
        <w:jc w:val="both"/>
        <w:rPr>
          <w:b/>
          <w:b/>
          <w:color w:val="EF413D"/>
          <w:sz w:val="28"/>
          <w:szCs w:val="28"/>
        </w:rPr>
      </w:pPr>
      <w:r>
        <w:rPr>
          <w:b/>
          <w:color w:val="EF413D"/>
          <w:sz w:val="28"/>
          <w:szCs w:val="28"/>
        </w:rPr>
      </w:r>
    </w:p>
    <w:p>
      <w:pPr>
        <w:pStyle w:val="ListParagraph"/>
        <w:ind w:left="708" w:hanging="0"/>
        <w:rPr/>
      </w:pPr>
      <w:r>
        <w:rPr>
          <w:b/>
          <w:color w:val="auto"/>
          <w:sz w:val="28"/>
          <w:szCs w:val="28"/>
        </w:rPr>
        <w:t>Rozbor čerpania príjmov za rok 2018</w:t>
      </w:r>
    </w:p>
    <w:tbl>
      <w:tblPr>
        <w:tblW w:w="9040" w:type="dxa"/>
        <w:jc w:val="left"/>
        <w:tblInd w:w="80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521"/>
        <w:gridCol w:w="3673"/>
        <w:gridCol w:w="1846"/>
      </w:tblGrid>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2018</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31.12.2018</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1.346.303,73</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1.314.415,00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97,63</w:t>
            </w:r>
          </w:p>
        </w:tc>
      </w:tr>
    </w:tbl>
    <w:p>
      <w:pPr>
        <w:pStyle w:val="Normal"/>
        <w:rPr>
          <w:color w:val="EF413D"/>
        </w:rPr>
      </w:pPr>
      <w:r>
        <w:rPr>
          <w:color w:val="EF413D"/>
        </w:rPr>
      </w:r>
    </w:p>
    <w:p>
      <w:pPr>
        <w:pStyle w:val="Normal"/>
        <w:rPr>
          <w:b/>
          <w:b/>
          <w:bCs/>
          <w:sz w:val="32"/>
          <w:szCs w:val="32"/>
          <w:lang w:val="sk-SK"/>
        </w:rPr>
      </w:pPr>
      <w:r>
        <w:rPr>
          <w:b/>
          <w:bCs/>
          <w:color w:val="auto"/>
          <w:sz w:val="32"/>
          <w:szCs w:val="32"/>
          <w:lang w:val="sk-SK"/>
        </w:rPr>
        <w:t>1)   Bežné príjmy</w:t>
      </w:r>
    </w:p>
    <w:p>
      <w:pPr>
        <w:pStyle w:val="Normal"/>
        <w:rPr>
          <w:b/>
          <w:b/>
          <w:bCs/>
          <w:color w:val="EF413D"/>
          <w:sz w:val="32"/>
          <w:szCs w:val="32"/>
        </w:rPr>
      </w:pPr>
      <w:r>
        <w:rPr>
          <w:b/>
          <w:bCs/>
          <w:color w:val="EF413D"/>
          <w:sz w:val="32"/>
          <w:szCs w:val="32"/>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Rozpočet na rok 2018</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Skutočnosť k 31.12.2018</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CE181E"/>
              </w:rPr>
            </w:pPr>
            <w:r>
              <w:rPr>
                <w:color w:val="auto"/>
                <w:lang w:val="sk-SK"/>
              </w:rPr>
              <w:t>1.105.227,72</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1.089.544,99</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lang w:val="sk-SK"/>
              </w:rPr>
              <w:t>98,58</w:t>
            </w:r>
          </w:p>
        </w:tc>
      </w:tr>
    </w:tbl>
    <w:p>
      <w:pPr>
        <w:pStyle w:val="Normal"/>
        <w:rPr>
          <w:color w:val="EF413D"/>
          <w:lang w:val="sk-SK"/>
        </w:rPr>
      </w:pPr>
      <w:r>
        <w:rPr>
          <w:color w:val="EF413D"/>
          <w:lang w:val="sk-SK"/>
        </w:rPr>
      </w:r>
    </w:p>
    <w:p>
      <w:pPr>
        <w:pStyle w:val="Normal"/>
        <w:tabs>
          <w:tab w:val="left" w:pos="353" w:leader="none"/>
        </w:tabs>
        <w:rPr>
          <w:color w:val="EF413D"/>
        </w:rPr>
      </w:pPr>
      <w:r>
        <w:rPr>
          <w:color w:val="EF413D"/>
          <w:lang w:val="sk-SK"/>
        </w:rPr>
        <w:tab/>
      </w:r>
      <w:r>
        <w:rPr>
          <w:b/>
          <w:bCs/>
          <w:color w:val="auto"/>
          <w:sz w:val="28"/>
          <w:szCs w:val="28"/>
          <w:lang w:val="sk-SK"/>
        </w:rPr>
        <w:t>A. Bežné príjmy  - daňové</w:t>
      </w:r>
    </w:p>
    <w:p>
      <w:pPr>
        <w:pStyle w:val="Normal"/>
        <w:tabs>
          <w:tab w:val="left" w:pos="353" w:leader="none"/>
        </w:tabs>
        <w:rPr>
          <w:color w:val="EF413D"/>
          <w:lang w:val="sk-SK"/>
        </w:rPr>
      </w:pPr>
      <w:r>
        <w:rPr>
          <w:color w:val="EF413D"/>
          <w:lang w:val="sk-SK"/>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2018</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477.297,00</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472.280,31</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98,95</w:t>
            </w:r>
          </w:p>
        </w:tc>
      </w:tr>
    </w:tbl>
    <w:p>
      <w:pPr>
        <w:pStyle w:val="Normal"/>
        <w:tabs>
          <w:tab w:val="left" w:pos="353" w:leader="none"/>
        </w:tabs>
        <w:rPr>
          <w:b/>
          <w:b/>
          <w:bCs/>
          <w:color w:val="EF413D"/>
          <w:lang w:val="sk-SK"/>
        </w:rPr>
      </w:pPr>
      <w:r>
        <w:rPr>
          <w:b/>
          <w:bCs/>
          <w:color w:val="EF413D"/>
          <w:lang w:val="sk-SK"/>
        </w:rPr>
      </w:r>
    </w:p>
    <w:p>
      <w:pPr>
        <w:pStyle w:val="Normal"/>
        <w:rPr/>
      </w:pPr>
      <w:r>
        <w:rPr>
          <w:b/>
          <w:bCs/>
          <w:color w:val="CE181E"/>
        </w:rPr>
        <w:tab/>
      </w:r>
      <w:r>
        <w:rPr>
          <w:b/>
          <w:bCs/>
          <w:color w:val="auto"/>
        </w:rPr>
        <w:t>1. Výnos dane z príjmov poukázaný územnej samospráve</w:t>
      </w:r>
    </w:p>
    <w:p>
      <w:pPr>
        <w:pStyle w:val="Normal"/>
        <w:ind w:left="0" w:right="0" w:firstLine="360"/>
        <w:jc w:val="both"/>
        <w:rPr>
          <w:color w:val="auto"/>
        </w:rPr>
      </w:pPr>
      <w:r>
        <w:rPr>
          <w:color w:val="auto"/>
        </w:rPr>
        <w:tab/>
        <w:t xml:space="preserve">Z predpokladanej finančnej čiastky 441.157,00 EUR  z výnosu dane z príjmov  k 31.12.2018 </w:t>
        <w:tab/>
        <w:t>boli poukázané prostriedky zo ŠR vo výške 440.719,60 EUR, čo predstavuje plnenie</w:t>
      </w:r>
    </w:p>
    <w:p>
      <w:pPr>
        <w:pStyle w:val="Normal"/>
        <w:ind w:left="0" w:right="0" w:firstLine="360"/>
        <w:jc w:val="both"/>
        <w:rPr>
          <w:color w:val="auto"/>
        </w:rPr>
      </w:pPr>
      <w:r>
        <w:rPr>
          <w:color w:val="auto"/>
        </w:rPr>
        <w:tab/>
        <w:t xml:space="preserve">na 99,97%. </w:t>
      </w:r>
    </w:p>
    <w:p>
      <w:pPr>
        <w:pStyle w:val="Normal"/>
        <w:rPr>
          <w:color w:val="auto"/>
        </w:rPr>
      </w:pPr>
      <w:r>
        <w:rPr>
          <w:color w:val="auto"/>
        </w:rPr>
      </w:r>
    </w:p>
    <w:p>
      <w:pPr>
        <w:pStyle w:val="Normal"/>
        <w:rPr/>
      </w:pPr>
      <w:r>
        <w:rPr>
          <w:b/>
          <w:bCs/>
          <w:color w:val="CE181E"/>
        </w:rPr>
        <w:tab/>
      </w:r>
      <w:r>
        <w:rPr>
          <w:b/>
          <w:bCs/>
          <w:color w:val="auto"/>
        </w:rPr>
        <w:t>2. Daň z nehnuteľností</w:t>
      </w:r>
    </w:p>
    <w:p>
      <w:pPr>
        <w:pStyle w:val="Normal"/>
        <w:jc w:val="both"/>
        <w:rPr>
          <w:color w:val="auto"/>
        </w:rPr>
      </w:pPr>
      <w:r>
        <w:rPr>
          <w:color w:val="auto"/>
        </w:rPr>
        <w:tab/>
        <w:t xml:space="preserve">Z rozpočtovaných 23.450,00 EUR bol skutočný príjem 19.114,98  EUR, </w:t>
      </w:r>
    </w:p>
    <w:p>
      <w:pPr>
        <w:pStyle w:val="Normal"/>
        <w:jc w:val="both"/>
        <w:rPr>
          <w:color w:val="auto"/>
        </w:rPr>
      </w:pPr>
      <w:r>
        <w:rPr>
          <w:color w:val="auto"/>
        </w:rPr>
        <w:tab/>
        <w:t xml:space="preserve">čo je 81,51 % plnenia. Z toho príjem dane z pozemkov vo výške 11.920,77 EUR, dane zo </w:t>
        <w:tab/>
        <w:t xml:space="preserve">stavieb vo výške 7.047,72 </w:t>
        <w:tab/>
        <w:t>EUR a dan z bytov vo výške 146,49 EUR.</w:t>
      </w:r>
    </w:p>
    <w:p>
      <w:pPr>
        <w:pStyle w:val="Normal"/>
        <w:rPr>
          <w:color w:val="auto"/>
        </w:rPr>
      </w:pPr>
      <w:r>
        <w:rPr>
          <w:color w:val="auto"/>
        </w:rPr>
      </w:r>
    </w:p>
    <w:p>
      <w:pPr>
        <w:pStyle w:val="Normal"/>
        <w:rPr/>
      </w:pPr>
      <w:r>
        <w:rPr>
          <w:b/>
          <w:bCs/>
          <w:color w:val="CE181E"/>
        </w:rPr>
        <w:tab/>
      </w:r>
      <w:r>
        <w:rPr>
          <w:b/>
          <w:bCs/>
          <w:color w:val="auto"/>
        </w:rPr>
        <w:t>3.ostatné miestne dane</w:t>
      </w:r>
    </w:p>
    <w:tbl>
      <w:tblPr>
        <w:tblW w:w="9770" w:type="dxa"/>
        <w:jc w:val="left"/>
        <w:tblInd w:w="2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130"/>
        <w:gridCol w:w="2268"/>
        <w:gridCol w:w="2269"/>
        <w:gridCol w:w="2102"/>
      </w:tblGrid>
      <w:tr>
        <w:trPr/>
        <w:tc>
          <w:tcPr>
            <w:tcW w:w="313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Rozpočet upravený na rok 2018          </w:t>
            </w:r>
          </w:p>
        </w:tc>
        <w:tc>
          <w:tcPr>
            <w:tcW w:w="226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2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color w:val="auto"/>
              </w:rPr>
              <w:t xml:space="preserve">              </w:t>
            </w:r>
            <w:r>
              <w:rPr>
                <w:color w:val="auto"/>
              </w:rPr>
              <w:t>% plnenia</w:t>
            </w:r>
          </w:p>
        </w:tc>
      </w:tr>
      <w:tr>
        <w:trPr/>
        <w:tc>
          <w:tcPr>
            <w:tcW w:w="313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psa</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1.600,00</w:t>
            </w:r>
          </w:p>
        </w:tc>
        <w:tc>
          <w:tcPr>
            <w:tcW w:w="226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1.480,00</w:t>
            </w:r>
          </w:p>
        </w:tc>
        <w:tc>
          <w:tcPr>
            <w:tcW w:w="2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92,50</w:t>
            </w:r>
          </w:p>
        </w:tc>
      </w:tr>
      <w:tr>
        <w:trPr/>
        <w:tc>
          <w:tcPr>
            <w:tcW w:w="313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ubytovanie</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90,00</w:t>
            </w:r>
          </w:p>
        </w:tc>
        <w:tc>
          <w:tcPr>
            <w:tcW w:w="226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85,54</w:t>
            </w:r>
          </w:p>
        </w:tc>
        <w:tc>
          <w:tcPr>
            <w:tcW w:w="2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95,04</w:t>
            </w:r>
          </w:p>
        </w:tc>
      </w:tr>
      <w:tr>
        <w:trPr/>
        <w:tc>
          <w:tcPr>
            <w:tcW w:w="313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Poplatok za TKO</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11.000,00</w:t>
            </w:r>
          </w:p>
        </w:tc>
        <w:tc>
          <w:tcPr>
            <w:tcW w:w="226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10.880,19</w:t>
            </w:r>
          </w:p>
        </w:tc>
        <w:tc>
          <w:tcPr>
            <w:tcW w:w="2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98,91</w:t>
            </w:r>
          </w:p>
        </w:tc>
      </w:tr>
    </w:tbl>
    <w:p>
      <w:pPr>
        <w:pStyle w:val="Normal"/>
        <w:rPr>
          <w:b/>
          <w:b/>
          <w:bCs/>
          <w:color w:val="auto"/>
          <w:lang w:val="sk-SK"/>
        </w:rPr>
      </w:pPr>
      <w:r>
        <w:rPr>
          <w:b/>
          <w:bCs/>
          <w:color w:val="auto"/>
          <w:lang w:val="sk-SK"/>
        </w:rPr>
      </w:r>
    </w:p>
    <w:p>
      <w:pPr>
        <w:pStyle w:val="Normal"/>
        <w:tabs>
          <w:tab w:val="left" w:pos="388" w:leader="none"/>
        </w:tabs>
        <w:rPr>
          <w:color w:val="EF413D"/>
        </w:rPr>
      </w:pPr>
      <w:r>
        <w:rPr>
          <w:bCs/>
          <w:color w:val="EF413D"/>
          <w:lang w:val="sk-SK"/>
        </w:rPr>
        <w:t xml:space="preserve"> </w:t>
      </w:r>
      <w:r>
        <w:rPr>
          <w:bCs/>
          <w:color w:val="EF413D"/>
          <w:lang w:val="sk-SK"/>
        </w:rPr>
        <w:tab/>
      </w:r>
      <w:r>
        <w:rPr>
          <w:bCs/>
          <w:color w:val="auto"/>
          <w:lang w:val="sk-SK"/>
        </w:rPr>
        <w:t xml:space="preserve"> </w:t>
      </w:r>
      <w:r>
        <w:rPr>
          <w:b/>
          <w:bCs/>
          <w:color w:val="auto"/>
          <w:sz w:val="28"/>
          <w:szCs w:val="28"/>
          <w:lang w:val="sk-SK"/>
        </w:rPr>
        <w:t>B.</w:t>
      </w:r>
      <w:r>
        <w:rPr>
          <w:b/>
          <w:bCs/>
          <w:color w:val="auto"/>
          <w:sz w:val="32"/>
          <w:lang w:val="sk-SK"/>
        </w:rPr>
        <w:t xml:space="preserve">  </w:t>
      </w:r>
      <w:r>
        <w:rPr>
          <w:b/>
          <w:bCs/>
          <w:color w:val="auto"/>
          <w:sz w:val="28"/>
          <w:lang w:val="sk-SK"/>
        </w:rPr>
        <w:t>Bežné príjmy – nedaňové</w:t>
      </w:r>
    </w:p>
    <w:p>
      <w:pPr>
        <w:pStyle w:val="Normal"/>
        <w:rPr>
          <w:color w:val="auto"/>
        </w:rPr>
      </w:pPr>
      <w:r>
        <w:rPr>
          <w:color w:val="auto"/>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2018</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314" w:hRule="atLeast"/>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21.733,00</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13.408,64</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61,70</w:t>
            </w:r>
          </w:p>
        </w:tc>
      </w:tr>
    </w:tbl>
    <w:p>
      <w:pPr>
        <w:pStyle w:val="Normal"/>
        <w:rPr>
          <w:b/>
          <w:b/>
          <w:bCs/>
          <w:color w:val="EF413D"/>
          <w:lang w:val="sk-SK"/>
        </w:rPr>
      </w:pPr>
      <w:r>
        <w:rPr>
          <w:b/>
          <w:bCs/>
          <w:color w:val="EF413D"/>
          <w:lang w:val="sk-SK"/>
        </w:rPr>
      </w:r>
    </w:p>
    <w:p>
      <w:pPr>
        <w:pStyle w:val="Normal"/>
        <w:rPr/>
      </w:pPr>
      <w:r>
        <w:rPr>
          <w:b/>
          <w:bCs/>
          <w:color w:val="CE181E"/>
        </w:rPr>
        <w:tab/>
      </w:r>
      <w:r>
        <w:rPr>
          <w:b/>
          <w:bCs/>
          <w:color w:val="auto"/>
        </w:rPr>
        <w:t>1. Príjmy z prenájmu:</w:t>
      </w:r>
    </w:p>
    <w:p>
      <w:pPr>
        <w:pStyle w:val="Normal"/>
        <w:tabs>
          <w:tab w:val="left" w:pos="382" w:leader="none"/>
        </w:tabs>
        <w:ind w:left="0" w:right="0" w:firstLine="360"/>
        <w:jc w:val="both"/>
        <w:rPr>
          <w:color w:val="auto"/>
        </w:rPr>
      </w:pPr>
      <w:r>
        <w:rPr>
          <w:color w:val="auto"/>
        </w:rPr>
        <w:tab/>
        <w:tab/>
        <w:t xml:space="preserve">Z rozpočtovaných 11.190,00 EUR bol skutočný príjem vo výške 8.879,00 EUR, čo </w:t>
        <w:tab/>
        <w:tab/>
        <w:tab/>
        <w:t>predstavuje plnenie na  79,35 %.</w:t>
      </w:r>
    </w:p>
    <w:p>
      <w:pPr>
        <w:pStyle w:val="Normal"/>
        <w:rPr/>
      </w:pPr>
      <w:r>
        <w:rPr>
          <w:b/>
          <w:bCs/>
          <w:color w:val="CE181E"/>
        </w:rPr>
        <w:tab/>
      </w:r>
      <w:r>
        <w:rPr>
          <w:b/>
          <w:bCs/>
          <w:color w:val="auto"/>
        </w:rPr>
        <w:t>2. Administratívne - správne poplatky a iné  poplatky:</w:t>
      </w:r>
    </w:p>
    <w:p>
      <w:pPr>
        <w:pStyle w:val="Normal"/>
        <w:tabs>
          <w:tab w:val="left" w:pos="382" w:leader="none"/>
        </w:tabs>
        <w:ind w:left="0" w:right="0" w:firstLine="360"/>
        <w:jc w:val="both"/>
        <w:rPr>
          <w:color w:val="auto"/>
        </w:rPr>
      </w:pPr>
      <w:r>
        <w:rPr>
          <w:color w:val="auto"/>
        </w:rPr>
        <w:tab/>
        <w:tab/>
        <w:t xml:space="preserve">Z rozpočtovaných 4.600,00 EUR bol skutočný príjem vo výške 2.738,65 EUR, čo predstavuje </w:t>
        <w:tab/>
        <w:tab/>
        <w:t>plnenie na  59,53 %.</w:t>
      </w:r>
    </w:p>
    <w:p>
      <w:pPr>
        <w:pStyle w:val="Normal"/>
        <w:jc w:val="both"/>
        <w:rPr/>
      </w:pPr>
      <w:r>
        <w:rPr>
          <w:b/>
          <w:bCs/>
          <w:color w:val="CE181E"/>
        </w:rPr>
        <w:tab/>
      </w:r>
      <w:r>
        <w:rPr>
          <w:b/>
          <w:bCs/>
          <w:color w:val="auto"/>
        </w:rPr>
        <w:t>3. Poplatky z predaja</w:t>
      </w:r>
    </w:p>
    <w:p>
      <w:pPr>
        <w:pStyle w:val="Normal"/>
        <w:ind w:left="0" w:right="0" w:firstLine="360"/>
        <w:jc w:val="both"/>
        <w:rPr/>
      </w:pPr>
      <w:r>
        <w:rPr>
          <w:b/>
          <w:bCs/>
          <w:color w:val="auto"/>
        </w:rPr>
        <w:tab/>
      </w:r>
      <w:r>
        <w:rPr>
          <w:color w:val="auto"/>
        </w:rPr>
        <w:t xml:space="preserve">Z rozpočtovaných 2.440,00 EUR bol skutočný príjem vo výške 540,70 EUR, čo predstavuje </w:t>
        <w:tab/>
        <w:t>plnenie na 22,16%.</w:t>
      </w:r>
    </w:p>
    <w:p>
      <w:pPr>
        <w:pStyle w:val="Normal"/>
        <w:jc w:val="both"/>
        <w:rPr/>
      </w:pPr>
      <w:r>
        <w:rPr>
          <w:b/>
          <w:bCs/>
          <w:color w:val="CE181E"/>
        </w:rPr>
        <w:tab/>
      </w:r>
      <w:r>
        <w:rPr>
          <w:b/>
          <w:bCs/>
          <w:color w:val="auto"/>
        </w:rPr>
        <w:t>4. Úroky z vkladov</w:t>
      </w:r>
    </w:p>
    <w:p>
      <w:pPr>
        <w:pStyle w:val="Normal"/>
        <w:ind w:left="0" w:right="0" w:firstLine="360"/>
        <w:jc w:val="both"/>
        <w:rPr>
          <w:color w:val="auto"/>
        </w:rPr>
      </w:pPr>
      <w:r>
        <w:rPr>
          <w:color w:val="auto"/>
        </w:rPr>
        <w:tab/>
        <w:t xml:space="preserve">Z rozpočtovaných 3,00 EUR bol skutočný príjem vo výške 0,00 EUR, čo predstavuje plnenie </w:t>
        <w:tab/>
        <w:t>na 0,00%</w:t>
      </w:r>
    </w:p>
    <w:p>
      <w:pPr>
        <w:pStyle w:val="Normal"/>
        <w:jc w:val="both"/>
        <w:rPr/>
      </w:pPr>
      <w:r>
        <w:rPr>
          <w:b/>
          <w:bCs/>
          <w:color w:val="CE181E"/>
        </w:rPr>
        <w:tab/>
      </w:r>
      <w:r>
        <w:rPr>
          <w:b/>
          <w:bCs/>
          <w:color w:val="auto"/>
        </w:rPr>
        <w:t>5. Príjmy z dobropisov a vratiek</w:t>
      </w:r>
    </w:p>
    <w:p>
      <w:pPr>
        <w:pStyle w:val="Normal"/>
        <w:ind w:left="0" w:right="0" w:firstLine="360"/>
        <w:jc w:val="both"/>
        <w:rPr/>
      </w:pPr>
      <w:r>
        <w:rPr>
          <w:color w:val="auto"/>
        </w:rPr>
        <w:t xml:space="preserve">   </w:t>
      </w:r>
      <w:r>
        <w:rPr>
          <w:color w:val="auto"/>
        </w:rPr>
        <w:tab/>
        <w:t>Z rozpočtovaných 3.500,00 EUR bol skutočný príjem vo výške 1.250,29 EUR,</w:t>
      </w:r>
    </w:p>
    <w:p>
      <w:pPr>
        <w:pStyle w:val="Normal"/>
        <w:rPr>
          <w:color w:val="auto"/>
        </w:rPr>
      </w:pPr>
      <w:r>
        <w:rPr>
          <w:b w:val="false"/>
          <w:bCs w:val="false"/>
          <w:color w:val="auto"/>
          <w:lang w:val="sk-SK"/>
        </w:rPr>
        <w:tab/>
        <w:t xml:space="preserve"> čo predstavuje plnenie na 35,72%</w:t>
      </w:r>
    </w:p>
    <w:p>
      <w:pPr>
        <w:pStyle w:val="Normal"/>
        <w:tabs>
          <w:tab w:val="left" w:pos="459" w:leader="none"/>
        </w:tabs>
        <w:rPr>
          <w:color w:val="EF413D"/>
        </w:rPr>
      </w:pPr>
      <w:r>
        <w:rPr>
          <w:color w:val="auto"/>
          <w:lang w:val="sk-SK"/>
        </w:rPr>
        <w:tab/>
      </w:r>
      <w:r>
        <w:rPr>
          <w:b/>
          <w:bCs/>
          <w:color w:val="auto"/>
          <w:sz w:val="28"/>
          <w:szCs w:val="28"/>
          <w:lang w:val="sk-SK"/>
        </w:rPr>
        <w:t>C. Iné nedaňové príjmy</w:t>
      </w:r>
    </w:p>
    <w:p>
      <w:pPr>
        <w:pStyle w:val="Normal"/>
        <w:rPr>
          <w:color w:val="EF413D"/>
        </w:rPr>
      </w:pPr>
      <w:r>
        <w:rPr>
          <w:color w:val="EF413D"/>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2018</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606.197,72</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603.856,04</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99,61</w:t>
            </w:r>
          </w:p>
        </w:tc>
      </w:tr>
    </w:tbl>
    <w:p>
      <w:pPr>
        <w:pStyle w:val="Normal"/>
        <w:jc w:val="both"/>
        <w:rPr>
          <w:color w:val="EF413D"/>
        </w:rPr>
      </w:pPr>
      <w:r>
        <w:rPr>
          <w:color w:val="EF413D"/>
        </w:rPr>
      </w:r>
    </w:p>
    <w:p>
      <w:pPr>
        <w:pStyle w:val="Normal"/>
        <w:ind w:left="0" w:right="0" w:firstLine="360"/>
        <w:rPr>
          <w:color w:val="EF413D"/>
        </w:rPr>
      </w:pPr>
      <w:r>
        <w:rPr>
          <w:b/>
          <w:bCs/>
          <w:color w:val="auto"/>
          <w:lang w:val="sk-SK"/>
        </w:rPr>
        <w:tab/>
        <w:t>Obec prijala nasledovné transfery:</w:t>
      </w:r>
    </w:p>
    <w:p>
      <w:pPr>
        <w:pStyle w:val="Normal"/>
        <w:rPr>
          <w:color w:val="EF413D"/>
          <w:lang w:val="sk-SK"/>
        </w:rPr>
      </w:pPr>
      <w:r>
        <w:rPr>
          <w:color w:val="EF413D"/>
          <w:lang w:val="sk-SK"/>
        </w:rPr>
      </w:r>
    </w:p>
    <w:tbl>
      <w:tblPr>
        <w:tblW w:w="9135"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82"/>
        <w:gridCol w:w="3265"/>
        <w:gridCol w:w="2118"/>
        <w:gridCol w:w="2869"/>
      </w:tblGrid>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 xml:space="preserve">   </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Poskytovateľ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 xml:space="preserve"> </w:t>
            </w:r>
            <w:r>
              <w:rPr>
                <w:color w:val="auto"/>
              </w:rPr>
              <w:t>Suma  v EUR</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color w:val="auto"/>
              </w:rPr>
              <w:t xml:space="preserve">      </w:t>
            </w:r>
            <w:r>
              <w:rPr>
                <w:color w:val="auto"/>
              </w:rPr>
              <w:t xml:space="preserve">Účel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387,78</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Register obyvateľ. adries</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Krajský stavebný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1.227,66</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Stavebný úrad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Krajský úrad, cestná dopr.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47,78</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Doprava a komunikácie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526,86</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Voľby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MŽP</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103,83</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Životné prostredie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lang w:val="zxx" w:eastAsia="zxx" w:bidi="zxx"/>
              </w:rPr>
              <w:t xml:space="preserve">         </w:t>
            </w:r>
            <w:r>
              <w:rPr>
                <w:color w:val="auto"/>
                <w:lang w:val="zxx" w:eastAsia="zxx" w:bidi="zxx"/>
              </w:rPr>
              <w:t>UPSVaR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4.853,76</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UPSVaR</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4.466,45</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Matrika</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Mimo VS</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DHZ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9</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 xml:space="preserve">588.214,81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color w:val="auto"/>
              </w:rPr>
              <w:t xml:space="preserve"> </w:t>
            </w:r>
            <w:r>
              <w:rPr>
                <w:color w:val="auto"/>
              </w:rPr>
              <w:t>ZŠ</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 xml:space="preserve">994,00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MŠ</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 xml:space="preserve">MV SR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 xml:space="preserve">33,11 </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color w:val="auto"/>
              </w:rPr>
              <w:t xml:space="preserve"> </w:t>
            </w:r>
            <w:r>
              <w:rPr>
                <w:color w:val="auto"/>
              </w:rPr>
              <w:t>CO</w:t>
            </w:r>
          </w:p>
        </w:tc>
      </w:tr>
    </w:tbl>
    <w:p>
      <w:pPr>
        <w:pStyle w:val="Normal"/>
        <w:rPr>
          <w:color w:val="EF413D"/>
        </w:rPr>
      </w:pPr>
      <w:r>
        <w:rPr>
          <w:color w:val="EF413D"/>
          <w:lang w:val="sk-SK"/>
        </w:rPr>
        <w:t xml:space="preserve"> </w:t>
      </w:r>
      <w:r>
        <w:rPr>
          <w:color w:val="EF413D"/>
          <w:lang w:val="sk-SK"/>
        </w:rPr>
        <w:tab/>
      </w:r>
    </w:p>
    <w:p>
      <w:pPr>
        <w:pStyle w:val="Normal"/>
        <w:rPr>
          <w:color w:val="EF413D"/>
        </w:rPr>
      </w:pPr>
      <w:r>
        <w:rPr>
          <w:color w:val="EF413D"/>
          <w:lang w:val="sk-SK"/>
        </w:rPr>
        <w:tab/>
      </w:r>
      <w:r>
        <w:rPr>
          <w:color w:val="auto"/>
          <w:lang w:val="sk-SK"/>
        </w:rPr>
        <w:t>Prijaté transfery boli účelovo viazané a boli  použité v súlade s ich účelom.</w:t>
      </w:r>
    </w:p>
    <w:p>
      <w:pPr>
        <w:pStyle w:val="Normal"/>
        <w:rPr>
          <w:color w:val="EF413D"/>
          <w:highlight w:val="lightGray"/>
          <w:lang w:val="sk-SK"/>
        </w:rPr>
      </w:pPr>
      <w:r>
        <w:rPr>
          <w:color w:val="EF413D"/>
          <w:highlight w:val="lightGray"/>
          <w:lang w:val="sk-SK"/>
        </w:rPr>
      </w:r>
    </w:p>
    <w:p>
      <w:pPr>
        <w:pStyle w:val="Normal"/>
        <w:rPr>
          <w:b/>
          <w:b/>
          <w:bCs/>
          <w:sz w:val="28"/>
          <w:lang w:val="sk-SK"/>
        </w:rPr>
      </w:pPr>
      <w:r>
        <w:rPr>
          <w:b/>
          <w:bCs/>
          <w:color w:val="auto"/>
          <w:sz w:val="28"/>
          <w:lang w:val="sk-SK"/>
        </w:rPr>
        <w:t>2)   Kapitálové príjmy</w:t>
      </w:r>
    </w:p>
    <w:p>
      <w:pPr>
        <w:pStyle w:val="Normal"/>
        <w:rPr>
          <w:b/>
          <w:b/>
          <w:bCs/>
          <w:color w:val="EF413D"/>
          <w:sz w:val="28"/>
          <w:lang w:val="sk-SK"/>
        </w:rPr>
      </w:pPr>
      <w:r>
        <w:rPr>
          <w:b/>
          <w:bCs/>
          <w:color w:val="EF413D"/>
          <w:sz w:val="28"/>
          <w:lang w:val="sk-SK"/>
        </w:rPr>
      </w:r>
    </w:p>
    <w:tbl>
      <w:tblPr>
        <w:tblW w:w="8924" w:type="dxa"/>
        <w:jc w:val="left"/>
        <w:tblInd w:w="83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06"/>
        <w:gridCol w:w="3565"/>
        <w:gridCol w:w="1653"/>
      </w:tblGrid>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2018</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160.000,00</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160.000,00</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ind w:left="0" w:right="0" w:firstLine="708"/>
        <w:rPr>
          <w:color w:val="EF413D"/>
          <w:lang w:val="sk-SK"/>
        </w:rPr>
      </w:pPr>
      <w:r>
        <w:rPr>
          <w:color w:val="EF413D"/>
          <w:lang w:val="sk-SK"/>
        </w:rPr>
      </w:r>
    </w:p>
    <w:p>
      <w:pPr>
        <w:pStyle w:val="Normal"/>
        <w:jc w:val="both"/>
        <w:rPr/>
      </w:pPr>
      <w:r>
        <w:rPr>
          <w:color w:val="EF413D"/>
          <w:lang w:val="sk-SK"/>
        </w:rPr>
        <w:tab/>
      </w:r>
      <w:r>
        <w:rPr>
          <w:color w:val="auto"/>
          <w:lang w:val="sk-SK"/>
        </w:rPr>
        <w:t>Kapitálové príjmy tvorili príjmy z dotácií na rozvoj obce:</w:t>
      </w:r>
    </w:p>
    <w:p>
      <w:pPr>
        <w:pStyle w:val="Normal"/>
        <w:ind w:left="0" w:right="0" w:firstLine="708"/>
        <w:rPr>
          <w:color w:val="auto"/>
        </w:rPr>
      </w:pPr>
      <w:r>
        <w:rPr>
          <w:color w:val="auto"/>
        </w:rPr>
        <w:t>- kamerový systém   5.000,00 EUR</w:t>
      </w:r>
    </w:p>
    <w:p>
      <w:pPr>
        <w:pStyle w:val="Normal"/>
        <w:ind w:left="0" w:right="0" w:firstLine="708"/>
        <w:rPr>
          <w:color w:val="auto"/>
        </w:rPr>
      </w:pPr>
      <w:r>
        <w:rPr>
          <w:color w:val="auto"/>
        </w:rPr>
        <w:t>- miestny rozhlas    10.000,00 EUR</w:t>
      </w:r>
    </w:p>
    <w:p>
      <w:pPr>
        <w:pStyle w:val="Normal"/>
        <w:ind w:left="0" w:right="0" w:firstLine="708"/>
        <w:rPr>
          <w:color w:val="auto"/>
        </w:rPr>
      </w:pPr>
      <w:r>
        <w:rPr>
          <w:color w:val="auto"/>
        </w:rPr>
        <w:t>- ZŠ telocvičňa     145.000,00 EUR</w:t>
      </w:r>
    </w:p>
    <w:p>
      <w:pPr>
        <w:pStyle w:val="Normal"/>
        <w:ind w:left="0" w:right="0" w:firstLine="708"/>
        <w:rPr>
          <w:color w:val="auto"/>
        </w:rPr>
      </w:pPr>
      <w:r>
        <w:rPr>
          <w:color w:val="auto"/>
        </w:rPr>
        <w:t>Dotácia na rekonštrukciu ZŠ telocvičňa nebola v roku 2018 vyčerpaná a presúva sa do r.2019.</w:t>
      </w:r>
    </w:p>
    <w:p>
      <w:pPr>
        <w:pStyle w:val="Normal"/>
        <w:widowControl/>
        <w:suppressAutoHyphens w:val="true"/>
        <w:bidi w:val="0"/>
        <w:ind w:left="-113" w:right="0" w:hanging="0"/>
        <w:jc w:val="both"/>
        <w:rPr>
          <w:color w:val="auto"/>
          <w:lang w:val="sk-SK"/>
        </w:rPr>
      </w:pPr>
      <w:r>
        <w:rPr>
          <w:color w:val="auto"/>
          <w:lang w:val="sk-SK"/>
        </w:rPr>
      </w:r>
    </w:p>
    <w:p>
      <w:pPr>
        <w:pStyle w:val="Normal"/>
        <w:tabs>
          <w:tab w:val="left" w:pos="0" w:leader="none"/>
        </w:tabs>
        <w:rPr>
          <w:b/>
          <w:b/>
          <w:sz w:val="28"/>
          <w:lang w:val="sk-SK"/>
        </w:rPr>
      </w:pPr>
      <w:r>
        <w:rPr>
          <w:b/>
          <w:color w:val="auto"/>
          <w:sz w:val="28"/>
          <w:lang w:val="sk-SK"/>
        </w:rPr>
        <w:t>3)   Finančné príjmy</w:t>
      </w:r>
    </w:p>
    <w:p>
      <w:pPr>
        <w:pStyle w:val="Normal"/>
        <w:rPr>
          <w:b/>
          <w:b/>
          <w:color w:val="EF413D"/>
          <w:sz w:val="28"/>
          <w:lang w:val="sk-SK"/>
        </w:rPr>
      </w:pPr>
      <w:r>
        <w:rPr>
          <w:b/>
          <w:color w:val="EF413D"/>
          <w:sz w:val="28"/>
          <w:lang w:val="sk-SK"/>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2018</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16.206,00</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0,00</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0,00</w:t>
            </w:r>
          </w:p>
        </w:tc>
      </w:tr>
    </w:tbl>
    <w:p>
      <w:pPr>
        <w:pStyle w:val="Odsekzoznamu"/>
        <w:ind w:left="0" w:right="0" w:firstLine="708"/>
        <w:jc w:val="both"/>
        <w:rPr>
          <w:color w:val="EF413D"/>
          <w:lang w:val="sk-SK"/>
        </w:rPr>
      </w:pPr>
      <w:r>
        <w:rPr>
          <w:color w:val="EF413D"/>
          <w:lang w:val="sk-SK"/>
        </w:rPr>
      </w:r>
    </w:p>
    <w:p>
      <w:pPr>
        <w:pStyle w:val="Normal"/>
        <w:ind w:left="0" w:right="0" w:firstLine="708"/>
        <w:jc w:val="both"/>
        <w:rPr/>
      </w:pPr>
      <w:r>
        <w:rPr>
          <w:color w:val="auto"/>
          <w:lang w:val="sk-SK"/>
        </w:rPr>
        <w:t>Obec nemala v roku 2018 čerpané žiadne finančné príjmy.</w:t>
      </w:r>
    </w:p>
    <w:p>
      <w:pPr>
        <w:pStyle w:val="Odsekzoznamu"/>
        <w:ind w:left="0" w:right="0" w:firstLine="708"/>
        <w:jc w:val="both"/>
        <w:rPr>
          <w:bCs/>
          <w:smallCaps/>
          <w:color w:val="EF413D"/>
          <w:highlight w:val="lightGray"/>
          <w:lang w:val="sk-SK"/>
        </w:rPr>
      </w:pPr>
      <w:r>
        <w:rPr>
          <w:bCs/>
          <w:smallCaps/>
          <w:color w:val="EF413D"/>
          <w:highlight w:val="lightGray"/>
          <w:lang w:val="sk-SK"/>
        </w:rPr>
      </w:r>
    </w:p>
    <w:p>
      <w:pPr>
        <w:pStyle w:val="Normal"/>
        <w:suppressAutoHyphens w:val="false"/>
        <w:ind w:left="720" w:right="0" w:hanging="0"/>
        <w:jc w:val="both"/>
        <w:rPr>
          <w:bCs/>
          <w:smallCaps/>
          <w:color w:val="EF413D"/>
          <w:highlight w:val="lightGray"/>
          <w:lang w:val="sk-SK"/>
        </w:rPr>
      </w:pPr>
      <w:r>
        <w:rPr>
          <w:bCs/>
          <w:smallCaps/>
          <w:color w:val="EF413D"/>
          <w:highlight w:val="lightGray"/>
          <w:lang w:val="sk-SK"/>
        </w:rPr>
      </w:r>
    </w:p>
    <w:p>
      <w:pPr>
        <w:pStyle w:val="Normal"/>
        <w:suppressAutoHyphens w:val="false"/>
        <w:ind w:left="284" w:right="0" w:hanging="284"/>
        <w:jc w:val="both"/>
        <w:rPr>
          <w:b/>
          <w:b/>
          <w:sz w:val="28"/>
          <w:szCs w:val="28"/>
        </w:rPr>
      </w:pPr>
      <w:r>
        <w:rPr>
          <w:b/>
          <w:color w:val="auto"/>
          <w:sz w:val="28"/>
          <w:szCs w:val="28"/>
        </w:rPr>
        <w:t>4)  Príjmy rozpočtových organizácií s právnou subjektivitou - ZŠ:</w:t>
      </w:r>
    </w:p>
    <w:p>
      <w:pPr>
        <w:pStyle w:val="Normal"/>
        <w:jc w:val="both"/>
        <w:rPr>
          <w:b/>
          <w:b/>
          <w:color w:val="auto"/>
          <w:highlight w:val="lightGray"/>
        </w:rPr>
      </w:pPr>
      <w:r>
        <w:rPr>
          <w:b/>
          <w:color w:val="auto"/>
          <w:highlight w:val="lightGray"/>
        </w:rPr>
      </w:r>
    </w:p>
    <w:p>
      <w:pPr>
        <w:pStyle w:val="Normal"/>
        <w:rPr>
          <w:b/>
          <w:b/>
        </w:rPr>
      </w:pPr>
      <w:r>
        <w:rPr>
          <w:b/>
          <w:color w:val="auto"/>
        </w:rPr>
        <w:tab/>
        <w:t xml:space="preserve">Bežné príjmy </w:t>
      </w:r>
    </w:p>
    <w:p>
      <w:pPr>
        <w:pStyle w:val="Normal"/>
        <w:rPr>
          <w:b/>
          <w:b/>
          <w:color w:val="auto"/>
        </w:rPr>
      </w:pPr>
      <w:r>
        <w:rPr>
          <w:b/>
          <w:color w:val="auto"/>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2018</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31.12.2018</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64.870,01</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64.870,01</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rPr>
          <w:b/>
          <w:b/>
          <w:color w:val="EF413D"/>
        </w:rPr>
      </w:pPr>
      <w:r>
        <w:rPr>
          <w:b/>
          <w:color w:val="EF413D"/>
        </w:rPr>
      </w:r>
    </w:p>
    <w:p>
      <w:pPr>
        <w:pStyle w:val="Normal"/>
        <w:jc w:val="both"/>
        <w:rPr/>
      </w:pPr>
      <w:r>
        <w:rPr>
          <w:color w:val="EF413D"/>
        </w:rPr>
        <w:tab/>
      </w:r>
      <w:r>
        <w:rPr>
          <w:color w:val="auto"/>
        </w:rPr>
        <w:t xml:space="preserve">Z rozpočtovaných bežných príjmov 64.870,01 EUR bol skutočný príjem k 31.12.2018 </w:t>
        <w:tab/>
      </w:r>
    </w:p>
    <w:p>
      <w:pPr>
        <w:pStyle w:val="Normal"/>
        <w:jc w:val="both"/>
        <w:rPr>
          <w:color w:val="auto"/>
        </w:rPr>
      </w:pPr>
      <w:r>
        <w:rPr>
          <w:color w:val="auto"/>
        </w:rPr>
        <w:tab/>
        <w:t xml:space="preserve">v  sume  64.870,01 EUR, čo predstavuje 100,00% plnenie. </w:t>
      </w:r>
    </w:p>
    <w:p>
      <w:pPr>
        <w:pStyle w:val="Normal"/>
        <w:jc w:val="both"/>
        <w:rPr>
          <w:color w:val="auto"/>
        </w:rPr>
      </w:pPr>
      <w:r>
        <w:rPr>
          <w:color w:val="auto"/>
        </w:rPr>
      </w:r>
    </w:p>
    <w:p>
      <w:pPr>
        <w:pStyle w:val="Normal"/>
        <w:rPr/>
      </w:pPr>
      <w:r>
        <w:rPr>
          <w:b/>
          <w:color w:val="EF413D"/>
        </w:rPr>
        <w:tab/>
      </w:r>
      <w:r>
        <w:rPr>
          <w:b/>
          <w:color w:val="auto"/>
        </w:rPr>
        <w:t>Bežné príjmy Základnej školy s materskou školou:</w:t>
        <w:tab/>
        <w:tab/>
        <w:t>64.870,01 EUR</w:t>
      </w:r>
    </w:p>
    <w:p>
      <w:pPr>
        <w:pStyle w:val="Normal"/>
        <w:tabs>
          <w:tab w:val="left" w:pos="-3060" w:leader="none"/>
          <w:tab w:val="left" w:pos="709" w:leader="none"/>
          <w:tab w:val="right" w:pos="5040" w:leader="none"/>
        </w:tabs>
        <w:rPr/>
      </w:pPr>
      <w:r>
        <w:rPr>
          <w:color w:val="EF413D"/>
        </w:rPr>
        <w:tab/>
      </w:r>
    </w:p>
    <w:p>
      <w:pPr>
        <w:pStyle w:val="ListParagraph"/>
        <w:ind w:left="708" w:hanging="0"/>
        <w:rPr>
          <w:color w:val="auto"/>
        </w:rPr>
      </w:pPr>
      <w:r>
        <w:rPr>
          <w:b/>
          <w:color w:val="auto"/>
          <w:sz w:val="28"/>
          <w:szCs w:val="28"/>
        </w:rPr>
        <w:t>Rozbor čerpania výdavkov za rok 2018</w:t>
      </w:r>
    </w:p>
    <w:tbl>
      <w:tblPr>
        <w:tblW w:w="8906" w:type="dxa"/>
        <w:jc w:val="left"/>
        <w:tblInd w:w="90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41"/>
        <w:gridCol w:w="3583"/>
        <w:gridCol w:w="1582"/>
      </w:tblGrid>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2018</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31.12.2018</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1.294.566,48</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1.160.745,43</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89,66</w:t>
            </w:r>
          </w:p>
        </w:tc>
      </w:tr>
    </w:tbl>
    <w:p>
      <w:pPr>
        <w:pStyle w:val="Normal"/>
        <w:rPr>
          <w:color w:val="ED1C24"/>
          <w:highlight w:val="lightGray"/>
        </w:rPr>
      </w:pPr>
      <w:r>
        <w:rPr>
          <w:color w:val="ED1C24"/>
          <w:highlight w:val="lightGray"/>
        </w:rPr>
      </w:r>
    </w:p>
    <w:p>
      <w:pPr>
        <w:pStyle w:val="Normal"/>
        <w:rPr>
          <w:b/>
          <w:b/>
          <w:bCs/>
          <w:sz w:val="28"/>
          <w:lang w:val="sk-SK"/>
        </w:rPr>
      </w:pPr>
      <w:r>
        <w:rPr>
          <w:b/>
          <w:bCs/>
          <w:color w:val="auto"/>
          <w:sz w:val="28"/>
          <w:lang w:val="sk-SK"/>
        </w:rPr>
        <w:t>1)   Bežné výdavky</w:t>
      </w:r>
    </w:p>
    <w:p>
      <w:pPr>
        <w:pStyle w:val="Normal"/>
        <w:rPr>
          <w:b/>
          <w:b/>
          <w:bCs/>
          <w:color w:val="ED1C24"/>
          <w:sz w:val="28"/>
          <w:lang w:val="sk-SK"/>
        </w:rPr>
      </w:pPr>
      <w:r>
        <w:rPr>
          <w:b/>
          <w:bCs/>
          <w:color w:val="ED1C24"/>
          <w:sz w:val="28"/>
          <w:lang w:val="sk-SK"/>
        </w:rPr>
      </w:r>
    </w:p>
    <w:tbl>
      <w:tblPr>
        <w:tblW w:w="8924" w:type="dxa"/>
        <w:jc w:val="left"/>
        <w:tblInd w:w="7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90"/>
        <w:gridCol w:w="3549"/>
        <w:gridCol w:w="1585"/>
      </w:tblGrid>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2018</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31.12.2018</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392.272,68</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363.437,17</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92,65</w:t>
            </w:r>
          </w:p>
        </w:tc>
      </w:tr>
    </w:tbl>
    <w:p>
      <w:pPr>
        <w:pStyle w:val="Normal"/>
        <w:rPr>
          <w:color w:val="ED1C24"/>
          <w:highlight w:val="lightGray"/>
          <w:lang w:val="sk-SK"/>
        </w:rPr>
      </w:pPr>
      <w:r>
        <w:rPr>
          <w:color w:val="ED1C24"/>
          <w:highlight w:val="lightGray"/>
          <w:lang w:val="sk-SK"/>
        </w:rPr>
      </w:r>
    </w:p>
    <w:p>
      <w:pPr>
        <w:pStyle w:val="Normal"/>
        <w:rPr>
          <w:color w:val="auto"/>
        </w:rPr>
      </w:pPr>
      <w:r>
        <w:rPr>
          <w:color w:val="auto"/>
          <w:lang w:val="sk-SK"/>
        </w:rPr>
        <w:tab/>
        <w:t>V tom:</w:t>
      </w:r>
    </w:p>
    <w:p>
      <w:pPr>
        <w:pStyle w:val="Normal"/>
        <w:rPr>
          <w:color w:val="EF413D"/>
          <w:lang w:val="sk-SK"/>
        </w:rPr>
      </w:pPr>
      <w:r>
        <w:rPr>
          <w:color w:val="EF413D"/>
          <w:lang w:val="sk-SK"/>
        </w:rPr>
      </w:r>
    </w:p>
    <w:tbl>
      <w:tblPr>
        <w:tblW w:w="9930" w:type="dxa"/>
        <w:jc w:val="left"/>
        <w:tblInd w:w="15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40"/>
        <w:gridCol w:w="1514"/>
        <w:gridCol w:w="2318"/>
        <w:gridCol w:w="2457"/>
      </w:tblGrid>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Funkčná klasifikácia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color w:val="auto"/>
              </w:rPr>
            </w:pPr>
            <w:r>
              <w:rPr>
                <w:rFonts w:eastAsia="Arial"/>
                <w:color w:val="auto"/>
              </w:rPr>
              <w:t>Výkonné a zákonodarné orgány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227.255,68</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200.827,67</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88,37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Ochrana pred požiarmi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4.420,00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4.000,00</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90,50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Cestná doprava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53.689,00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52.620,23</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98,01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Cestovný ruch</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7.374,00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7.373,54</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Nakladanie s odpadmi a ochrana ŽP</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48.050,00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47.994,61</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99,88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obce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4.000,00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3.918,07</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97,95</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Verejné osvetlenie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3.030,00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2.854,80</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94,22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Všeobecná zdravotná strastlivosť</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5.350,00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5.286,23</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98,81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Rekreačné a športové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12.577,00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12.544,07</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99,74</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Kultúrne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13.977,00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13.966,29</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Vysielacie a vydavateľské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56,88</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56,88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Náboženské a iné spoloč.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5.508,00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5.088,22</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92,38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Vzdelávacie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660,00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658,00</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Staroba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2.073,93</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Rodina a deti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4.202,00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4.174,63</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99,35</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SPOLU:</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392.272,68</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363.437,17</w:t>
            </w:r>
          </w:p>
        </w:tc>
        <w:tc>
          <w:tcPr>
            <w:tcW w:w="24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color w:val="auto"/>
              </w:rPr>
            </w:pPr>
            <w:r>
              <w:rPr>
                <w:b/>
                <w:color w:val="auto"/>
              </w:rPr>
              <w:t>92,65</w:t>
            </w:r>
          </w:p>
        </w:tc>
      </w:tr>
    </w:tbl>
    <w:p>
      <w:pPr>
        <w:pStyle w:val="Normal"/>
        <w:rPr>
          <w:color w:val="ED1C24"/>
          <w:highlight w:val="lightGray"/>
          <w:lang w:val="sk-SK"/>
        </w:rPr>
      </w:pPr>
      <w:r>
        <w:rPr>
          <w:color w:val="ED1C24"/>
          <w:highlight w:val="lightGray"/>
          <w:lang w:val="sk-SK"/>
        </w:rPr>
      </w:r>
    </w:p>
    <w:p>
      <w:pPr>
        <w:pStyle w:val="Normal"/>
        <w:tabs>
          <w:tab w:val="right" w:pos="284" w:leader="none"/>
        </w:tabs>
        <w:ind w:left="284" w:hanging="284"/>
        <w:jc w:val="both"/>
        <w:rPr>
          <w:color w:val="ED1C24"/>
        </w:rPr>
      </w:pPr>
      <w:r>
        <w:rPr>
          <w:b/>
          <w:color w:val="auto"/>
        </w:rPr>
        <w:t>a) Mzdy, platy, služobné príjmy a ostatné osobné vyrovnania</w:t>
      </w:r>
    </w:p>
    <w:p>
      <w:pPr>
        <w:pStyle w:val="Normal"/>
        <w:tabs>
          <w:tab w:val="left" w:pos="286" w:leader="none"/>
        </w:tabs>
        <w:jc w:val="both"/>
        <w:rPr>
          <w:color w:val="auto"/>
        </w:rPr>
      </w:pPr>
      <w:r>
        <w:rPr>
          <w:color w:val="auto"/>
        </w:rPr>
        <w:tab/>
        <w:t xml:space="preserve">Z rozpočtovaných 96.917,00,- EUR bolo skutočné čerpanie k 31.12.2018 v sume 96.128,03,- </w:t>
        <w:tab/>
        <w:t>EUR, čo je 99,19 % čerpanie. Patria sem mzdové prostriedky všetkých pracovníkov obce.</w:t>
      </w:r>
    </w:p>
    <w:p>
      <w:pPr>
        <w:pStyle w:val="Normal"/>
        <w:tabs>
          <w:tab w:val="left" w:pos="286" w:leader="none"/>
        </w:tabs>
        <w:jc w:val="both"/>
        <w:rPr>
          <w:color w:val="auto"/>
        </w:rPr>
      </w:pPr>
      <w:r>
        <w:rPr>
          <w:color w:val="auto"/>
        </w:rPr>
      </w:r>
    </w:p>
    <w:p>
      <w:pPr>
        <w:pStyle w:val="Normal"/>
        <w:tabs>
          <w:tab w:val="right" w:pos="284" w:leader="none"/>
        </w:tabs>
        <w:ind w:left="284" w:right="0" w:hanging="284"/>
        <w:jc w:val="both"/>
        <w:rPr>
          <w:b/>
          <w:b/>
          <w:color w:val="auto"/>
        </w:rPr>
      </w:pPr>
      <w:r>
        <w:rPr>
          <w:b/>
          <w:color w:val="auto"/>
        </w:rPr>
        <w:t>b) Poistné a príspevok do poisťovní</w:t>
      </w:r>
    </w:p>
    <w:p>
      <w:pPr>
        <w:pStyle w:val="Normal"/>
        <w:tabs>
          <w:tab w:val="left" w:pos="327" w:leader="none"/>
        </w:tabs>
        <w:ind w:left="53" w:right="0" w:hanging="0"/>
        <w:jc w:val="both"/>
        <w:rPr>
          <w:color w:val="auto"/>
        </w:rPr>
      </w:pPr>
      <w:r>
        <w:rPr>
          <w:color w:val="auto"/>
        </w:rPr>
        <w:tab/>
        <w:t xml:space="preserve">Z rozpočtovaných  38.542,00,- EUR bolo skutočne čerpané k 31.12.2018 v sume 35.123,72,- </w:t>
        <w:tab/>
        <w:t xml:space="preserve">EUR, čo je 91,13% čerpanie. </w:t>
      </w:r>
    </w:p>
    <w:p>
      <w:pPr>
        <w:pStyle w:val="Normal"/>
        <w:tabs>
          <w:tab w:val="left" w:pos="327" w:leader="none"/>
        </w:tabs>
        <w:ind w:left="53" w:right="0" w:hanging="0"/>
        <w:jc w:val="both"/>
        <w:rPr>
          <w:color w:val="auto"/>
        </w:rPr>
      </w:pPr>
      <w:r>
        <w:rPr>
          <w:color w:val="auto"/>
        </w:rPr>
      </w:r>
    </w:p>
    <w:p>
      <w:pPr>
        <w:pStyle w:val="Normal"/>
        <w:tabs>
          <w:tab w:val="right" w:pos="284" w:leader="none"/>
        </w:tabs>
        <w:ind w:left="284" w:right="0" w:hanging="284"/>
        <w:jc w:val="both"/>
        <w:rPr>
          <w:b/>
          <w:b/>
          <w:color w:val="auto"/>
        </w:rPr>
      </w:pPr>
      <w:r>
        <w:rPr>
          <w:b/>
          <w:color w:val="auto"/>
        </w:rPr>
        <w:t>c) Tovary a služby</w:t>
      </w:r>
    </w:p>
    <w:p>
      <w:pPr>
        <w:pStyle w:val="Normal"/>
        <w:tabs>
          <w:tab w:val="left" w:pos="314" w:leader="none"/>
        </w:tabs>
        <w:jc w:val="both"/>
        <w:rPr>
          <w:color w:val="auto"/>
        </w:rPr>
      </w:pPr>
      <w:r>
        <w:rPr>
          <w:color w:val="auto"/>
        </w:rPr>
        <w:tab/>
        <w:t xml:space="preserve">Z rozpočtovaných 225.175,60,- EUR bolo skutočne čerpané k 31.12.2018 v sume 208.892,65,- </w:t>
        <w:tab/>
        <w:t xml:space="preserve">EUR, čo je 92,77 % čerpanie. Ide o prevádzkové výdavky všetkých stredísk OcÚ, ako sú cestovné </w:t>
        <w:tab/>
        <w:t xml:space="preserve">náhrady, energie, materiál, dopravné, rutinná a štandardná údržba, nájomné za nájom a ostatné </w:t>
        <w:tab/>
        <w:t>tovary a služby.</w:t>
      </w:r>
    </w:p>
    <w:p>
      <w:pPr>
        <w:pStyle w:val="Normal"/>
        <w:tabs>
          <w:tab w:val="left" w:pos="314" w:leader="none"/>
        </w:tabs>
        <w:jc w:val="both"/>
        <w:rPr>
          <w:color w:val="auto"/>
        </w:rPr>
      </w:pPr>
      <w:r>
        <w:rPr>
          <w:color w:val="auto"/>
        </w:rPr>
      </w:r>
    </w:p>
    <w:p>
      <w:pPr>
        <w:pStyle w:val="Normal"/>
        <w:tabs>
          <w:tab w:val="right" w:pos="284" w:leader="none"/>
        </w:tabs>
        <w:ind w:left="284" w:right="0" w:hanging="284"/>
        <w:jc w:val="both"/>
        <w:rPr>
          <w:b/>
          <w:b/>
          <w:color w:val="auto"/>
        </w:rPr>
      </w:pPr>
      <w:r>
        <w:rPr>
          <w:b/>
          <w:color w:val="auto"/>
        </w:rPr>
        <w:t>d) Bežné transfery</w:t>
      </w:r>
    </w:p>
    <w:p>
      <w:pPr>
        <w:pStyle w:val="Normal"/>
        <w:tabs>
          <w:tab w:val="left" w:pos="286" w:leader="none"/>
        </w:tabs>
        <w:jc w:val="both"/>
        <w:rPr>
          <w:color w:val="auto"/>
        </w:rPr>
      </w:pPr>
      <w:r>
        <w:rPr>
          <w:color w:val="auto"/>
        </w:rPr>
        <w:tab/>
        <w:t xml:space="preserve">Z rozpočtovaných 31.638,08,- EUR bolo skutočne čerpané k 31.12.2018 v sume 23.292,77,- EUR, </w:t>
      </w:r>
    </w:p>
    <w:p>
      <w:pPr>
        <w:pStyle w:val="Normal"/>
        <w:tabs>
          <w:tab w:val="left" w:pos="286" w:leader="none"/>
        </w:tabs>
        <w:jc w:val="both"/>
        <w:rPr>
          <w:color w:val="auto"/>
        </w:rPr>
      </w:pPr>
      <w:r>
        <w:rPr>
          <w:color w:val="auto"/>
        </w:rPr>
        <w:tab/>
        <w:t>čo predstavuje 73,62 % čerpanie.</w:t>
      </w:r>
    </w:p>
    <w:p>
      <w:pPr>
        <w:pStyle w:val="Normal"/>
        <w:tabs>
          <w:tab w:val="right" w:pos="284" w:leader="none"/>
        </w:tabs>
        <w:ind w:left="284" w:hanging="284"/>
        <w:jc w:val="both"/>
        <w:rPr>
          <w:b w:val="false"/>
          <w:b w:val="false"/>
          <w:bCs w:val="false"/>
          <w:color w:val="auto"/>
          <w:lang w:val="sk-SK"/>
        </w:rPr>
      </w:pPr>
      <w:r>
        <w:rPr>
          <w:b w:val="false"/>
          <w:bCs w:val="false"/>
          <w:color w:val="auto"/>
          <w:lang w:val="sk-SK"/>
        </w:rPr>
      </w:r>
    </w:p>
    <w:p>
      <w:pPr>
        <w:pStyle w:val="Normal"/>
        <w:ind w:left="0" w:right="0" w:firstLine="360"/>
        <w:jc w:val="both"/>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b/>
          <w:b/>
          <w:bCs/>
          <w:sz w:val="28"/>
          <w:lang w:val="sk-SK"/>
        </w:rPr>
      </w:pPr>
      <w:r>
        <w:rPr>
          <w:b/>
          <w:bCs/>
          <w:color w:val="auto"/>
          <w:sz w:val="28"/>
          <w:lang w:val="sk-SK"/>
        </w:rPr>
        <w:t>2)   Kapitálové výdavky</w:t>
      </w:r>
    </w:p>
    <w:p>
      <w:pPr>
        <w:pStyle w:val="Normal"/>
        <w:rPr>
          <w:color w:val="ED1C24"/>
          <w:lang w:val="sk-SK"/>
        </w:rPr>
      </w:pPr>
      <w:r>
        <w:rPr>
          <w:color w:val="ED1C24"/>
          <w:lang w:val="sk-SK"/>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2018</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31.12.2018</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171.015,04</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70.004,50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40,93</w:t>
            </w:r>
          </w:p>
        </w:tc>
      </w:tr>
    </w:tbl>
    <w:p>
      <w:pPr>
        <w:pStyle w:val="Normal"/>
        <w:rPr>
          <w:color w:val="ED1C24"/>
          <w:highlight w:val="lightGray"/>
          <w:lang w:val="sk-SK"/>
        </w:rPr>
      </w:pPr>
      <w:r>
        <w:rPr>
          <w:color w:val="ED1C24"/>
          <w:highlight w:val="lightGray"/>
          <w:lang w:val="sk-SK"/>
        </w:rPr>
      </w:r>
    </w:p>
    <w:p>
      <w:pPr>
        <w:pStyle w:val="Normal"/>
        <w:ind w:left="360" w:hanging="0"/>
        <w:jc w:val="both"/>
        <w:rPr>
          <w:color w:val="ED1C24"/>
        </w:rPr>
      </w:pPr>
      <w:r>
        <w:rPr>
          <w:b/>
          <w:color w:val="ED1C24"/>
        </w:rPr>
        <w:tab/>
      </w:r>
      <w:r>
        <w:rPr>
          <w:b/>
          <w:color w:val="auto"/>
        </w:rPr>
        <w:t>Ide o nasledovné investičné akcie :</w:t>
      </w:r>
    </w:p>
    <w:p>
      <w:pPr>
        <w:pStyle w:val="Normal"/>
        <w:numPr>
          <w:ilvl w:val="0"/>
          <w:numId w:val="5"/>
        </w:numPr>
        <w:tabs>
          <w:tab w:val="left" w:pos="709" w:leader="none"/>
        </w:tabs>
        <w:ind w:left="360" w:right="0" w:hanging="0"/>
        <w:jc w:val="both"/>
        <w:rPr>
          <w:color w:val="auto"/>
        </w:rPr>
      </w:pPr>
      <w:r>
        <w:rPr>
          <w:color w:val="auto"/>
        </w:rPr>
        <w:t>Kamerový systém                               19.141,85,- EUR</w:t>
      </w:r>
    </w:p>
    <w:p>
      <w:pPr>
        <w:pStyle w:val="Normal"/>
        <w:numPr>
          <w:ilvl w:val="0"/>
          <w:numId w:val="5"/>
        </w:numPr>
        <w:tabs>
          <w:tab w:val="left" w:pos="709" w:leader="none"/>
        </w:tabs>
        <w:ind w:left="360" w:right="0" w:hanging="0"/>
        <w:jc w:val="both"/>
        <w:rPr>
          <w:color w:val="auto"/>
        </w:rPr>
      </w:pPr>
      <w:r>
        <w:rPr>
          <w:color w:val="auto"/>
        </w:rPr>
        <w:t>Miestny rozhlas                                   12.103,85,- EUR</w:t>
      </w:r>
    </w:p>
    <w:p>
      <w:pPr>
        <w:pStyle w:val="Normal"/>
        <w:numPr>
          <w:ilvl w:val="0"/>
          <w:numId w:val="5"/>
        </w:numPr>
        <w:tabs>
          <w:tab w:val="left" w:pos="709" w:leader="none"/>
        </w:tabs>
        <w:ind w:left="360" w:right="0" w:hanging="0"/>
        <w:jc w:val="both"/>
        <w:rPr>
          <w:color w:val="auto"/>
        </w:rPr>
      </w:pPr>
      <w:r>
        <w:rPr>
          <w:color w:val="auto"/>
        </w:rPr>
        <w:t>Rekonštrukcia strechy ZŠ                   16.205,76,- EUR</w:t>
      </w:r>
    </w:p>
    <w:p>
      <w:pPr>
        <w:pStyle w:val="Normal"/>
        <w:numPr>
          <w:ilvl w:val="0"/>
          <w:numId w:val="5"/>
        </w:numPr>
        <w:tabs>
          <w:tab w:val="left" w:pos="709" w:leader="none"/>
        </w:tabs>
        <w:ind w:left="360" w:right="0" w:hanging="0"/>
        <w:jc w:val="both"/>
        <w:rPr>
          <w:color w:val="auto"/>
        </w:rPr>
      </w:pPr>
      <w:r>
        <w:rPr>
          <w:color w:val="auto"/>
        </w:rPr>
        <w:t>Rekonštrukcia zdravotného strediska  10.692,82,- EUR</w:t>
      </w:r>
    </w:p>
    <w:p>
      <w:pPr>
        <w:pStyle w:val="Normal"/>
        <w:numPr>
          <w:ilvl w:val="0"/>
          <w:numId w:val="5"/>
        </w:numPr>
        <w:tabs>
          <w:tab w:val="left" w:pos="709" w:leader="none"/>
        </w:tabs>
        <w:ind w:left="360" w:right="0" w:hanging="0"/>
        <w:jc w:val="both"/>
        <w:rPr>
          <w:color w:val="auto"/>
        </w:rPr>
      </w:pPr>
      <w:r>
        <w:rPr>
          <w:color w:val="auto"/>
        </w:rPr>
        <w:t>Rekonštrukcia zastávky</w:t>
        <w:tab/>
        <w:tab/>
        <w:t xml:space="preserve">    7.210,00,- EUR</w:t>
      </w:r>
    </w:p>
    <w:p>
      <w:pPr>
        <w:pStyle w:val="Normal"/>
        <w:numPr>
          <w:ilvl w:val="0"/>
          <w:numId w:val="5"/>
        </w:numPr>
        <w:tabs>
          <w:tab w:val="left" w:pos="709" w:leader="none"/>
        </w:tabs>
        <w:ind w:left="360" w:right="0" w:hanging="0"/>
        <w:jc w:val="both"/>
        <w:rPr>
          <w:color w:val="auto"/>
        </w:rPr>
      </w:pPr>
      <w:r>
        <w:rPr>
          <w:color w:val="auto"/>
        </w:rPr>
        <w:t>Rekonštrukcia lávky</w:t>
        <w:tab/>
        <w:tab/>
        <w:tab/>
        <w:t xml:space="preserve">    3.470,22,- EUR</w:t>
      </w:r>
    </w:p>
    <w:p>
      <w:pPr>
        <w:pStyle w:val="Normal"/>
        <w:ind w:left="360" w:hanging="0"/>
        <w:jc w:val="both"/>
        <w:rPr>
          <w:b w:val="false"/>
          <w:b w:val="false"/>
          <w:bCs w:val="false"/>
          <w:color w:val="auto"/>
        </w:rPr>
      </w:pPr>
      <w:r>
        <w:rPr>
          <w:b w:val="false"/>
          <w:bCs w:val="false"/>
          <w:color w:val="auto"/>
        </w:rPr>
        <w:t xml:space="preserve">- </w:t>
        <w:tab/>
        <w:t>Projektové dokumentácie</w:t>
        <w:tab/>
        <w:tab/>
        <w:t xml:space="preserve">    1.180,00,- EUR</w:t>
      </w:r>
    </w:p>
    <w:p>
      <w:pPr>
        <w:pStyle w:val="Normal"/>
        <w:rPr>
          <w:b/>
          <w:b/>
          <w:bCs/>
          <w:color w:val="ED1C24"/>
          <w:sz w:val="28"/>
          <w:szCs w:val="28"/>
          <w:lang w:val="sk-SK"/>
        </w:rPr>
      </w:pPr>
      <w:r>
        <w:rPr>
          <w:b/>
          <w:bCs/>
          <w:color w:val="ED1C24"/>
          <w:sz w:val="28"/>
          <w:szCs w:val="28"/>
          <w:lang w:val="sk-SK"/>
        </w:rPr>
      </w:r>
    </w:p>
    <w:p>
      <w:pPr>
        <w:pStyle w:val="Normal"/>
        <w:rPr>
          <w:b/>
          <w:b/>
          <w:bCs/>
          <w:color w:val="ED1C24"/>
          <w:sz w:val="28"/>
          <w:szCs w:val="28"/>
          <w:lang w:val="sk-SK"/>
        </w:rPr>
      </w:pPr>
      <w:r>
        <w:rPr>
          <w:b/>
          <w:bCs/>
          <w:color w:val="ED1C24"/>
          <w:sz w:val="28"/>
          <w:szCs w:val="28"/>
          <w:lang w:val="sk-SK"/>
        </w:rPr>
      </w:r>
    </w:p>
    <w:p>
      <w:pPr>
        <w:pStyle w:val="Normal"/>
        <w:rPr>
          <w:b/>
          <w:b/>
          <w:bCs/>
          <w:sz w:val="28"/>
          <w:szCs w:val="28"/>
        </w:rPr>
      </w:pPr>
      <w:r>
        <w:rPr>
          <w:b/>
          <w:bCs/>
          <w:color w:val="auto"/>
          <w:sz w:val="28"/>
          <w:szCs w:val="28"/>
        </w:rPr>
        <w:t>3)   Finančné výdavky</w:t>
      </w:r>
    </w:p>
    <w:p>
      <w:pPr>
        <w:pStyle w:val="Normal"/>
        <w:rPr>
          <w:color w:val="ED1C24"/>
        </w:rPr>
      </w:pPr>
      <w:r>
        <w:rPr>
          <w:color w:val="ED1C24"/>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2018</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31.12.2018</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rHeight w:val="164" w:hRule="atLeast"/>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3.975,00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0,00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0,00</w:t>
            </w:r>
          </w:p>
        </w:tc>
      </w:tr>
    </w:tbl>
    <w:p>
      <w:pPr>
        <w:pStyle w:val="Normal"/>
        <w:tabs>
          <w:tab w:val="right" w:pos="1134" w:leader="none"/>
        </w:tabs>
        <w:jc w:val="both"/>
        <w:rPr>
          <w:color w:val="EF413D"/>
        </w:rPr>
      </w:pPr>
      <w:r>
        <w:rPr>
          <w:color w:val="auto"/>
        </w:rPr>
        <w:tab/>
      </w:r>
    </w:p>
    <w:p>
      <w:pPr>
        <w:pStyle w:val="Normal"/>
        <w:tabs>
          <w:tab w:val="left" w:pos="570" w:leader="none"/>
        </w:tabs>
        <w:jc w:val="both"/>
        <w:rPr>
          <w:color w:val="auto"/>
        </w:rPr>
      </w:pPr>
      <w:r>
        <w:rPr>
          <w:color w:val="auto"/>
        </w:rPr>
        <w:tab/>
        <w:t>V rozpočte na rok 2018  neboli čerpané žiadne finančné výdavky.</w:t>
      </w:r>
    </w:p>
    <w:p>
      <w:pPr>
        <w:pStyle w:val="Normal"/>
        <w:tabs>
          <w:tab w:val="left" w:pos="570" w:leader="none"/>
        </w:tabs>
        <w:jc w:val="both"/>
        <w:rPr>
          <w:color w:val="auto"/>
        </w:rPr>
      </w:pPr>
      <w:r>
        <w:rPr>
          <w:color w:val="auto"/>
        </w:rPr>
      </w:r>
    </w:p>
    <w:p>
      <w:pPr>
        <w:pStyle w:val="Normal"/>
        <w:rPr>
          <w:color w:val="auto"/>
        </w:rPr>
      </w:pPr>
      <w:r>
        <w:rPr>
          <w:b/>
          <w:bCs/>
          <w:color w:val="auto"/>
          <w:sz w:val="28"/>
          <w:lang w:val="sk-SK"/>
        </w:rPr>
        <w:t>4)   Výdavky rozpočtovej organizácie s právnou subjektivitou – ZŠ</w:t>
      </w:r>
    </w:p>
    <w:p>
      <w:pPr>
        <w:pStyle w:val="Normal"/>
        <w:rPr>
          <w:color w:val="ED1C24"/>
          <w:lang w:val="sk-SK"/>
        </w:rPr>
      </w:pPr>
      <w:r>
        <w:rPr>
          <w:color w:val="ED1C24"/>
          <w:lang w:val="sk-SK"/>
        </w:rPr>
      </w:r>
    </w:p>
    <w:tbl>
      <w:tblPr>
        <w:tblW w:w="8941" w:type="dxa"/>
        <w:jc w:val="left"/>
        <w:tblInd w:w="74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47"/>
        <w:gridCol w:w="3512"/>
        <w:gridCol w:w="1582"/>
      </w:tblGrid>
      <w:tr>
        <w:trPr>
          <w:trHeight w:val="229" w:hRule="atLeast"/>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bCs/>
                <w:color w:val="auto"/>
              </w:rPr>
            </w:pPr>
            <w:r>
              <w:rPr>
                <w:b/>
                <w:bCs/>
                <w:color w:val="auto"/>
              </w:rPr>
              <w:t>Rozpočet na rok 2018</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bCs/>
                <w:color w:val="auto"/>
              </w:rPr>
            </w:pPr>
            <w:r>
              <w:rPr>
                <w:b/>
                <w:bCs/>
                <w:color w:val="auto"/>
              </w:rPr>
              <w:t>Skutočnosť k 31.12.2018</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bCs/>
                <w:color w:val="auto"/>
              </w:rPr>
            </w:pPr>
            <w:r>
              <w:rPr>
                <w:b/>
                <w:bCs/>
                <w:color w:val="auto"/>
              </w:rPr>
              <w:t>% plnenia</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727.303,76</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727.303,76</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rPr>
          <w:bCs/>
          <w:color w:val="ED1C24"/>
        </w:rPr>
      </w:pPr>
      <w:r>
        <w:rPr>
          <w:bCs/>
          <w:color w:val="ED1C24"/>
        </w:rPr>
      </w:r>
    </w:p>
    <w:p>
      <w:pPr>
        <w:pStyle w:val="Normal"/>
        <w:rPr>
          <w:color w:val="ED1C24"/>
        </w:rPr>
      </w:pPr>
      <w:r>
        <w:rPr>
          <w:b/>
          <w:bCs/>
          <w:color w:val="ED1C24"/>
        </w:rPr>
        <w:tab/>
      </w:r>
      <w:r>
        <w:rPr>
          <w:b/>
          <w:bCs/>
          <w:color w:val="auto"/>
        </w:rPr>
        <w:t xml:space="preserve">1.  Mzdy, ostatné osobné vyrovnania </w:t>
      </w:r>
    </w:p>
    <w:p>
      <w:pPr>
        <w:pStyle w:val="Normal"/>
        <w:ind w:left="0" w:right="0" w:firstLine="360"/>
        <w:jc w:val="both"/>
        <w:rPr/>
      </w:pPr>
      <w:r>
        <w:rPr>
          <w:color w:val="auto"/>
        </w:rPr>
        <w:tab/>
        <w:t>Z rozpočtovaných 416.836,17 EUR bolo skutočné plnenie k 31.12.2018</w:t>
      </w:r>
      <w:r>
        <w:rPr>
          <w:color w:val="CE181E"/>
        </w:rPr>
        <w:t xml:space="preserve"> </w:t>
      </w:r>
      <w:r>
        <w:rPr>
          <w:color w:val="auto"/>
        </w:rPr>
        <w:t>vo výške</w:t>
      </w:r>
    </w:p>
    <w:p>
      <w:pPr>
        <w:pStyle w:val="Normal"/>
        <w:ind w:left="0" w:right="0" w:firstLine="360"/>
        <w:jc w:val="both"/>
        <w:rPr>
          <w:color w:val="auto"/>
        </w:rPr>
      </w:pPr>
      <w:r>
        <w:rPr>
          <w:color w:val="auto"/>
        </w:rPr>
        <w:tab/>
        <w:t xml:space="preserve"> 416.836,17 EUR, čo predstavuje plnenie  na  100,00 %.  </w:t>
      </w:r>
    </w:p>
    <w:p>
      <w:pPr>
        <w:pStyle w:val="Normal"/>
        <w:ind w:left="0" w:right="0" w:firstLine="360"/>
        <w:jc w:val="both"/>
        <w:rPr>
          <w:color w:val="auto"/>
        </w:rPr>
      </w:pPr>
      <w:r>
        <w:rPr>
          <w:color w:val="auto"/>
        </w:rPr>
      </w:r>
    </w:p>
    <w:p>
      <w:pPr>
        <w:pStyle w:val="Normal"/>
        <w:ind w:left="0" w:right="0" w:firstLine="360"/>
        <w:jc w:val="both"/>
        <w:rPr>
          <w:b/>
          <w:b/>
          <w:bCs/>
          <w:color w:val="auto"/>
        </w:rPr>
      </w:pPr>
      <w:r>
        <w:rPr>
          <w:b/>
          <w:bCs/>
          <w:color w:val="auto"/>
        </w:rPr>
        <w:tab/>
        <w:t>2.  Odvody do poisťovní</w:t>
      </w:r>
    </w:p>
    <w:p>
      <w:pPr>
        <w:pStyle w:val="Normal"/>
        <w:rPr/>
      </w:pPr>
      <w:r>
        <w:rPr>
          <w:b/>
          <w:bCs/>
          <w:color w:val="auto"/>
        </w:rPr>
        <w:tab/>
      </w:r>
      <w:r>
        <w:rPr>
          <w:color w:val="auto"/>
        </w:rPr>
        <w:t>Z rozpočtovaných 142.969,97 EUR bolo skutočné plnenie k 31.12.2018 vo výške</w:t>
      </w:r>
    </w:p>
    <w:p>
      <w:pPr>
        <w:pStyle w:val="Normal"/>
        <w:rPr>
          <w:color w:val="auto"/>
        </w:rPr>
      </w:pPr>
      <w:r>
        <w:rPr>
          <w:color w:val="auto"/>
        </w:rPr>
        <w:tab/>
        <w:t xml:space="preserve">142.969,97 EUR, čo </w:t>
        <w:tab/>
        <w:t xml:space="preserve">predstavuje plnenie  na  100,00 %.  </w:t>
      </w:r>
    </w:p>
    <w:p>
      <w:pPr>
        <w:pStyle w:val="Normal"/>
        <w:rPr>
          <w:color w:val="CE181E"/>
        </w:rPr>
      </w:pPr>
      <w:r>
        <w:rPr>
          <w:color w:val="CE181E"/>
        </w:rPr>
      </w:r>
    </w:p>
    <w:p>
      <w:pPr>
        <w:pStyle w:val="Normal"/>
        <w:rPr>
          <w:b/>
          <w:b/>
          <w:bCs/>
          <w:color w:val="auto"/>
        </w:rPr>
      </w:pPr>
      <w:r>
        <w:rPr>
          <w:b/>
          <w:bCs/>
          <w:color w:val="auto"/>
        </w:rPr>
        <w:tab/>
        <w:t>3.  Tovary a služby</w:t>
      </w:r>
    </w:p>
    <w:p>
      <w:pPr>
        <w:pStyle w:val="Normal"/>
        <w:ind w:left="0" w:right="0" w:firstLine="360"/>
        <w:jc w:val="both"/>
        <w:rPr>
          <w:color w:val="auto"/>
        </w:rPr>
      </w:pPr>
      <w:r>
        <w:rPr>
          <w:color w:val="auto"/>
        </w:rPr>
        <w:tab/>
        <w:t xml:space="preserve">Z rozpočtovaných 154.060,61 EUR bolo skutočné plnenie k 31.12.2018 vo výške 154.060,61 </w:t>
        <w:tab/>
        <w:t xml:space="preserve">EUR, čo prestavuje plnenie na 100,00 %. Sú tu zahrnuté  prevádzkové náklady a to cestovné </w:t>
        <w:tab/>
        <w:t>náklady, energia, voda, dopravné, materiál, náklady sa údržbu a ostatné tovary a služby.</w:t>
      </w:r>
    </w:p>
    <w:p>
      <w:pPr>
        <w:pStyle w:val="Normal"/>
        <w:ind w:left="0" w:right="0" w:firstLine="360"/>
        <w:jc w:val="both"/>
        <w:rPr>
          <w:color w:val="auto"/>
        </w:rPr>
      </w:pPr>
      <w:r>
        <w:rPr>
          <w:color w:val="auto"/>
        </w:rPr>
      </w:r>
    </w:p>
    <w:p>
      <w:pPr>
        <w:pStyle w:val="Normal"/>
        <w:tabs>
          <w:tab w:val="right" w:pos="284" w:leader="none"/>
        </w:tabs>
        <w:ind w:left="284" w:right="0" w:hanging="284"/>
        <w:jc w:val="both"/>
        <w:rPr>
          <w:b/>
          <w:b/>
          <w:color w:val="auto"/>
        </w:rPr>
      </w:pPr>
      <w:r>
        <w:rPr>
          <w:b/>
          <w:color w:val="auto"/>
        </w:rPr>
        <w:tab/>
        <w:tab/>
        <w:t>4.  Bežné transfery</w:t>
      </w:r>
    </w:p>
    <w:p>
      <w:pPr>
        <w:pStyle w:val="Normal"/>
        <w:tabs>
          <w:tab w:val="left" w:pos="286" w:leader="none"/>
        </w:tabs>
        <w:jc w:val="both"/>
        <w:rPr>
          <w:color w:val="auto"/>
        </w:rPr>
      </w:pPr>
      <w:r>
        <w:rPr>
          <w:color w:val="auto"/>
        </w:rPr>
        <w:tab/>
        <w:tab/>
        <w:t>Z rozpočtovaných 13.437,01EUR bolo skutočne čerpané k 31.12.2018 v sume</w:t>
      </w:r>
    </w:p>
    <w:p>
      <w:pPr>
        <w:pStyle w:val="Normal"/>
        <w:tabs>
          <w:tab w:val="left" w:pos="286" w:leader="none"/>
        </w:tabs>
        <w:jc w:val="both"/>
        <w:rPr>
          <w:color w:val="auto"/>
        </w:rPr>
      </w:pPr>
      <w:r>
        <w:rPr>
          <w:color w:val="auto"/>
        </w:rPr>
        <w:tab/>
        <w:tab/>
        <w:t>13.437,01 EUR, čo predstavuje 100,00 % čerpanie.</w:t>
      </w:r>
    </w:p>
    <w:p>
      <w:pPr>
        <w:pStyle w:val="Normal"/>
        <w:rPr>
          <w:b/>
          <w:b/>
          <w:bCs/>
        </w:rPr>
      </w:pPr>
      <w:r>
        <w:rPr>
          <w:b/>
          <w:bCs/>
        </w:rPr>
      </w:r>
    </w:p>
    <w:p>
      <w:pPr>
        <w:pStyle w:val="Normal"/>
        <w:tabs>
          <w:tab w:val="right" w:pos="1134" w:leader="none"/>
        </w:tabs>
        <w:jc w:val="both"/>
        <w:rPr>
          <w:b/>
          <w:b/>
          <w:bCs/>
          <w:color w:val="ED1C24"/>
          <w:highlight w:val="red"/>
        </w:rPr>
      </w:pPr>
      <w:r>
        <w:rPr>
          <w:b/>
          <w:bCs/>
          <w:color w:val="ED1C24"/>
          <w:highlight w:val="red"/>
        </w:rPr>
      </w:r>
    </w:p>
    <w:p>
      <w:pPr>
        <w:pStyle w:val="Normal"/>
        <w:rPr>
          <w:b/>
          <w:b/>
          <w:bCs/>
          <w:color w:val="ED1C24"/>
          <w:highlight w:val="red"/>
        </w:rPr>
      </w:pPr>
      <w:r>
        <w:rPr>
          <w:b/>
          <w:bCs/>
          <w:color w:val="ED1C24"/>
          <w:highlight w:val="red"/>
        </w:rPr>
      </w:r>
    </w:p>
    <w:p>
      <w:pPr>
        <w:pStyle w:val="Normal"/>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bCs/>
          <w:color w:val="ED1C24"/>
          <w:sz w:val="28"/>
          <w:szCs w:val="28"/>
        </w:rPr>
      </w:pPr>
      <w:r>
        <w:rPr>
          <w:b/>
          <w:bCs/>
          <w:color w:val="ED1C24"/>
          <w:sz w:val="28"/>
          <w:szCs w:val="28"/>
        </w:rPr>
      </w:r>
    </w:p>
    <w:p>
      <w:pPr>
        <w:pStyle w:val="Normal"/>
        <w:numPr>
          <w:ilvl w:val="0"/>
          <w:numId w:val="0"/>
        </w:numPr>
        <w:tabs>
          <w:tab w:val="left" w:pos="-3060" w:leader="none"/>
          <w:tab w:val="right" w:pos="5040" w:leader="none"/>
        </w:tabs>
        <w:ind w:left="720" w:hanging="0"/>
        <w:jc w:val="left"/>
        <w:rPr>
          <w:color w:val="auto"/>
        </w:rPr>
      </w:pPr>
      <w:r>
        <w:rPr>
          <w:b/>
          <w:bCs/>
          <w:color w:val="auto"/>
          <w:sz w:val="28"/>
          <w:szCs w:val="28"/>
        </w:rPr>
        <w:t>3.</w:t>
      </w:r>
      <w:r>
        <w:rPr>
          <w:b w:val="false"/>
          <w:bCs w:val="false"/>
          <w:color w:val="auto"/>
          <w:sz w:val="28"/>
          <w:szCs w:val="28"/>
        </w:rPr>
        <w:t xml:space="preserve">  </w:t>
      </w:r>
      <w:r>
        <w:rPr>
          <w:b/>
          <w:color w:val="auto"/>
          <w:sz w:val="28"/>
          <w:szCs w:val="28"/>
        </w:rPr>
        <w:t>Hospodárenie  obce  a rozdelenie výsledku hospodárenia  za rok 2018</w:t>
      </w:r>
    </w:p>
    <w:p>
      <w:pPr>
        <w:pStyle w:val="Normal"/>
        <w:tabs>
          <w:tab w:val="left" w:pos="-3060" w:leader="none"/>
          <w:tab w:val="right" w:pos="5040" w:leader="none"/>
        </w:tabs>
        <w:rPr>
          <w:color w:val="ED1C24"/>
        </w:rPr>
      </w:pPr>
      <w:r>
        <w:rPr>
          <w:color w:val="ED1C24"/>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379845" cy="7397115"/>
            <wp:effectExtent l="0" t="0" r="0" b="0"/>
            <wp:wrapSquare wrapText="largest"/>
            <wp:docPr id="4" name="Obrázo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2" descr=""/>
                    <pic:cNvPicPr>
                      <a:picLocks noChangeAspect="1" noChangeArrowheads="1"/>
                    </pic:cNvPicPr>
                  </pic:nvPicPr>
                  <pic:blipFill>
                    <a:blip r:embed="rId8"/>
                    <a:srcRect l="-26" t="-19" r="-26" b="-19"/>
                    <a:stretch>
                      <a:fillRect/>
                    </a:stretch>
                  </pic:blipFill>
                  <pic:spPr bwMode="auto">
                    <a:xfrm>
                      <a:off x="0" y="0"/>
                      <a:ext cx="6379845" cy="7397115"/>
                    </a:xfrm>
                    <a:prstGeom prst="rect">
                      <a:avLst/>
                    </a:prstGeom>
                  </pic:spPr>
                </pic:pic>
              </a:graphicData>
            </a:graphic>
          </wp:anchor>
        </w:drawing>
      </w:r>
    </w:p>
    <w:p>
      <w:pPr>
        <w:pStyle w:val="Normal"/>
        <w:jc w:val="both"/>
        <w:rPr>
          <w:color w:val="auto"/>
        </w:rPr>
      </w:pPr>
      <w:r>
        <w:rPr>
          <w:color w:val="auto"/>
        </w:rPr>
        <w:t xml:space="preserve">Rozpočtový výsledok obce za rok 2018 zistený podľa ustanovenia § 10 ods. 3 písm. a) a b zákona č. 583/2004 Z. z. o rozpočtových pravidlách územnej samosprávy v aktuálnom znení dosiahol prebytok vo výške 153.669,57 EUR. </w:t>
      </w:r>
    </w:p>
    <w:p>
      <w:pPr>
        <w:pStyle w:val="Normal"/>
        <w:jc w:val="both"/>
        <w:rPr>
          <w:color w:val="auto"/>
        </w:rPr>
      </w:pPr>
      <w:r>
        <w:rPr>
          <w:color w:val="auto"/>
        </w:rPr>
        <w:t>Z výsledku hospodárenia sa vylučuje v roku 2018 nepoužitá dotácia na rekonštrukciu telocvične ZŠ vo výške 145.000,00 EUR.</w:t>
      </w:r>
    </w:p>
    <w:p>
      <w:pPr>
        <w:pStyle w:val="Normal"/>
        <w:jc w:val="both"/>
        <w:rPr>
          <w:color w:val="auto"/>
        </w:rPr>
      </w:pPr>
      <w:r>
        <w:rPr>
          <w:color w:val="auto"/>
        </w:rPr>
        <w:t>Finančný výsledok obce za rok 2018 na vysporiadanie v záverečnom účte, dosiahol sumu</w:t>
      </w:r>
    </w:p>
    <w:p>
      <w:pPr>
        <w:pStyle w:val="Normal"/>
        <w:jc w:val="both"/>
        <w:rPr>
          <w:color w:val="auto"/>
        </w:rPr>
      </w:pPr>
      <w:r>
        <w:rPr>
          <w:color w:val="auto"/>
        </w:rPr>
        <w:t>8.669,57 EUR. Prostriedky boli prevedené do rezervného fondu obce.</w:t>
      </w:r>
    </w:p>
    <w:p>
      <w:pPr>
        <w:pStyle w:val="Normal"/>
        <w:tabs>
          <w:tab w:val="left" w:pos="-3060" w:leader="none"/>
          <w:tab w:val="right" w:pos="5040" w:leader="none"/>
        </w:tabs>
        <w:ind w:firstLine="708"/>
        <w:jc w:val="both"/>
        <w:rPr>
          <w:color w:val="ED1C24"/>
        </w:rPr>
      </w:pPr>
      <w:r>
        <w:rPr>
          <w:color w:val="ED1C24"/>
        </w:rPr>
      </w:r>
    </w:p>
    <w:p>
      <w:pPr>
        <w:pStyle w:val="Normal"/>
        <w:jc w:val="both"/>
        <w:rPr>
          <w:color w:val="ED1C24"/>
        </w:rPr>
      </w:pPr>
      <w:r>
        <w:rPr>
          <w:color w:val="ED1C24"/>
        </w:rPr>
      </w:r>
    </w:p>
    <w:p>
      <w:pPr>
        <w:pStyle w:val="Normal"/>
        <w:jc w:val="both"/>
        <w:rPr>
          <w:color w:val="ED1C24"/>
        </w:rPr>
      </w:pPr>
      <w:r>
        <w:rPr>
          <w:color w:val="ED1C24"/>
        </w:rPr>
      </w:r>
    </w:p>
    <w:p>
      <w:pPr>
        <w:pStyle w:val="Normal"/>
        <w:jc w:val="both"/>
        <w:rPr>
          <w:color w:val="ED1C24"/>
        </w:rPr>
      </w:pPr>
      <w:r>
        <w:rPr>
          <w:color w:val="ED1C24"/>
        </w:rPr>
      </w:r>
    </w:p>
    <w:p>
      <w:pPr>
        <w:pStyle w:val="Normal"/>
        <w:jc w:val="both"/>
        <w:rPr>
          <w:color w:val="auto"/>
        </w:rPr>
      </w:pPr>
      <w:r>
        <w:rPr>
          <w:b/>
          <w:color w:val="auto"/>
          <w:sz w:val="28"/>
          <w:szCs w:val="28"/>
        </w:rPr>
        <w:t>4. Bilancia aktív a pasív k 31.12.2018</w:t>
      </w:r>
    </w:p>
    <w:p>
      <w:pPr>
        <w:pStyle w:val="Normal"/>
        <w:rPr>
          <w:b/>
          <w:b/>
          <w:color w:val="auto"/>
          <w:sz w:val="28"/>
          <w:szCs w:val="28"/>
          <w:highlight w:val="red"/>
        </w:rPr>
      </w:pPr>
      <w:r>
        <w:rPr>
          <w:b/>
          <w:color w:val="auto"/>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color w:val="auto"/>
              </w:rPr>
            </w:pPr>
            <w:r>
              <w:rPr>
                <w:b/>
                <w:color w:val="auto"/>
              </w:rPr>
              <w:t>ZS k 1.1.2018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color w:val="auto"/>
              </w:rPr>
            </w:pPr>
            <w:r>
              <w:rPr>
                <w:b/>
                <w:color w:val="auto"/>
              </w:rPr>
              <w:t>KZ  31.12.2018</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985.317,48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1.124.604,14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948.929,10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963.922,05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948.929,10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963.922,05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36.388,38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158.785,09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794,14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350,00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35.594,24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158.435,09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1.897,00</w:t>
            </w:r>
          </w:p>
        </w:tc>
      </w:tr>
    </w:tbl>
    <w:p>
      <w:pPr>
        <w:pStyle w:val="Normal"/>
        <w:jc w:val="both"/>
        <w:rPr>
          <w:b/>
          <w:b/>
          <w:color w:val="auto"/>
          <w:sz w:val="28"/>
          <w:szCs w:val="28"/>
        </w:rPr>
      </w:pPr>
      <w:r>
        <w:rPr>
          <w:b/>
          <w:color w:val="auto"/>
          <w:sz w:val="28"/>
          <w:szCs w:val="28"/>
        </w:rPr>
      </w:r>
    </w:p>
    <w:p>
      <w:pPr>
        <w:pStyle w:val="Normal"/>
        <w:jc w:val="both"/>
        <w:rPr>
          <w:b/>
          <w:b/>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color w:val="auto"/>
              </w:rPr>
            </w:pPr>
            <w:r>
              <w:rPr>
                <w:b/>
                <w:color w:val="auto"/>
              </w:rPr>
              <w:t>ZS  k 1. 1. 2018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color w:val="auto"/>
              </w:rPr>
            </w:pPr>
            <w:r>
              <w:rPr>
                <w:b/>
                <w:color w:val="auto"/>
              </w:rPr>
              <w:t>KZ  k   31. 12.2018</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b/>
                <w:b/>
                <w:bCs/>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985.317,48</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1.124.604,14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193.939,35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752.756,14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Oceňovacie rozdiely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193.939,35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752.756,14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32.234,00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162.043,24</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1.200,00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145.000,00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182,31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209,45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32.051,69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15.633,79</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759.144,13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209.804,76</w:t>
            </w:r>
          </w:p>
        </w:tc>
      </w:tr>
    </w:tbl>
    <w:p>
      <w:pPr>
        <w:pStyle w:val="Normal"/>
        <w:rPr>
          <w:b/>
          <w:b/>
          <w:color w:val="auto"/>
          <w:sz w:val="28"/>
          <w:szCs w:val="28"/>
        </w:rPr>
      </w:pPr>
      <w:r>
        <w:rPr>
          <w:b/>
          <w:color w:val="auto"/>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b/>
          <w:b/>
          <w:color w:val="ED1C24"/>
          <w:sz w:val="28"/>
          <w:szCs w:val="28"/>
        </w:rPr>
      </w:pPr>
      <w:r>
        <w:rPr>
          <w:b/>
          <w:color w:val="ED1C24"/>
          <w:sz w:val="28"/>
          <w:szCs w:val="28"/>
        </w:rPr>
      </w:r>
    </w:p>
    <w:p>
      <w:pPr>
        <w:pStyle w:val="Normal"/>
        <w:rPr>
          <w:color w:val="auto"/>
        </w:rPr>
      </w:pPr>
      <w:r>
        <w:rPr>
          <w:b/>
          <w:color w:val="auto"/>
          <w:sz w:val="28"/>
          <w:szCs w:val="28"/>
        </w:rPr>
        <w:t>5. Vývoj  pohľadávok a záväzkov  k  31.12.2018</w:t>
      </w:r>
    </w:p>
    <w:p>
      <w:pPr>
        <w:pStyle w:val="Normal"/>
        <w:rPr>
          <w:b/>
          <w:b/>
          <w:color w:val="ED1C24"/>
          <w:sz w:val="28"/>
          <w:szCs w:val="28"/>
        </w:rPr>
      </w:pPr>
      <w:r>
        <w:rPr>
          <w:b/>
          <w:color w:val="ED1C24"/>
          <w:sz w:val="28"/>
          <w:szCs w:val="28"/>
        </w:rPr>
      </w:r>
    </w:p>
    <w:p>
      <w:pPr>
        <w:pStyle w:val="Normal"/>
        <w:rPr>
          <w:color w:val="auto"/>
        </w:rPr>
      </w:pPr>
      <w:r>
        <w:rPr>
          <w:b/>
          <w:color w:val="auto"/>
          <w:sz w:val="28"/>
          <w:szCs w:val="28"/>
        </w:rPr>
        <w:t>Pohľadávky</w:t>
      </w:r>
    </w:p>
    <w:p>
      <w:pPr>
        <w:pStyle w:val="Normal"/>
        <w:rPr>
          <w:b/>
          <w:b/>
          <w:color w:val="auto"/>
          <w:sz w:val="28"/>
          <w:szCs w:val="28"/>
        </w:rPr>
      </w:pPr>
      <w:r>
        <w:rPr>
          <w:b/>
          <w:color w:val="auto"/>
          <w:sz w:val="28"/>
          <w:szCs w:val="28"/>
        </w:rPr>
      </w:r>
    </w:p>
    <w:p>
      <w:pPr>
        <w:pStyle w:val="Normal"/>
        <w:ind w:left="360" w:right="0" w:hanging="0"/>
        <w:jc w:val="both"/>
        <w:rPr>
          <w:color w:val="auto"/>
        </w:rPr>
      </w:pPr>
      <w:r>
        <w:rPr>
          <w:color w:val="auto"/>
        </w:rPr>
        <w:t>Obec k 31.12.2018 evidovala krátkodobé pohľadávky vo výške 350,00 EUR  z toho:</w:t>
      </w:r>
    </w:p>
    <w:p>
      <w:pPr>
        <w:pStyle w:val="Normal"/>
        <w:numPr>
          <w:ilvl w:val="0"/>
          <w:numId w:val="1"/>
        </w:numPr>
        <w:ind w:left="720" w:hanging="0"/>
        <w:jc w:val="both"/>
        <w:rPr>
          <w:b w:val="false"/>
          <w:b w:val="false"/>
          <w:bCs w:val="false"/>
          <w:color w:val="auto"/>
        </w:rPr>
      </w:pPr>
      <w:r>
        <w:rPr>
          <w:b w:val="false"/>
          <w:bCs w:val="false"/>
          <w:color w:val="auto"/>
        </w:rPr>
        <w:t>Nedaňové pohľadávky ( zábezpeka ORANGE) 350,00  EUR</w:t>
      </w:r>
    </w:p>
    <w:p>
      <w:pPr>
        <w:pStyle w:val="Normal"/>
        <w:tabs>
          <w:tab w:val="left" w:pos="709" w:leader="none"/>
          <w:tab w:val="left" w:pos="6663" w:leader="none"/>
        </w:tabs>
        <w:ind w:firstLine="708"/>
        <w:rPr>
          <w:color w:val="ED1C24"/>
          <w:u w:val="single"/>
        </w:rPr>
      </w:pPr>
      <w:r>
        <w:rPr>
          <w:color w:val="ED1C24"/>
          <w:u w:val="single"/>
        </w:rPr>
      </w:r>
    </w:p>
    <w:p>
      <w:pPr>
        <w:pStyle w:val="Normal"/>
        <w:tabs>
          <w:tab w:val="left" w:pos="-3060" w:leader="none"/>
        </w:tabs>
        <w:jc w:val="both"/>
        <w:rPr>
          <w:color w:val="auto"/>
        </w:rPr>
      </w:pPr>
      <w:r>
        <w:rPr>
          <w:b/>
          <w:color w:val="auto"/>
          <w:sz w:val="28"/>
          <w:szCs w:val="28"/>
        </w:rPr>
        <w:t>Záväzky</w:t>
      </w:r>
    </w:p>
    <w:p>
      <w:pPr>
        <w:pStyle w:val="Normal"/>
        <w:tabs>
          <w:tab w:val="left" w:pos="-3060" w:leader="none"/>
        </w:tabs>
        <w:jc w:val="both"/>
        <w:rPr>
          <w:b/>
          <w:b/>
          <w:color w:val="ED1C24"/>
          <w:sz w:val="28"/>
          <w:szCs w:val="28"/>
        </w:rPr>
      </w:pPr>
      <w:r>
        <w:rPr>
          <w:b/>
          <w:color w:val="ED1C24"/>
          <w:sz w:val="28"/>
          <w:szCs w:val="28"/>
        </w:rPr>
      </w:r>
    </w:p>
    <w:p>
      <w:pPr>
        <w:pStyle w:val="Normal"/>
        <w:jc w:val="both"/>
        <w:rPr>
          <w:color w:val="ED1C24"/>
        </w:rPr>
      </w:pPr>
      <w:r>
        <w:rPr>
          <w:color w:val="ED1C24"/>
        </w:rPr>
        <w:t xml:space="preserve">    </w:t>
      </w:r>
      <w:r>
        <w:rPr>
          <w:color w:val="auto"/>
        </w:rPr>
        <w:t>Obec k 31.12.2018 eviduje záväzky vo výške 15.843,24 EUR z toho:</w:t>
      </w:r>
    </w:p>
    <w:p>
      <w:pPr>
        <w:pStyle w:val="Normal"/>
        <w:numPr>
          <w:ilvl w:val="1"/>
          <w:numId w:val="2"/>
        </w:numPr>
        <w:tabs>
          <w:tab w:val="left" w:pos="851" w:leader="none"/>
        </w:tabs>
        <w:ind w:left="851" w:right="0" w:hanging="360"/>
        <w:jc w:val="both"/>
        <w:rPr>
          <w:color w:val="auto"/>
        </w:rPr>
      </w:pPr>
      <w:r>
        <w:rPr>
          <w:color w:val="auto"/>
        </w:rPr>
        <w:t>Neuhradené faktúry v lehote splatnosti</w:t>
        <w:tab/>
        <w:tab/>
        <w:t xml:space="preserve">              4.130,32 EUR</w:t>
      </w:r>
    </w:p>
    <w:p>
      <w:pPr>
        <w:pStyle w:val="Normal"/>
        <w:numPr>
          <w:ilvl w:val="1"/>
          <w:numId w:val="2"/>
        </w:numPr>
        <w:tabs>
          <w:tab w:val="left" w:pos="851" w:leader="none"/>
        </w:tabs>
        <w:ind w:left="851" w:right="0" w:hanging="360"/>
        <w:jc w:val="both"/>
        <w:rPr>
          <w:color w:val="auto"/>
        </w:rPr>
      </w:pPr>
      <w:r>
        <w:rPr>
          <w:color w:val="auto"/>
        </w:rPr>
        <w:t>Nevyplatené mzdy 12/18 v lehote splatnosti</w:t>
        <w:tab/>
        <w:tab/>
        <w:t xml:space="preserve">  5.176,10 EUR</w:t>
      </w:r>
    </w:p>
    <w:p>
      <w:pPr>
        <w:pStyle w:val="Normal"/>
        <w:numPr>
          <w:ilvl w:val="1"/>
          <w:numId w:val="2"/>
        </w:numPr>
        <w:tabs>
          <w:tab w:val="left" w:pos="851" w:leader="none"/>
        </w:tabs>
        <w:ind w:left="851" w:right="0" w:hanging="360"/>
        <w:jc w:val="both"/>
        <w:rPr>
          <w:color w:val="auto"/>
        </w:rPr>
      </w:pPr>
      <w:r>
        <w:rPr>
          <w:color w:val="auto"/>
        </w:rPr>
        <w:t>Ostatné záväzky voči zamestnancom</w:t>
        <w:tab/>
        <w:tab/>
        <w:tab/>
        <w:t xml:space="preserve">     139,31 EUR</w:t>
      </w:r>
    </w:p>
    <w:p>
      <w:pPr>
        <w:pStyle w:val="Normal"/>
        <w:numPr>
          <w:ilvl w:val="1"/>
          <w:numId w:val="2"/>
        </w:numPr>
        <w:tabs>
          <w:tab w:val="left" w:pos="851" w:leader="none"/>
        </w:tabs>
        <w:ind w:left="851" w:right="0" w:hanging="360"/>
        <w:jc w:val="both"/>
        <w:rPr>
          <w:color w:val="auto"/>
        </w:rPr>
      </w:pPr>
      <w:r>
        <w:rPr>
          <w:color w:val="auto"/>
        </w:rPr>
        <w:t>Záväzky do poisťovní (mzdy 12/18)</w:t>
        <w:tab/>
        <w:tab/>
        <w:tab/>
        <w:t xml:space="preserve">  3.305,20 EUR</w:t>
      </w:r>
    </w:p>
    <w:p>
      <w:pPr>
        <w:pStyle w:val="Normal"/>
        <w:numPr>
          <w:ilvl w:val="1"/>
          <w:numId w:val="2"/>
        </w:numPr>
        <w:tabs>
          <w:tab w:val="left" w:pos="851" w:leader="none"/>
        </w:tabs>
        <w:ind w:left="851" w:right="0" w:hanging="360"/>
        <w:jc w:val="both"/>
        <w:rPr>
          <w:color w:val="auto"/>
        </w:rPr>
      </w:pPr>
      <w:r>
        <w:rPr>
          <w:color w:val="auto"/>
        </w:rPr>
        <w:t>Daň zo mzdy (12/18)</w:t>
        <w:tab/>
        <w:tab/>
        <w:tab/>
        <w:tab/>
        <w:tab/>
        <w:t xml:space="preserve">  2.882,86 EUR</w:t>
      </w:r>
    </w:p>
    <w:p>
      <w:pPr>
        <w:pStyle w:val="Normal"/>
        <w:jc w:val="both"/>
        <w:rPr>
          <w:color w:val="auto"/>
        </w:rPr>
      </w:pPr>
      <w:r>
        <w:rPr>
          <w:color w:val="auto"/>
        </w:rPr>
        <w:tab/>
        <w:t xml:space="preserve">  Záväzky zo SF</w:t>
        <w:tab/>
        <w:tab/>
        <w:tab/>
        <w:tab/>
        <w:tab/>
        <w:tab/>
        <w:t xml:space="preserve">     209.45 EUR</w:t>
      </w:r>
    </w:p>
    <w:p>
      <w:pPr>
        <w:pStyle w:val="Normal"/>
        <w:tabs>
          <w:tab w:val="left" w:pos="851" w:leader="none"/>
        </w:tabs>
        <w:ind w:hanging="0"/>
        <w:jc w:val="both"/>
        <w:rPr>
          <w:b w:val="false"/>
          <w:b w:val="false"/>
          <w:bCs w:val="false"/>
          <w:color w:val="auto"/>
          <w:sz w:val="24"/>
          <w:szCs w:val="24"/>
        </w:rPr>
      </w:pPr>
      <w:r>
        <w:rPr>
          <w:b w:val="false"/>
          <w:bCs w:val="false"/>
          <w:color w:val="auto"/>
          <w:sz w:val="24"/>
          <w:szCs w:val="24"/>
        </w:rPr>
      </w:r>
    </w:p>
    <w:p>
      <w:pPr>
        <w:pStyle w:val="Normal"/>
        <w:tabs>
          <w:tab w:val="left" w:pos="851" w:leader="none"/>
        </w:tabs>
        <w:ind w:hanging="0"/>
        <w:jc w:val="both"/>
        <w:rPr>
          <w:color w:val="auto"/>
        </w:rPr>
      </w:pPr>
      <w:r>
        <w:rPr>
          <w:b w:val="false"/>
          <w:bCs w:val="false"/>
          <w:color w:val="auto"/>
          <w:sz w:val="24"/>
          <w:szCs w:val="24"/>
        </w:rPr>
        <w:t>Podľa § 17, odsek 6-8 Zákona o 583/2004 je obec povinná sledovať  úverovú zadĺženosť, ktorá výškou zostatku návratných zdrojov financovania (komerčných úverov)  nesmie prekročiť 60% objemu bežných príjmov predchádzajúceho roka a splátky úverov nesmú prekročiť 25% uvedeného         porovnávacieho ukazovateľa. Obec tieto podmienky dodržala a neprekročila.</w:t>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1087" w:leader="none"/>
        </w:tabs>
        <w:ind w:left="54" w:hanging="0"/>
        <w:jc w:val="both"/>
        <w:rPr>
          <w:b/>
          <w:b/>
          <w:color w:val="2E74B5"/>
          <w:sz w:val="28"/>
          <w:szCs w:val="28"/>
        </w:rPr>
      </w:pPr>
      <w:r>
        <w:rPr>
          <w:b/>
          <w:color w:val="auto"/>
          <w:sz w:val="28"/>
          <w:szCs w:val="28"/>
        </w:rPr>
        <w:t>6. Ostatné dôležité informácie</w:t>
      </w:r>
    </w:p>
    <w:p>
      <w:pPr>
        <w:pStyle w:val="Normal"/>
        <w:tabs>
          <w:tab w:val="left" w:pos="1087" w:leader="none"/>
        </w:tabs>
        <w:ind w:left="54" w:hanging="0"/>
        <w:jc w:val="both"/>
        <w:rPr>
          <w:b/>
          <w:b/>
          <w:color w:val="auto"/>
          <w:sz w:val="28"/>
          <w:szCs w:val="28"/>
        </w:rPr>
      </w:pPr>
      <w:r>
        <w:rPr>
          <w:b/>
          <w:color w:val="auto"/>
          <w:sz w:val="28"/>
          <w:szCs w:val="28"/>
        </w:rPr>
      </w:r>
    </w:p>
    <w:p>
      <w:pPr>
        <w:pStyle w:val="Normal"/>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color w:val="auto"/>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D1C24"/>
          <w:highlight w:val="lightGray"/>
        </w:rPr>
      </w:pPr>
      <w:r>
        <w:rPr>
          <w:color w:val="ED1C24"/>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177.809,09</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177.809,09</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EF413D"/>
              </w:rPr>
            </w:pPr>
            <w:r>
              <w:rPr>
                <w:color w:val="auto"/>
              </w:rPr>
              <w:t>0</w:t>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p>
      <w:pPr>
        <w:pStyle w:val="Normal"/>
        <w:ind w:left="360" w:hanging="0"/>
        <w:jc w:val="both"/>
        <w:rPr>
          <w:color w:val="ED1C24"/>
        </w:rPr>
      </w:pPr>
      <w:r>
        <w:rPr>
          <w:color w:val="ED1C24"/>
        </w:rPr>
      </w:r>
    </w:p>
    <w:tbl>
      <w:tblPr>
        <w:tblW w:w="10104"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317"/>
        <w:gridCol w:w="3056"/>
        <w:gridCol w:w="1507"/>
        <w:gridCol w:w="1799"/>
        <w:gridCol w:w="1425"/>
      </w:tblGrid>
      <w:tr>
        <w:trPr/>
        <w:tc>
          <w:tcPr>
            <w:tcW w:w="2317"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Poskytovateľ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t xml:space="preserve">   </w:t>
            </w:r>
          </w:p>
          <w:p>
            <w:pPr>
              <w:pStyle w:val="Normal"/>
              <w:rPr/>
            </w:pPr>
            <w:r>
              <w:rPr>
                <w:b/>
                <w:color w:val="auto"/>
                <w:sz w:val="20"/>
                <w:szCs w:val="20"/>
              </w:rPr>
              <w:t xml:space="preserve">        </w:t>
            </w:r>
            <w:r>
              <w:rPr>
                <w:b/>
                <w:color w:val="auto"/>
                <w:sz w:val="20"/>
                <w:szCs w:val="20"/>
              </w:rPr>
              <w:t>- 1 -</w:t>
            </w:r>
          </w:p>
        </w:tc>
        <w:tc>
          <w:tcPr>
            <w:tcW w:w="3056"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Účelové určenie grantu, transferu uviesť : školstvo, matrika, .... </w:t>
            </w:r>
          </w:p>
          <w:p>
            <w:pPr>
              <w:pStyle w:val="Normal"/>
              <w:rPr>
                <w:b/>
                <w:b/>
                <w:color w:val="auto"/>
                <w:sz w:val="20"/>
                <w:szCs w:val="20"/>
              </w:rPr>
            </w:pPr>
            <w:r>
              <w:rPr>
                <w:b/>
                <w:color w:val="auto"/>
                <w:sz w:val="20"/>
                <w:szCs w:val="20"/>
              </w:rPr>
              <w:t>- bežné výdavky</w:t>
            </w:r>
          </w:p>
          <w:p>
            <w:pPr>
              <w:pStyle w:val="Normal"/>
              <w:rPr>
                <w:b/>
                <w:b/>
                <w:color w:val="auto"/>
                <w:sz w:val="20"/>
                <w:szCs w:val="20"/>
              </w:rPr>
            </w:pPr>
            <w:r>
              <w:rPr>
                <w:b/>
                <w:color w:val="auto"/>
                <w:sz w:val="20"/>
                <w:szCs w:val="20"/>
              </w:rPr>
              <w:t>- kapitálové výdavky</w:t>
            </w:r>
          </w:p>
          <w:p>
            <w:pPr>
              <w:pStyle w:val="Normal"/>
              <w:jc w:val="center"/>
              <w:rPr>
                <w:b/>
                <w:b/>
                <w:color w:val="auto"/>
                <w:sz w:val="20"/>
                <w:szCs w:val="20"/>
              </w:rPr>
            </w:pPr>
            <w:r>
              <w:rPr>
                <w:b/>
                <w:color w:val="auto"/>
                <w:sz w:val="20"/>
                <w:szCs w:val="20"/>
              </w:rPr>
              <w:t>- 2 -</w:t>
            </w:r>
          </w:p>
        </w:tc>
        <w:tc>
          <w:tcPr>
            <w:tcW w:w="1507"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Suma  poskytnutých</w:t>
            </w:r>
          </w:p>
          <w:p>
            <w:pPr>
              <w:pStyle w:val="Normal"/>
              <w:rPr>
                <w:b/>
                <w:b/>
                <w:color w:val="auto"/>
                <w:sz w:val="20"/>
                <w:szCs w:val="20"/>
              </w:rPr>
            </w:pPr>
            <w:r>
              <w:rPr>
                <w:b/>
                <w:color w:val="auto"/>
                <w:sz w:val="20"/>
                <w:szCs w:val="20"/>
              </w:rPr>
              <w:t xml:space="preserve">finančných prostriedkov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- 3 -</w:t>
            </w:r>
          </w:p>
        </w:tc>
        <w:tc>
          <w:tcPr>
            <w:tcW w:w="1799"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Suma skutočne použitých finančných prostriedkov  </w:t>
            </w:r>
          </w:p>
          <w:p>
            <w:pPr>
              <w:pStyle w:val="Normal"/>
              <w:jc w:val="center"/>
              <w:rPr>
                <w:b/>
                <w:b/>
                <w:color w:val="auto"/>
                <w:sz w:val="20"/>
                <w:szCs w:val="20"/>
              </w:rPr>
            </w:pPr>
            <w:r>
              <w:rPr>
                <w:b/>
                <w:color w:val="auto"/>
                <w:sz w:val="20"/>
                <w:szCs w:val="20"/>
              </w:rPr>
              <w:t>- 4 -</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rPr>
                <w:b/>
                <w:b/>
                <w:color w:val="auto"/>
                <w:sz w:val="20"/>
                <w:szCs w:val="20"/>
              </w:rPr>
            </w:pPr>
            <w:r>
              <w:rPr>
                <w:b/>
                <w:color w:val="auto"/>
                <w:sz w:val="20"/>
                <w:szCs w:val="20"/>
              </w:rPr>
              <w:t>Rozdiel</w:t>
            </w:r>
          </w:p>
          <w:p>
            <w:pPr>
              <w:pStyle w:val="Normal"/>
              <w:rPr>
                <w:b/>
                <w:b/>
                <w:color w:val="auto"/>
                <w:sz w:val="20"/>
                <w:szCs w:val="20"/>
              </w:rPr>
            </w:pPr>
            <w:r>
              <w:rPr>
                <w:b/>
                <w:color w:val="auto"/>
                <w:sz w:val="20"/>
                <w:szCs w:val="20"/>
              </w:rPr>
              <w:t>(stĺ.3 - stĺ.4 )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- 5 -</w:t>
            </w:r>
          </w:p>
        </w:tc>
      </w:tr>
      <w:tr>
        <w:trPr>
          <w:trHeight w:val="278"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MŽP</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 xml:space="preserve">BT - ŽP </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103,83</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103,83</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REGOB + adries</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387,78</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387,78</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 xml:space="preserve">Krajský stavebný  úrad </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Stavebný úsek</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1.227,66</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1.227,66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Krajský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 xml:space="preserve">BT - Cestná doprava </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47,78</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47,78</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98"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Voľby</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526,86</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526,86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5"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Skladník CO</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33,11</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33,11</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9"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Matrika</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4.466,45</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4.466,45</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7"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KŠÚ</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ZŠ</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588.214,81</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588.214,81</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88" w:hRule="atLeast"/>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 xml:space="preserve">KŠU </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MŠ</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994,00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994,00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UPSVaR</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Transfer – osob. príjemca</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4.853,76</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4.853,76</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DHZ SR</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DHZ</w:t>
            </w:r>
          </w:p>
        </w:tc>
        <w:tc>
          <w:tcPr>
            <w:tcW w:w="1507"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3.000,00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3.000,00</w:t>
            </w:r>
          </w:p>
        </w:tc>
        <w:tc>
          <w:tcPr>
            <w:tcW w:w="14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tabs>
          <w:tab w:val="left" w:pos="690" w:leader="none"/>
        </w:tabs>
        <w:ind w:left="426" w:hanging="426"/>
        <w:jc w:val="both"/>
        <w:rPr>
          <w:b/>
          <w:b/>
          <w:bCs/>
          <w:color w:val="auto"/>
        </w:rPr>
      </w:pPr>
      <w:r>
        <w:rPr>
          <w:b/>
          <w:bCs/>
          <w:color w:val="auto"/>
        </w:rPr>
        <w:t>c) Finančné usporiadanie voči štátnym fondom</w:t>
      </w:r>
    </w:p>
    <w:p>
      <w:pPr>
        <w:pStyle w:val="Normal"/>
        <w:tabs>
          <w:tab w:val="left" w:pos="690" w:leader="none"/>
        </w:tabs>
        <w:ind w:left="426" w:hanging="426"/>
        <w:jc w:val="both"/>
        <w:rPr>
          <w:color w:val="auto"/>
        </w:rPr>
      </w:pPr>
      <w:r>
        <w:rPr>
          <w:color w:val="auto"/>
        </w:rPr>
      </w:r>
    </w:p>
    <w:p>
      <w:pPr>
        <w:pStyle w:val="Normal"/>
        <w:jc w:val="both"/>
        <w:rPr>
          <w:b w:val="false"/>
          <w:b w:val="false"/>
          <w:bCs w:val="false"/>
          <w:color w:val="auto"/>
        </w:rPr>
      </w:pPr>
      <w:r>
        <w:rPr>
          <w:b w:val="false"/>
          <w:bCs w:val="false"/>
          <w:color w:val="auto"/>
        </w:rPr>
        <w:tab/>
        <w:t xml:space="preserve">Obec neuzatvorila v roku 2018 žiadnu zmluvu so štátnymi fondmi. </w:t>
      </w:r>
    </w:p>
    <w:p>
      <w:pPr>
        <w:pStyle w:val="Normal"/>
        <w:jc w:val="both"/>
        <w:rPr>
          <w:b w:val="false"/>
          <w:b w:val="false"/>
          <w:bCs w:val="false"/>
          <w:color w:val="auto"/>
        </w:rPr>
      </w:pPr>
      <w:r>
        <w:rPr>
          <w:b w:val="false"/>
          <w:bCs w:val="false"/>
          <w:color w:val="auto"/>
        </w:rPr>
      </w:r>
    </w:p>
    <w:p>
      <w:pPr>
        <w:pStyle w:val="Normal"/>
        <w:tabs>
          <w:tab w:val="left" w:pos="426" w:leader="none"/>
        </w:tabs>
        <w:ind w:left="450" w:hanging="426"/>
        <w:jc w:val="both"/>
        <w:rPr>
          <w:b/>
          <w:b/>
          <w:bCs/>
          <w:color w:val="auto"/>
        </w:rPr>
      </w:pPr>
      <w:r>
        <w:rPr>
          <w:b/>
          <w:bCs/>
          <w:color w:val="auto"/>
        </w:rPr>
        <w:t>d) Finančné usporiadanie voči rozpočtom iných obciam</w:t>
      </w:r>
    </w:p>
    <w:p>
      <w:pPr>
        <w:pStyle w:val="Normal"/>
        <w:tabs>
          <w:tab w:val="left" w:pos="426" w:leader="none"/>
        </w:tabs>
        <w:ind w:left="450" w:hanging="426"/>
        <w:jc w:val="both"/>
        <w:rPr>
          <w:color w:val="auto"/>
        </w:rPr>
      </w:pPr>
      <w:r>
        <w:rPr>
          <w:color w:val="auto"/>
        </w:rPr>
      </w:r>
    </w:p>
    <w:p>
      <w:pPr>
        <w:pStyle w:val="Normal"/>
        <w:tabs>
          <w:tab w:val="left" w:pos="426" w:leader="none"/>
        </w:tabs>
        <w:ind w:left="450" w:hanging="426"/>
        <w:jc w:val="both"/>
        <w:rPr>
          <w:b w:val="false"/>
          <w:b w:val="false"/>
          <w:bCs w:val="false"/>
          <w:color w:val="auto"/>
        </w:rPr>
      </w:pPr>
      <w:r>
        <w:rPr>
          <w:b w:val="false"/>
          <w:bCs w:val="false"/>
          <w:color w:val="auto"/>
        </w:rPr>
        <w:t xml:space="preserve">   </w:t>
      </w:r>
      <w:r>
        <w:rPr>
          <w:b w:val="false"/>
          <w:bCs w:val="false"/>
          <w:color w:val="auto"/>
        </w:rPr>
        <w:tab/>
        <w:tab/>
        <w:tab/>
        <w:t xml:space="preserve">Obec neuzatvorila v roku 2018 žiadnu zmluvu s inými obcami. </w:t>
      </w:r>
    </w:p>
    <w:p>
      <w:pPr>
        <w:pStyle w:val="Normal"/>
        <w:jc w:val="both"/>
        <w:rPr>
          <w:b w:val="false"/>
          <w:b w:val="false"/>
          <w:bCs w:val="false"/>
          <w:color w:val="auto"/>
          <w:u w:val="single"/>
        </w:rPr>
      </w:pPr>
      <w:r>
        <w:rPr>
          <w:b w:val="false"/>
          <w:bCs w:val="false"/>
          <w:color w:val="auto"/>
          <w:u w:val="single"/>
        </w:rPr>
      </w:r>
    </w:p>
    <w:p>
      <w:pPr>
        <w:pStyle w:val="Normal"/>
        <w:tabs>
          <w:tab w:val="left" w:pos="426" w:leader="none"/>
          <w:tab w:val="left" w:pos="465" w:leader="none"/>
        </w:tabs>
        <w:ind w:left="426" w:hanging="426"/>
        <w:jc w:val="both"/>
        <w:rPr>
          <w:b/>
          <w:b/>
          <w:bCs/>
          <w:color w:val="auto"/>
        </w:rPr>
      </w:pPr>
      <w:r>
        <w:rPr>
          <w:b/>
          <w:bCs/>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r>
    </w:p>
    <w:p>
      <w:pPr>
        <w:pStyle w:val="Normal"/>
        <w:tabs>
          <w:tab w:val="left" w:pos="426" w:leader="none"/>
          <w:tab w:val="left" w:pos="465" w:leader="none"/>
        </w:tabs>
        <w:ind w:left="426" w:hanging="426"/>
        <w:jc w:val="both"/>
        <w:rPr>
          <w:b w:val="false"/>
          <w:b w:val="false"/>
          <w:bCs w:val="false"/>
          <w:color w:val="auto"/>
        </w:rPr>
      </w:pPr>
      <w:r>
        <w:rPr>
          <w:b w:val="false"/>
          <w:bCs w:val="false"/>
          <w:color w:val="auto"/>
        </w:rPr>
        <w:tab/>
        <w:t>Obec neuzatvorila v roku 2018 žiadnu zmluvu s VÚC.</w:t>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jc w:val="both"/>
        <w:rPr>
          <w:color w:val="ED1C24"/>
        </w:rPr>
      </w:pPr>
      <w:r>
        <w:rPr>
          <w:b/>
          <w:bCs/>
          <w:color w:val="auto"/>
          <w:sz w:val="28"/>
          <w:szCs w:val="28"/>
        </w:rPr>
        <w:t>Prehľad o poskytnutých dotáciách</w:t>
      </w:r>
    </w:p>
    <w:p>
      <w:pPr>
        <w:pStyle w:val="Normal"/>
        <w:rPr>
          <w:color w:val="auto"/>
        </w:rPr>
      </w:pPr>
      <w:r>
        <w:rPr>
          <w:color w:val="auto"/>
        </w:rPr>
      </w:r>
    </w:p>
    <w:p>
      <w:pPr>
        <w:pStyle w:val="Normal"/>
        <w:jc w:val="both"/>
        <w:rPr>
          <w:color w:val="auto"/>
        </w:rPr>
      </w:pPr>
      <w:r>
        <w:rPr>
          <w:color w:val="auto"/>
        </w:rPr>
        <w:t xml:space="preserve">Obec v roku 2018 poskytla dotácie v súlade so VZN o dotáciách, právnickým osobám, fyzickým osobám - podnikateľom na podporu všeobecne prospešných služieb,  na všeobecne prospešný alebo verejnoprospešný účel. </w:t>
      </w:r>
    </w:p>
    <w:p>
      <w:pPr>
        <w:pStyle w:val="Normal"/>
        <w:jc w:val="both"/>
        <w:rPr>
          <w:color w:val="auto"/>
        </w:rPr>
      </w:pPr>
      <w:r>
        <w:rPr>
          <w:color w:val="auto"/>
        </w:rPr>
      </w:r>
    </w:p>
    <w:p>
      <w:pPr>
        <w:pStyle w:val="Normal"/>
        <w:jc w:val="both"/>
        <w:rPr>
          <w:color w:val="auto"/>
        </w:rPr>
      </w:pPr>
      <w:r>
        <w:rPr>
          <w:color w:val="auto"/>
        </w:rPr>
      </w:r>
    </w:p>
    <w:p>
      <w:pPr>
        <w:pStyle w:val="Normal"/>
        <w:jc w:val="both"/>
        <w:rPr>
          <w:color w:val="auto"/>
        </w:rPr>
      </w:pPr>
      <w:r>
        <w:rPr>
          <w:color w:val="auto"/>
        </w:rPr>
        <w:t>K 31.12.2018 boli vyúčtované všetky dotácie, ktoré boli poskytnuté v súlade so VZN o dotáciách.</w:t>
      </w:r>
    </w:p>
    <w:p>
      <w:pPr>
        <w:pStyle w:val="Normal"/>
        <w:tabs>
          <w:tab w:val="left" w:pos="11880" w:leader="none"/>
        </w:tabs>
        <w:ind w:left="720" w:hanging="0"/>
        <w:jc w:val="both"/>
        <w:rPr>
          <w:bCs/>
          <w:color w:val="ED1C24"/>
          <w:sz w:val="16"/>
          <w:szCs w:val="16"/>
          <w:highlight w:val="red"/>
        </w:rPr>
      </w:pPr>
      <w:r>
        <w:rPr>
          <w:bCs/>
          <w:color w:val="ED1C24"/>
          <w:sz w:val="16"/>
          <w:szCs w:val="16"/>
          <w:highlight w:val="red"/>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color w:val="auto"/>
              </w:rPr>
            </w:pPr>
            <w:r>
              <w:rPr>
                <w:b/>
                <w:color w:val="auto"/>
                <w:sz w:val="22"/>
                <w:szCs w:val="22"/>
              </w:rPr>
              <w:t>k  31.12.2017</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color w:val="auto"/>
              </w:rPr>
            </w:pPr>
            <w:r>
              <w:rPr>
                <w:b/>
                <w:color w:val="auto"/>
                <w:sz w:val="22"/>
                <w:szCs w:val="22"/>
              </w:rPr>
              <w:t>k 31.12.2018</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color w:val="auto"/>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color w:val="auto"/>
              </w:rPr>
            </w:pPr>
            <w:r>
              <w:rPr>
                <w:b/>
                <w:color w:val="auto"/>
                <w:sz w:val="22"/>
                <w:szCs w:val="22"/>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2" w:name="_Hlk431753295"/>
            <w:bookmarkStart w:id="3" w:name="OLE_LINK25"/>
            <w:bookmarkStart w:id="4" w:name="OLE_LINK24"/>
            <w:bookmarkEnd w:id="2"/>
            <w:bookmarkEnd w:id="3"/>
            <w:bookmarkEnd w:id="4"/>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color w:val="auto"/>
              </w:rPr>
            </w:pPr>
            <w:r>
              <w:rPr>
                <w:b/>
                <w:color w:val="auto"/>
              </w:rPr>
              <w:t>948.929,10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color w:val="auto"/>
              </w:rPr>
            </w:pPr>
            <w:r>
              <w:rPr>
                <w:b/>
                <w:color w:val="auto"/>
              </w:rPr>
              <w:t>963.922,05</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115.332,65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143.411,23</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166.067,24</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166.067,24</w:t>
            </w:r>
          </w:p>
        </w:tc>
      </w:tr>
      <w:tr>
        <w:trPr>
          <w:trHeight w:val="26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667.529,21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595.164,47</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color w:val="auto"/>
              </w:rPr>
            </w:pPr>
            <w:r>
              <w:rPr>
                <w:color w:val="auto"/>
              </w:rPr>
              <w:t>50.989,09</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sz w:val="22"/>
                <w:szCs w:val="22"/>
              </w:rPr>
              <w:t>5.421,32</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sz w:val="22"/>
                <w:szCs w:val="22"/>
              </w:rPr>
              <w:t>2.868,70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color w:val="auto"/>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color w:val="auto"/>
              </w:rPr>
            </w:pPr>
            <w:r>
              <w:rPr>
                <w:b/>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color w:val="auto"/>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color w:val="auto"/>
              </w:rPr>
            </w:pPr>
            <w:r>
              <w:rPr>
                <w:b/>
                <w:color w:val="auto"/>
              </w:rPr>
              <w:t>948.929,10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color w:val="auto"/>
              </w:rPr>
            </w:pPr>
            <w:r>
              <w:rPr>
                <w:b/>
                <w:color w:val="auto"/>
              </w:rPr>
              <w:t>963.922,05</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color w:val="auto"/>
        </w:rPr>
      </w:pPr>
      <w:r>
        <w:rPr>
          <w:color w:val="auto"/>
        </w:rPr>
        <w:tab/>
        <w:t>V rámci individuálne účtovnej závierky obce za rok 2018 boli vyčíslené nasledujúce druhy nákladov, ktoré boli zahrnuté vo výkaze ziskov a strát Úč ROPO SFOV 2-01</w:t>
      </w:r>
    </w:p>
    <w:p>
      <w:pPr>
        <w:pStyle w:val="Normal"/>
        <w:ind w:left="54" w:hanging="0"/>
        <w:jc w:val="both"/>
        <w:rPr>
          <w:color w:val="auto"/>
          <w:highlight w:val="red"/>
        </w:rPr>
      </w:pPr>
      <w:r>
        <w:rPr>
          <w:color w:val="auto"/>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ED1C24"/>
        </w:rPr>
      </w:pPr>
      <w:r>
        <w:rPr>
          <w:b/>
          <w:color w:val="ED1C24"/>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7"/>
        <w:gridCol w:w="5959"/>
        <w:gridCol w:w="1416"/>
        <w:gridCol w:w="1478"/>
      </w:tblGrid>
      <w:tr>
        <w:trPr/>
        <w:tc>
          <w:tcPr>
            <w:tcW w:w="1127"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59"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color w:val="auto"/>
              </w:rPr>
            </w:pPr>
            <w:r>
              <w:rPr>
                <w:b/>
                <w:color w:val="auto"/>
              </w:rPr>
              <w:t>Suma k  31.12.2017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color w:val="auto"/>
              </w:rPr>
            </w:pPr>
            <w:r>
              <w:rPr>
                <w:b/>
                <w:color w:val="auto"/>
              </w:rPr>
              <w:t>Suma k  31.12.2018</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color w:val="auto"/>
              </w:rPr>
            </w:pPr>
            <w:r>
              <w:rPr>
                <w:b/>
                <w:bCs/>
                <w:color w:val="auto"/>
              </w:rPr>
              <w:t>24.154,97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color w:val="auto"/>
              </w:rPr>
            </w:pPr>
            <w:r>
              <w:rPr>
                <w:b/>
                <w:bCs/>
                <w:color w:val="auto"/>
              </w:rPr>
              <w:t>48.168,12</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auto"/>
              </w:rPr>
            </w:pPr>
            <w:r>
              <w:rPr>
                <w:color w:val="auto"/>
              </w:rPr>
              <w:t>24.154,97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23.518,32</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color w:val="auto"/>
              </w:rPr>
            </w:pPr>
            <w:r>
              <w:rPr>
                <w:color w:val="auto"/>
              </w:rPr>
              <w:t>24.649,80</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264.507,06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114.171,83</w:t>
            </w:r>
          </w:p>
        </w:tc>
      </w:tr>
      <w:tr>
        <w:trPr/>
        <w:tc>
          <w:tcPr>
            <w:tcW w:w="112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34.905,07</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802,57</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1.941,67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3.222,45</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262.565,39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75.241,74</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137.816,53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127.747,45</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99.134,14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92.095,58</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38.296,39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30.546,69</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3.830,18</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386,00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1.275,00</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149,48</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149,48</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color w:val="auto"/>
              </w:rPr>
              <w:t>4.588,16</w:t>
            </w:r>
          </w:p>
        </w:tc>
      </w:tr>
      <w:tr>
        <w:trPr/>
        <w:tc>
          <w:tcPr>
            <w:tcW w:w="112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66,60</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4.521,56</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color w:val="auto"/>
              </w:rPr>
              <w:t>35.954,50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color w:val="auto"/>
              </w:rPr>
              <w:t>194.536,93</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35.954,40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193.336,93</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1.200,00</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18.226,00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472,76</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18.226,00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472,76</w:t>
            </w:r>
          </w:p>
        </w:tc>
      </w:tr>
      <w:tr>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color w:val="auto"/>
              </w:rPr>
              <w:t>129.292,75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color w:val="auto"/>
              </w:rPr>
              <w:t>198.104,99</w:t>
            </w:r>
          </w:p>
        </w:tc>
      </w:tr>
      <w:tr>
        <w:trPr/>
        <w:tc>
          <w:tcPr>
            <w:tcW w:w="1127"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b w:val="false"/>
                <w:bCs w:val="false"/>
                <w:color w:val="auto"/>
              </w:rPr>
              <w:t>129.292,75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b w:val="false"/>
                <w:bCs w:val="false"/>
                <w:color w:val="auto"/>
              </w:rPr>
              <w:t>177.809,09</w:t>
            </w:r>
          </w:p>
        </w:tc>
      </w:tr>
      <w:tr>
        <w:trPr/>
        <w:tc>
          <w:tcPr>
            <w:tcW w:w="1127"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4.775,00</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7.158,00</w:t>
            </w:r>
          </w:p>
        </w:tc>
      </w:tr>
      <w:tr>
        <w:trPr/>
        <w:tc>
          <w:tcPr>
            <w:tcW w:w="1127"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5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8.362,90</w:t>
            </w:r>
          </w:p>
        </w:tc>
      </w:tr>
      <w:tr>
        <w:trPr>
          <w:trHeight w:val="422" w:hRule="atLeast"/>
        </w:trPr>
        <w:tc>
          <w:tcPr>
            <w:tcW w:w="112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59"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609.951,81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687.939,72</w:t>
            </w:r>
          </w:p>
        </w:tc>
      </w:tr>
    </w:tbl>
    <w:p>
      <w:pPr>
        <w:pStyle w:val="Normal"/>
        <w:ind w:left="54" w:hanging="0"/>
        <w:jc w:val="both"/>
        <w:rPr>
          <w:b/>
          <w:b/>
          <w:color w:val="ED1C24"/>
        </w:rPr>
      </w:pPr>
      <w:r>
        <w:rPr>
          <w:b/>
          <w:color w:val="ED1C24"/>
        </w:rPr>
      </w:r>
    </w:p>
    <w:p>
      <w:pPr>
        <w:pStyle w:val="Normal"/>
        <w:ind w:left="54" w:firstLine="654"/>
        <w:jc w:val="both"/>
        <w:rPr>
          <w:b/>
          <w:b/>
          <w:color w:val="FF0000"/>
        </w:rPr>
      </w:pPr>
      <w:r>
        <w:rPr>
          <w:color w:val="ED1C24"/>
        </w:rPr>
        <w:t xml:space="preserve"> </w:t>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auto"/>
        </w:rPr>
      </w:pPr>
      <w:r>
        <w:rPr>
          <w:b/>
          <w:color w:val="auto"/>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7"/>
        <w:gridCol w:w="1416"/>
        <w:gridCol w:w="1453"/>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7"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color w:val="auto"/>
              </w:rPr>
            </w:pPr>
            <w:r>
              <w:rPr>
                <w:b/>
                <w:color w:val="auto"/>
              </w:rPr>
              <w:t>Suma k  31.12.2017</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color w:val="auto"/>
              </w:rPr>
            </w:pPr>
            <w:r>
              <w:rPr>
                <w:b/>
                <w:color w:val="auto"/>
              </w:rPr>
              <w:t>Suma k  31.12.2018</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color w:val="auto"/>
              </w:rPr>
              <w:t>3.150,00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color w:val="auto"/>
              </w:rPr>
              <w:t>3.523,30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3.150,00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3.523,30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bCs/>
              </w:rPr>
            </w:pPr>
            <w:r>
              <w:rPr>
                <w:b/>
                <w:bCs/>
                <w:color w:val="auto"/>
              </w:rPr>
              <w:t>62</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color w:val="auto"/>
              </w:rPr>
              <w:t>Aktivácia</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421.047,17</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474.014,87</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399.166,67</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461.025,98</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21.880,50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12.988,89</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7.354,24</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7.354,24</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105,42</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105,42</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155.556,14</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174.646,12</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131.325,85</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11.361,37</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95.551,08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697 -  Výnosy samosprávy z BT od iných sub.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3.000,00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7"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24.230,29</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64.733,67</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0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color w:val="auto"/>
              </w:rPr>
              <w:t>579.858,73</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color w:val="auto"/>
              </w:rPr>
              <w:t>659.538,53</w:t>
            </w:r>
          </w:p>
        </w:tc>
      </w:tr>
    </w:tbl>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4"/>
        <w:gridCol w:w="3"/>
        <w:gridCol w:w="1412"/>
        <w:gridCol w:w="3"/>
        <w:gridCol w:w="1454"/>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7"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5"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color w:val="auto"/>
              </w:rPr>
            </w:pPr>
            <w:r>
              <w:rPr>
                <w:b/>
                <w:color w:val="auto"/>
              </w:rPr>
              <w:t>Suma k  31.12.2017</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color w:val="auto"/>
              </w:rPr>
            </w:pPr>
            <w:r>
              <w:rPr>
                <w:b/>
                <w:color w:val="auto"/>
              </w:rPr>
              <w:t>Suma k  31.12.2018</w:t>
            </w:r>
          </w:p>
        </w:tc>
      </w:tr>
      <w:tr>
        <w:trPr>
          <w:trHeight w:val="310" w:hRule="atLeast"/>
        </w:trPr>
        <w:tc>
          <w:tcPr>
            <w:tcW w:w="7232"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5"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-30.093,08</w:t>
            </w:r>
          </w:p>
        </w:tc>
        <w:tc>
          <w:tcPr>
            <w:tcW w:w="145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-28.401,19</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07"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5"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07"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5"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color w:val="auto"/>
              </w:rPr>
            </w:pPr>
            <w:r>
              <w:rPr>
                <w:color w:val="auto"/>
              </w:rPr>
              <w:t>0,00</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36" w:hRule="atLeast"/>
        </w:trPr>
        <w:tc>
          <w:tcPr>
            <w:tcW w:w="7232"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5"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color w:val="auto"/>
              </w:rPr>
            </w:pPr>
            <w:r>
              <w:rPr>
                <w:b/>
                <w:bCs/>
                <w:color w:val="auto"/>
              </w:rPr>
              <w:t>-30.093,08</w:t>
            </w:r>
          </w:p>
        </w:tc>
        <w:tc>
          <w:tcPr>
            <w:tcW w:w="145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color w:val="auto"/>
              </w:rPr>
            </w:pPr>
            <w:r>
              <w:rPr>
                <w:b/>
                <w:bCs/>
                <w:color w:val="auto"/>
              </w:rPr>
              <w:t>-28.401,19</w:t>
            </w:r>
          </w:p>
        </w:tc>
      </w:tr>
    </w:tbl>
    <w:p>
      <w:pPr>
        <w:pStyle w:val="Normal"/>
        <w:tabs>
          <w:tab w:val="left" w:pos="1087" w:leader="none"/>
        </w:tabs>
        <w:jc w:val="both"/>
        <w:rPr>
          <w:color w:val="2E74B5"/>
        </w:rPr>
      </w:pPr>
      <w:r>
        <w:br w:type="page"/>
      </w:r>
      <w:r>
        <w:rPr>
          <w:b/>
          <w:color w:val="auto"/>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5" w:name="OLE_LINK14"/>
      <w:bookmarkStart w:id="6" w:name="OLE_LINK13"/>
      <w:bookmarkStart w:id="7" w:name="OLE_LINK12"/>
      <w:bookmarkStart w:id="8" w:name="OLE_LINK11"/>
      <w:bookmarkStart w:id="9" w:name="OLE_LINK10"/>
      <w:bookmarkStart w:id="10" w:name="OLE_LINK9"/>
      <w:bookmarkStart w:id="11" w:name="OLE_LINK8"/>
      <w:bookmarkStart w:id="12" w:name="OLE_LINK7"/>
      <w:r>
        <w:rPr>
          <w:color w:val="auto"/>
        </w:rPr>
        <w:t xml:space="preserve"> </w:t>
      </w:r>
      <w:bookmarkEnd w:id="5"/>
      <w:bookmarkEnd w:id="6"/>
      <w:bookmarkEnd w:id="7"/>
      <w:bookmarkEnd w:id="8"/>
      <w:bookmarkEnd w:id="9"/>
      <w:bookmarkEnd w:id="10"/>
      <w:bookmarkEnd w:id="11"/>
      <w:bookmarkEnd w:id="12"/>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color w:val="auto"/>
        </w:rPr>
      </w:pPr>
      <w:r>
        <w:rPr>
          <w:color w:val="auto"/>
        </w:rP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color w:val="auto"/>
        </w:rPr>
      </w:pPr>
      <w:r>
        <w:rPr>
          <w:rFonts w:eastAsia="TimesNewRoman" w:cs="TimesNewRoman" w:ascii="TimesNewRoman" w:hAnsi="TimesNewRoman"/>
          <w:color w:val="auto"/>
        </w:rPr>
        <w:tab/>
      </w: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2018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 xml:space="preserve">Vzhľadom na štruktúru konsolidovaných účtovných jednotiek a majetkovú účasť Obce Ľubeľa je </w:t>
      </w:r>
      <w:r>
        <w:rPr>
          <w:b/>
          <w:color w:val="auto"/>
        </w:rPr>
        <w:t>vo vzťahu k rozpočtovej organizácii použitá metóda úplnej konsolidácie</w:t>
      </w:r>
      <w:r>
        <w:rPr>
          <w:color w:val="auto"/>
        </w:rPr>
        <w:t>.</w:t>
      </w:r>
    </w:p>
    <w:p>
      <w:pPr>
        <w:pStyle w:val="Normal"/>
        <w:jc w:val="both"/>
        <w:rPr>
          <w:color w:val="ED1C24"/>
        </w:rPr>
      </w:pPr>
      <w:r>
        <w:rPr>
          <w:color w:val="ED1C24"/>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color w:val="auto"/>
          <w:sz w:val="28"/>
          <w:szCs w:val="28"/>
          <w:highlight w:val="red"/>
        </w:rPr>
      </w:pPr>
      <w:r>
        <w:rPr>
          <w:rFonts w:cs="Calibri-Bold" w:ascii="Calibri-Bold" w:hAnsi="Calibri-Bold"/>
          <w:b/>
          <w:bCs/>
          <w:color w:val="auto"/>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rPr>
          <w:color w:val="auto"/>
        </w:rPr>
      </w:pPr>
      <w:r>
        <w:rPr>
          <w:b/>
          <w:color w:val="auto"/>
          <w:sz w:val="28"/>
          <w:szCs w:val="28"/>
        </w:rPr>
        <w:t>Hospodárenie  konsolidovaného  celku za rok 2018</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D1C24"/>
          <w:highlight w:val="red"/>
        </w:rPr>
      </w:pPr>
      <w:r>
        <w:rPr>
          <w:b/>
          <w:color w:val="ED1C24"/>
          <w:highlight w:val="red"/>
        </w:rPr>
      </w:r>
    </w:p>
    <w:tbl>
      <w:tblPr>
        <w:tblW w:w="10672" w:type="dxa"/>
        <w:jc w:val="left"/>
        <w:tblInd w:w="-39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92"/>
        <w:gridCol w:w="1452"/>
        <w:gridCol w:w="1426"/>
        <w:gridCol w:w="1777"/>
        <w:gridCol w:w="728"/>
        <w:gridCol w:w="709"/>
        <w:gridCol w:w="1563"/>
        <w:gridCol w:w="1423"/>
      </w:tblGrid>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4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2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KÚZ k 31.12.2017</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auto"/>
              </w:rPr>
            </w:pPr>
            <w:r>
              <w:rPr>
                <w:b/>
                <w:bCs/>
                <w:color w:val="auto"/>
              </w:rPr>
              <w:t>KÚZ k  31.12.2018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963.922,05</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963.922,05</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948.929,10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963.922,05</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696,75</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rPr>
              <w:t>696,75</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775,32</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rPr>
              <w:t>696,75</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5,20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5,20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rPr>
              <w:t>5,20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350,00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132,60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rPr>
              <w:t>482,60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794,14</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rPr>
              <w:t>482,60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1.660,94</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rPr>
              <w:t>1.660,94</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586,34</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rPr>
              <w:t>1.660,94</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158.435,09</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50.107,54</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rPr>
              <w:t>208.542,63</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82.658,76</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rPr>
              <w:t>208.542,63</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1.897,00</w:t>
            </w:r>
          </w:p>
        </w:tc>
        <w:tc>
          <w:tcPr>
            <w:tcW w:w="14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rPr>
              <w:t>1.897,00</w:t>
            </w:r>
          </w:p>
        </w:tc>
        <w:tc>
          <w:tcPr>
            <w:tcW w:w="72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rPr>
              <w:t>1.897,00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45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ED1C24"/>
              </w:rPr>
            </w:pPr>
            <w:r>
              <w:rPr>
                <w:b/>
                <w:bCs/>
                <w:color w:val="auto"/>
              </w:rPr>
              <w:t>1.124.604,14</w:t>
            </w:r>
          </w:p>
        </w:tc>
        <w:tc>
          <w:tcPr>
            <w:tcW w:w="142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ED1C24"/>
              </w:rPr>
            </w:pPr>
            <w:r>
              <w:rPr>
                <w:b/>
                <w:bCs/>
                <w:color w:val="auto"/>
              </w:rPr>
              <w:t>52.603,03</w:t>
            </w:r>
          </w:p>
        </w:tc>
        <w:tc>
          <w:tcPr>
            <w:tcW w:w="17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1.177.207,17</w:t>
            </w:r>
          </w:p>
        </w:tc>
        <w:tc>
          <w:tcPr>
            <w:tcW w:w="72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56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1.033.748,66</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color w:val="auto"/>
              </w:rPr>
            </w:pPr>
            <w:r>
              <w:rPr>
                <w:b/>
                <w:bCs/>
                <w:color w:val="auto"/>
              </w:rPr>
              <w:t>1.177.207,17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4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2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KÚZ k  31.12.2017</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auto"/>
              </w:rPr>
            </w:pPr>
            <w:r>
              <w:rPr>
                <w:b/>
                <w:bCs/>
                <w:color w:val="auto"/>
              </w:rPr>
              <w:t>Spolu 31.12.2018</w:t>
            </w:r>
          </w:p>
        </w:tc>
      </w:tr>
      <w:tr>
        <w:trPr>
          <w:trHeight w:val="699"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bCs/>
                <w:color w:val="auto"/>
              </w:rPr>
              <w:t>752.756,14</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-1.468,77</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bCs/>
                <w:color w:val="auto"/>
              </w:rPr>
              <w:t>751.287,37</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ED1C24"/>
              </w:rPr>
            </w:pPr>
            <w:r>
              <w:rPr>
                <w:bCs/>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ED1C24"/>
              </w:rPr>
            </w:pPr>
            <w:r>
              <w:rPr>
                <w:b/>
                <w:bCs/>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193.459,20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b/>
                <w:bCs/>
                <w:color w:val="auto"/>
              </w:rPr>
              <w:t>751.287,37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781.157,33</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-480,15</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780.677,18</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221.505,18</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color w:val="auto"/>
              </w:rPr>
              <w:t>780.677,18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bCs/>
                <w:color w:val="auto"/>
              </w:rPr>
              <w:t>Výsledok 2017</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-28.401,19</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-988,62</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-29.389,81</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-28.045,98</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color w:val="auto"/>
              </w:rPr>
              <w:t>-29.389,81</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bCs/>
                <w:color w:val="auto"/>
              </w:rPr>
              <w:t>162.043,24</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bCs/>
                <w:color w:val="auto"/>
              </w:rPr>
              <w:t>54.071,80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216.115,04</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81.145,33</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216.115,04</w:t>
            </w:r>
          </w:p>
        </w:tc>
      </w:tr>
      <w:tr>
        <w:trPr>
          <w:trHeight w:val="35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1.200,00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1.200,00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1.200,00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145.000,00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136,34</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145.136,34</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3,82</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145.136,34</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209,45</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4.349,07</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4.558,52</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3.815,39</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color w:val="auto"/>
              </w:rPr>
              <w:t>4.558,52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15.633,79</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49.586,39</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65.220,18</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74.326,12</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color w:val="auto"/>
              </w:rPr>
              <w:t>65.220,18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auto"/>
              </w:rPr>
              <w:t>0,00</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45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color w:val="auto"/>
              </w:rPr>
              <w:t>209.804,76</w:t>
            </w:r>
          </w:p>
        </w:tc>
        <w:tc>
          <w:tcPr>
            <w:tcW w:w="142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0,00</w:t>
            </w:r>
          </w:p>
        </w:tc>
        <w:tc>
          <w:tcPr>
            <w:tcW w:w="17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b/>
                <w:bCs/>
                <w:color w:val="auto"/>
              </w:rPr>
              <w:t>209.804,76</w:t>
            </w:r>
          </w:p>
        </w:tc>
        <w:tc>
          <w:tcPr>
            <w:tcW w:w="72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56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759.144,13</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ED1C24"/>
              </w:rPr>
            </w:pPr>
            <w:r>
              <w:rPr>
                <w:b/>
                <w:bCs/>
                <w:color w:val="auto"/>
              </w:rPr>
              <w:t>209.804,76</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45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ED1C24"/>
              </w:rPr>
            </w:pPr>
            <w:r>
              <w:rPr>
                <w:b/>
                <w:bCs/>
                <w:color w:val="auto"/>
              </w:rPr>
              <w:t>1.124.604,14</w:t>
            </w:r>
          </w:p>
        </w:tc>
        <w:tc>
          <w:tcPr>
            <w:tcW w:w="142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ED1C24"/>
              </w:rPr>
            </w:pPr>
            <w:r>
              <w:rPr>
                <w:b/>
                <w:bCs/>
                <w:color w:val="auto"/>
              </w:rPr>
              <w:t>52.603,03</w:t>
            </w:r>
          </w:p>
        </w:tc>
        <w:tc>
          <w:tcPr>
            <w:tcW w:w="17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1.177.207,17</w:t>
            </w:r>
          </w:p>
        </w:tc>
        <w:tc>
          <w:tcPr>
            <w:tcW w:w="72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ED1C24"/>
              </w:rPr>
            </w:pPr>
            <w:r>
              <w:rPr>
                <w:bCs/>
                <w:color w:val="ED1C24"/>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56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1.033.748,66</w:t>
            </w:r>
          </w:p>
        </w:tc>
        <w:tc>
          <w:tcPr>
            <w:tcW w:w="14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color w:val="auto"/>
              </w:rPr>
            </w:pPr>
            <w:r>
              <w:rPr>
                <w:b/>
                <w:bCs/>
                <w:color w:val="auto"/>
              </w:rPr>
              <w:t>1.177.207,17</w:t>
            </w:r>
          </w:p>
        </w:tc>
      </w:tr>
    </w:tbl>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rPr>
      </w:pPr>
      <w:r>
        <w:rPr>
          <w:b/>
          <w:color w:val="auto"/>
        </w:rPr>
        <w:t>Okrem konsolidácie majetku a záväzkov, boli za rok 2018 konsolidované náklady a výnosy</w:t>
      </w:r>
      <w:r>
        <w:rPr>
          <w:b/>
          <w:color w:val="ED1C24"/>
        </w:rPr>
        <w:t xml:space="preserve">. </w:t>
      </w:r>
    </w:p>
    <w:p>
      <w:pPr>
        <w:pStyle w:val="Normal"/>
        <w:tabs>
          <w:tab w:val="left" w:pos="360" w:leader="none"/>
        </w:tabs>
        <w:jc w:val="both"/>
        <w:rPr>
          <w:b/>
          <w:b/>
          <w:color w:val="ED1C24"/>
          <w:sz w:val="20"/>
          <w:szCs w:val="20"/>
        </w:rPr>
      </w:pPr>
      <w:r>
        <w:rPr>
          <w:b/>
          <w:color w:val="ED1C24"/>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268"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717"/>
        <w:gridCol w:w="1389"/>
        <w:gridCol w:w="1221"/>
        <w:gridCol w:w="1412"/>
        <w:gridCol w:w="1298"/>
        <w:gridCol w:w="450"/>
        <w:gridCol w:w="1364"/>
        <w:gridCol w:w="1417"/>
      </w:tblGrid>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38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22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29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36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sz w:val="22"/>
                <w:szCs w:val="22"/>
              </w:rPr>
              <w:t>KÚZ k 31.12.2017</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auto"/>
              </w:rPr>
            </w:pPr>
            <w:r>
              <w:rPr>
                <w:b/>
                <w:bCs/>
                <w:color w:val="auto"/>
                <w:sz w:val="22"/>
                <w:szCs w:val="22"/>
              </w:rPr>
              <w:t>KÚZ k  31.12.2018</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489.361,97</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bCs/>
                <w:color w:val="auto"/>
                <w:sz w:val="22"/>
                <w:szCs w:val="22"/>
              </w:rPr>
              <w:t>728.135,20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1.217.497,17</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1.194.631,95</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bCs/>
                <w:color w:val="auto"/>
                <w:sz w:val="22"/>
                <w:szCs w:val="22"/>
              </w:rPr>
              <w:t>1.217.497,17</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48.168,12</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125.499,84</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173.667,96</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137.573,09</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173.667,96</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114.171,83</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17.782,93</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131.954,76</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350.311,18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131.954,76</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127.747,45</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573.202,96</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700.950,41</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657.995,82</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700.950,41</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149,48</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62,00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211,48</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540,00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211,48</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4.588,16</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11.587,47</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16.175,63</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12.257,36</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16.175,63</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194.536,93</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194.536,93</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35.954,50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194.536,93</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472,76</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1.276,94</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1,749,70</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19.441,68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b/>
                <w:color w:val="auto"/>
                <w:sz w:val="22"/>
                <w:szCs w:val="22"/>
              </w:rPr>
              <w:t>1,749,70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472,76</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1.276,94</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1.749,70</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19.441,67</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1.749,70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0,00</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8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198.104,99</w:t>
            </w:r>
          </w:p>
        </w:tc>
        <w:tc>
          <w:tcPr>
            <w:tcW w:w="122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64.870,01</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20.432,24</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w:t>
            </w:r>
            <w:r>
              <w:rPr>
                <w:b/>
                <w:color w:val="auto"/>
                <w:sz w:val="22"/>
                <w:szCs w:val="22"/>
              </w:rPr>
              <w:t>242.542,76</w:t>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956,28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20.432,24</w:t>
            </w:r>
          </w:p>
        </w:tc>
      </w:tr>
      <w:tr>
        <w:trPr>
          <w:trHeight w:val="276" w:hRule="atLeast"/>
        </w:trPr>
        <w:tc>
          <w:tcPr>
            <w:tcW w:w="1717"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389"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ED1C24"/>
              </w:rPr>
            </w:pPr>
            <w:r>
              <w:rPr>
                <w:b/>
                <w:bCs/>
                <w:color w:val="auto"/>
                <w:sz w:val="22"/>
                <w:szCs w:val="22"/>
              </w:rPr>
              <w:t>687.939,72</w:t>
            </w:r>
          </w:p>
        </w:tc>
        <w:tc>
          <w:tcPr>
            <w:tcW w:w="1221"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ED1C24"/>
              </w:rPr>
            </w:pPr>
            <w:r>
              <w:rPr>
                <w:b/>
                <w:bCs/>
                <w:color w:val="auto"/>
                <w:sz w:val="22"/>
                <w:szCs w:val="22"/>
              </w:rPr>
              <w:t>794.282,15</w:t>
            </w:r>
          </w:p>
        </w:tc>
        <w:tc>
          <w:tcPr>
            <w:tcW w:w="141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1.239.679,11</w:t>
            </w:r>
          </w:p>
        </w:tc>
        <w:tc>
          <w:tcPr>
            <w:tcW w:w="129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w:t>
            </w:r>
            <w:r>
              <w:rPr>
                <w:b/>
                <w:bCs/>
                <w:color w:val="auto"/>
                <w:sz w:val="22"/>
                <w:szCs w:val="22"/>
              </w:rPr>
              <w:t>242.542,76</w:t>
            </w:r>
          </w:p>
        </w:tc>
        <w:tc>
          <w:tcPr>
            <w:tcW w:w="4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64"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1.215.029,91</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rPr>
            </w:pPr>
            <w:r>
              <w:rPr>
                <w:b/>
                <w:bCs/>
                <w:color w:val="auto"/>
                <w:sz w:val="22"/>
                <w:szCs w:val="22"/>
              </w:rPr>
              <w:t>1.239.679,11</w:t>
            </w:r>
          </w:p>
        </w:tc>
      </w:tr>
    </w:tbl>
    <w:p>
      <w:pPr>
        <w:pStyle w:val="Normal"/>
        <w:tabs>
          <w:tab w:val="left" w:pos="360" w:leader="none"/>
        </w:tabs>
        <w:jc w:val="both"/>
        <w:rPr>
          <w:highlight w:val="red"/>
        </w:rPr>
      </w:pPr>
      <w:r>
        <w:rPr>
          <w:color w:val="ED1C24"/>
        </w:rPr>
        <w:tab/>
        <w:tab/>
      </w:r>
    </w:p>
    <w:p>
      <w:pPr>
        <w:pStyle w:val="Normal"/>
        <w:tabs>
          <w:tab w:val="left" w:pos="360" w:leader="none"/>
        </w:tabs>
        <w:jc w:val="both"/>
        <w:rPr>
          <w:color w:val="ED1C24"/>
          <w:highlight w:val="red"/>
        </w:rPr>
      </w:pPr>
      <w:r>
        <w:rPr>
          <w:color w:val="ED1C24"/>
          <w:highlight w:val="red"/>
        </w:rPr>
      </w:r>
    </w:p>
    <w:p>
      <w:pPr>
        <w:pStyle w:val="Normal"/>
        <w:tabs>
          <w:tab w:val="left" w:pos="360" w:leader="none"/>
        </w:tabs>
        <w:jc w:val="both"/>
        <w:rPr>
          <w:color w:val="ED1C24"/>
          <w:highlight w:val="red"/>
        </w:rPr>
      </w:pPr>
      <w:r>
        <w:rPr>
          <w:color w:val="ED1C24"/>
          <w:highlight w:val="red"/>
        </w:rPr>
      </w:r>
    </w:p>
    <w:tbl>
      <w:tblPr>
        <w:tblW w:w="10073"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55"/>
        <w:gridCol w:w="1310"/>
        <w:gridCol w:w="1283"/>
        <w:gridCol w:w="1301"/>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5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1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8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sz w:val="22"/>
                <w:szCs w:val="22"/>
              </w:rPr>
              <w:t>KÚZ k 31.12.2017</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color w:val="auto"/>
              </w:rPr>
            </w:pPr>
            <w:r>
              <w:rPr>
                <w:b/>
                <w:bCs/>
                <w:color w:val="auto"/>
                <w:sz w:val="22"/>
                <w:szCs w:val="22"/>
              </w:rPr>
              <w:t>KÚZ k  31.12.2018</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bCs/>
                <w:color w:val="auto"/>
                <w:sz w:val="22"/>
                <w:szCs w:val="22"/>
              </w:rPr>
              <w:t>484.892,41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bCs/>
                <w:color w:val="auto"/>
                <w:sz w:val="22"/>
                <w:szCs w:val="22"/>
              </w:rPr>
              <w:t>64.859,70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bCs/>
                <w:color w:val="auto"/>
                <w:sz w:val="22"/>
                <w:szCs w:val="22"/>
              </w:rPr>
              <w:t>549.752,11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485.034,41</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b/>
                <w:bCs/>
                <w:color w:val="auto"/>
                <w:sz w:val="22"/>
                <w:szCs w:val="22"/>
              </w:rPr>
              <w:t>549.752,11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3.523,30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54.858,00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58.381,30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52.938,20</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58.381,30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7.067,76</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7.067,76</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6.998,60</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7.067,76</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474.014,87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474.014,87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421.047,17</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474.014,87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7.354,24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2.933,94</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10.288,18</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4.050,44</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10.288,18</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55,47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55,47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152,46</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b/>
                <w:color w:val="auto"/>
                <w:sz w:val="22"/>
                <w:szCs w:val="22"/>
              </w:rPr>
              <w:t>55,47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55,47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auto"/>
                <w:sz w:val="22"/>
                <w:szCs w:val="22"/>
              </w:rPr>
              <w:t>55,47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152,46</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ED1C24"/>
              </w:rPr>
            </w:pPr>
            <w:r>
              <w:rPr>
                <w:color w:val="auto"/>
                <w:sz w:val="22"/>
                <w:szCs w:val="22"/>
              </w:rPr>
              <w:t>55,47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sz w:val="22"/>
                <w:szCs w:val="22"/>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174.646,12</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b/>
                <w:color w:val="auto"/>
                <w:sz w:val="22"/>
                <w:szCs w:val="22"/>
              </w:rPr>
              <w:t>728.378,36</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660.481,72</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w:t>
            </w:r>
            <w:r>
              <w:rPr>
                <w:b/>
                <w:color w:val="auto"/>
                <w:sz w:val="22"/>
                <w:szCs w:val="22"/>
              </w:rPr>
              <w:t>242.542,76</w:t>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701.797,06</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660.481,72</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ED1C24"/>
              </w:rPr>
            </w:pPr>
            <w:r>
              <w:rPr>
                <w:b/>
                <w:bCs/>
                <w:color w:val="auto"/>
                <w:sz w:val="22"/>
                <w:szCs w:val="22"/>
              </w:rPr>
              <w:t>659.538,53</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ED1C24"/>
              </w:rPr>
            </w:pPr>
            <w:r>
              <w:rPr>
                <w:b/>
                <w:bCs/>
                <w:color w:val="auto"/>
                <w:sz w:val="22"/>
                <w:szCs w:val="22"/>
              </w:rPr>
              <w:t>793.293,53</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w:t>
            </w:r>
            <w:r>
              <w:rPr>
                <w:b/>
                <w:bCs/>
                <w:color w:val="auto"/>
                <w:sz w:val="22"/>
                <w:szCs w:val="22"/>
              </w:rPr>
              <w:t>210.289,30</w:t>
            </w:r>
          </w:p>
        </w:tc>
        <w:tc>
          <w:tcPr>
            <w:tcW w:w="45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1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w:t>
            </w:r>
            <w:r>
              <w:rPr>
                <w:b/>
                <w:bCs/>
                <w:color w:val="auto"/>
                <w:sz w:val="22"/>
                <w:szCs w:val="22"/>
              </w:rPr>
              <w:t>242.542,76</w:t>
            </w:r>
          </w:p>
        </w:tc>
        <w:tc>
          <w:tcPr>
            <w:tcW w:w="128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1.186.983,93</w:t>
            </w:r>
          </w:p>
        </w:tc>
        <w:tc>
          <w:tcPr>
            <w:tcW w:w="13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rPr>
            </w:pPr>
            <w:r>
              <w:rPr>
                <w:b/>
                <w:bCs/>
                <w:color w:val="auto"/>
                <w:sz w:val="22"/>
                <w:szCs w:val="22"/>
              </w:rPr>
              <w:t>1.</w:t>
            </w:r>
            <w:r>
              <w:rPr>
                <w:b/>
                <w:bCs/>
                <w:color w:val="auto"/>
                <w:sz w:val="22"/>
                <w:szCs w:val="22"/>
              </w:rPr>
              <w:t>210.289,30</w:t>
            </w:r>
          </w:p>
        </w:tc>
      </w:tr>
    </w:tbl>
    <w:p>
      <w:pPr>
        <w:pStyle w:val="Normal"/>
        <w:tabs>
          <w:tab w:val="left" w:pos="360" w:leader="none"/>
        </w:tabs>
        <w:jc w:val="both"/>
        <w:rPr>
          <w:color w:val="EF413D"/>
        </w:rPr>
      </w:pPr>
      <w:r>
        <w:rPr>
          <w:color w:val="ED1C24"/>
        </w:rPr>
        <w:tab/>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pPr>
      <w:r>
        <w:rPr>
          <w:color w:val="auto"/>
        </w:rPr>
        <w:tab/>
        <w:tab/>
      </w:r>
    </w:p>
    <w:p>
      <w:pPr>
        <w:pStyle w:val="Normal"/>
        <w:tabs>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D1C24"/>
          <w:sz w:val="28"/>
          <w:szCs w:val="28"/>
          <w:highlight w:val="red"/>
        </w:rPr>
      </w:pPr>
      <w:r>
        <w:rPr>
          <w:b/>
          <w:color w:val="ED1C24"/>
          <w:sz w:val="28"/>
          <w:szCs w:val="28"/>
          <w:highlight w:val="red"/>
        </w:rPr>
      </w:r>
    </w:p>
    <w:p>
      <w:pPr>
        <w:pStyle w:val="Normal"/>
        <w:tabs>
          <w:tab w:val="left" w:pos="1087" w:leader="none"/>
        </w:tabs>
        <w:ind w:left="54" w:hanging="0"/>
        <w:jc w:val="both"/>
        <w:rPr>
          <w:b/>
          <w:b/>
          <w:color w:val="auto"/>
          <w:sz w:val="28"/>
          <w:szCs w:val="28"/>
          <w:highlight w:val="red"/>
        </w:rPr>
      </w:pPr>
      <w:r>
        <w:rPr>
          <w:b/>
          <w:color w:val="auto"/>
          <w:sz w:val="28"/>
          <w:szCs w:val="28"/>
          <w:highlight w:val="red"/>
        </w:rPr>
      </w:r>
    </w:p>
    <w:p>
      <w:pPr>
        <w:pStyle w:val="Normal"/>
        <w:tabs>
          <w:tab w:val="left" w:pos="1087" w:leader="none"/>
        </w:tabs>
        <w:ind w:left="54" w:hanging="0"/>
        <w:jc w:val="both"/>
        <w:rPr>
          <w:bCs/>
          <w:sz w:val="20"/>
          <w:szCs w:val="20"/>
        </w:rPr>
      </w:pPr>
      <w:r>
        <w:rPr>
          <w:b/>
          <w:color w:val="auto"/>
          <w:sz w:val="28"/>
          <w:szCs w:val="28"/>
        </w:rPr>
        <w:t>8. Predpokladaný budúci vývoj – zámery obce</w:t>
      </w:r>
    </w:p>
    <w:p>
      <w:pPr>
        <w:pStyle w:val="Normal"/>
        <w:tabs>
          <w:tab w:val="left" w:pos="7380" w:leader="none"/>
          <w:tab w:val="left" w:pos="9720" w:leader="none"/>
          <w:tab w:val="left" w:pos="11880" w:leader="none"/>
        </w:tabs>
        <w:jc w:val="both"/>
        <w:rPr>
          <w:bCs/>
          <w:color w:val="auto"/>
          <w:sz w:val="20"/>
          <w:szCs w:val="20"/>
        </w:rPr>
      </w:pPr>
      <w:r>
        <w:rPr>
          <w:bCs/>
          <w:color w:val="auto"/>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D1C24"/>
          <w:sz w:val="20"/>
          <w:szCs w:val="20"/>
          <w:highlight w:val="red"/>
        </w:rPr>
      </w:pPr>
      <w:r>
        <w:rPr>
          <w:b/>
          <w:color w:val="ED1C24"/>
          <w:sz w:val="20"/>
          <w:szCs w:val="20"/>
          <w:highlight w:val="red"/>
        </w:rPr>
      </w:r>
    </w:p>
    <w:p>
      <w:pPr>
        <w:pStyle w:val="Normal"/>
        <w:jc w:val="both"/>
        <w:rPr>
          <w:color w:val="auto"/>
          <w:sz w:val="20"/>
          <w:szCs w:val="20"/>
          <w:highlight w:val="red"/>
        </w:rPr>
      </w:pPr>
      <w:r>
        <w:rPr>
          <w:color w:val="auto"/>
          <w:sz w:val="20"/>
          <w:szCs w:val="20"/>
          <w:highlight w:val="red"/>
        </w:rPr>
      </w:r>
    </w:p>
    <w:p>
      <w:pPr>
        <w:pStyle w:val="Normal"/>
        <w:tabs>
          <w:tab w:val="left" w:pos="1087" w:leader="none"/>
        </w:tabs>
        <w:ind w:left="54" w:hanging="0"/>
        <w:jc w:val="both"/>
        <w:rPr>
          <w:b/>
          <w:b/>
          <w:bCs/>
          <w:sz w:val="20"/>
          <w:szCs w:val="20"/>
        </w:rPr>
      </w:pPr>
      <w:r>
        <w:rPr>
          <w:b/>
          <w:color w:val="auto"/>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bCs/>
          <w:sz w:val="20"/>
          <w:szCs w:val="20"/>
        </w:rPr>
      </w:pPr>
      <w:r>
        <w:rPr>
          <w:bCs/>
          <w:color w:val="auto"/>
        </w:rPr>
        <w:tab/>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color w:val="auto"/>
        </w:rPr>
      </w:pPr>
      <w:r>
        <w:rPr>
          <w:bCs/>
          <w:color w:val="auto"/>
        </w:rPr>
        <w:tab/>
        <w:t>Táto výročná správa sa vyhotovuje za účtovné obdobie od 1.1.2018 do 31.12.2018. Obec Ľubeľa</w:t>
      </w:r>
      <w:r>
        <w:rPr>
          <w:color w:val="auto"/>
        </w:rPr>
        <w:t xml:space="preserve"> </w:t>
      </w:r>
      <w:r>
        <w:rPr>
          <w:bCs/>
          <w:color w:val="auto"/>
        </w:rPr>
        <w:t xml:space="preserve">zostavovala za rok 2018 účtovnú závierku za konsolidovaný celok. </w:t>
      </w:r>
    </w:p>
    <w:p>
      <w:pPr>
        <w:pStyle w:val="Normal"/>
        <w:ind w:firstLine="567"/>
        <w:jc w:val="both"/>
        <w:rPr>
          <w:b/>
          <w:b/>
          <w:bCs/>
          <w:sz w:val="20"/>
          <w:szCs w:val="20"/>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9"/>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ComicSansMS">
    <w:charset w:val="ee"/>
    <w:family w:val="roman"/>
    <w:pitch w:val="variable"/>
  </w:font>
  <w:font w:name="TimesNewRoman">
    <w:charset w:val="ee"/>
    <w:family w:val="roman"/>
    <w:pitch w:val="variable"/>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20</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Symbol" w:hAnsi="Symbol" w:cs="Symbol" w:hint="default"/>
        <w:rFonts w:cs="Symbol"/>
      </w:rPr>
    </w:lvl>
    <w:lvl w:ilvl="2">
      <w:start w:val="1"/>
      <w:numFmt w:val="bullet"/>
      <w:lvlText w:val=""/>
      <w:lvlJc w:val="left"/>
      <w:pPr>
        <w:tabs>
          <w:tab w:val="num" w:pos="1440"/>
        </w:tabs>
        <w:ind w:left="1440" w:hanging="360"/>
      </w:pPr>
      <w:rPr>
        <w:rFonts w:ascii="Symbol" w:hAnsi="Symbol" w:cs="Symbol" w:hint="default"/>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character" w:styleId="ListLabel93">
    <w:name w:val="ListLabel 93"/>
    <w:qFormat/>
    <w:rPr>
      <w:rFonts w:cs="Symbol"/>
      <w:sz w:val="16"/>
      <w:szCs w:val="16"/>
    </w:rPr>
  </w:style>
  <w:style w:type="character" w:styleId="ListLabel94">
    <w:name w:val="ListLabel 94"/>
    <w:qFormat/>
    <w:rPr>
      <w:rFonts w:cs="Symbol"/>
      <w:sz w:val="16"/>
      <w:szCs w:val="16"/>
    </w:rPr>
  </w:style>
  <w:style w:type="character" w:styleId="ListLabel95">
    <w:name w:val="ListLabel 95"/>
    <w:qFormat/>
    <w:rPr>
      <w:rFonts w:cs="Symbol"/>
      <w:sz w:val="16"/>
      <w:szCs w:val="16"/>
    </w:rPr>
  </w:style>
  <w:style w:type="character" w:styleId="ListLabel96">
    <w:name w:val="ListLabel 96"/>
    <w:qFormat/>
    <w:rPr>
      <w:rFonts w:cs="Symbol"/>
      <w:sz w:val="16"/>
      <w:szCs w:val="16"/>
    </w:rPr>
  </w:style>
  <w:style w:type="character" w:styleId="ListLabel97">
    <w:name w:val="ListLabel 97"/>
    <w:qFormat/>
    <w:rPr>
      <w:rFonts w:cs="Symbol"/>
      <w:sz w:val="16"/>
      <w:szCs w:val="16"/>
    </w:rPr>
  </w:style>
  <w:style w:type="character" w:styleId="ListLabel98">
    <w:name w:val="ListLabel 98"/>
    <w:qFormat/>
    <w:rPr>
      <w:rFonts w:cs="Symbol"/>
      <w:sz w:val="16"/>
      <w:szCs w:val="16"/>
    </w:rPr>
  </w:style>
  <w:style w:type="character" w:styleId="ListLabel99">
    <w:name w:val="ListLabel 99"/>
    <w:qFormat/>
    <w:rPr>
      <w:rFonts w:cs="Symbol"/>
      <w:sz w:val="16"/>
      <w:szCs w:val="16"/>
    </w:rPr>
  </w:style>
  <w:style w:type="character" w:styleId="ListLabel100">
    <w:name w:val="ListLabel 100"/>
    <w:qFormat/>
    <w:rPr>
      <w:rFonts w:cs="Symbol"/>
      <w:sz w:val="16"/>
      <w:szCs w:val="16"/>
    </w:rPr>
  </w:style>
  <w:style w:type="character" w:styleId="ListLabel101">
    <w:name w:val="ListLabel 101"/>
    <w:qFormat/>
    <w:rPr>
      <w:rFonts w:cs="Symbol"/>
      <w:sz w:val="16"/>
      <w:szCs w:val="16"/>
    </w:rPr>
  </w:style>
  <w:style w:type="character" w:styleId="ListLabel102">
    <w:name w:val="ListLabel 102"/>
    <w:qFormat/>
    <w:rPr>
      <w:rFonts w:cs="OpenSymbol"/>
      <w:b/>
      <w:color w:val="0066CC"/>
      <w:sz w:val="28"/>
      <w:szCs w:val="28"/>
    </w:rPr>
  </w:style>
  <w:style w:type="character" w:styleId="ListLabel103">
    <w:name w:val="ListLabel 103"/>
    <w:qFormat/>
    <w:rPr>
      <w:rFonts w:cs="Times New Roman"/>
    </w:rPr>
  </w:style>
  <w:style w:type="character" w:styleId="ListLabel104">
    <w:name w:val="ListLabel 104"/>
    <w:qFormat/>
    <w:rPr/>
  </w:style>
  <w:style w:type="character" w:styleId="ListLabel105">
    <w:name w:val="ListLabel 105"/>
    <w:qFormat/>
    <w:rPr>
      <w:rFonts w:cs="Symbol"/>
    </w:rPr>
  </w:style>
  <w:style w:type="character" w:styleId="ListLabel106">
    <w:name w:val="ListLabel 106"/>
    <w:qFormat/>
    <w:rPr>
      <w:rFonts w:cs="Symbol"/>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numbering" w:styleId="WW8Num8">
    <w:name w:val="WW8Num8"/>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wmf"/><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Application>LibreOffice/6.0.4.2$Windows_X86_64 LibreOffice_project/9b0d9b32d5dcda91d2f1a96dc04c645c450872bf</Application>
  <Pages>23</Pages>
  <Words>6157</Words>
  <Characters>36606</Characters>
  <CharactersWithSpaces>42584</CharactersWithSpaces>
  <Paragraphs>1335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2015-08-21T07:32:00Z</cp:lastPrinted>
  <dcterms:modified xsi:type="dcterms:W3CDTF">2019-08-09T14:53:32Z</dcterms:modified>
  <cp:revision>13</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