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E18" w:rsidRDefault="00DE0E18">
      <w:pPr>
        <w:pStyle w:val="Zkladntext"/>
        <w:rPr>
          <w:sz w:val="20"/>
        </w:rPr>
      </w:pPr>
    </w:p>
    <w:p w:rsidR="00DE0E18" w:rsidRDefault="00DE0E18">
      <w:pPr>
        <w:pStyle w:val="Zkladntext"/>
        <w:spacing w:before="9"/>
        <w:rPr>
          <w:sz w:val="28"/>
        </w:rPr>
      </w:pPr>
    </w:p>
    <w:p w:rsidR="00DE0E18" w:rsidRDefault="00D73FE1">
      <w:pPr>
        <w:pStyle w:val="Nadpis2"/>
        <w:numPr>
          <w:ilvl w:val="0"/>
          <w:numId w:val="4"/>
        </w:numPr>
        <w:tabs>
          <w:tab w:val="left" w:pos="473"/>
        </w:tabs>
        <w:spacing w:before="93"/>
        <w:ind w:hanging="361"/>
      </w:pPr>
      <w:r>
        <w:t>INFORMÁCIE O ÚČTOVNEJ</w:t>
      </w:r>
      <w:r>
        <w:rPr>
          <w:spacing w:val="-1"/>
        </w:rPr>
        <w:t xml:space="preserve"> </w:t>
      </w:r>
      <w:r>
        <w:t>JEDNOTKE</w:t>
      </w:r>
    </w:p>
    <w:p w:rsidR="00DE0E18" w:rsidRDefault="00DE0E18">
      <w:pPr>
        <w:pStyle w:val="Zkladntext"/>
        <w:spacing w:before="3"/>
        <w:rPr>
          <w:b/>
          <w:sz w:val="23"/>
        </w:rPr>
      </w:pPr>
    </w:p>
    <w:p w:rsidR="00DE0E18" w:rsidRDefault="00D73FE1">
      <w:pPr>
        <w:pStyle w:val="Odsekzoznamu"/>
        <w:numPr>
          <w:ilvl w:val="1"/>
          <w:numId w:val="4"/>
        </w:numPr>
        <w:tabs>
          <w:tab w:val="left" w:pos="472"/>
          <w:tab w:val="left" w:pos="473"/>
        </w:tabs>
        <w:spacing w:before="1"/>
        <w:ind w:hanging="361"/>
        <w:rPr>
          <w:b/>
          <w:sz w:val="18"/>
        </w:rPr>
      </w:pPr>
      <w:r>
        <w:rPr>
          <w:b/>
          <w:sz w:val="18"/>
        </w:rPr>
        <w:t>Obchodné meno a sídlo</w:t>
      </w:r>
      <w:r>
        <w:rPr>
          <w:b/>
          <w:spacing w:val="-2"/>
          <w:sz w:val="18"/>
        </w:rPr>
        <w:t xml:space="preserve"> </w:t>
      </w:r>
      <w:r>
        <w:rPr>
          <w:b/>
          <w:sz w:val="18"/>
        </w:rPr>
        <w:t>spoločnosti:</w:t>
      </w:r>
    </w:p>
    <w:p w:rsidR="00DE0E18" w:rsidRDefault="00DE0E18">
      <w:pPr>
        <w:pStyle w:val="Zkladntext"/>
        <w:spacing w:before="6"/>
        <w:rPr>
          <w:b/>
          <w:sz w:val="19"/>
        </w:rPr>
      </w:pPr>
    </w:p>
    <w:p w:rsidR="00DE0E18" w:rsidRDefault="00D73FE1">
      <w:pPr>
        <w:pStyle w:val="Zkladntext"/>
        <w:ind w:left="472" w:right="6618"/>
      </w:pPr>
      <w:r>
        <w:t>G&amp;P Quality Management s.r.o. Moskovská 13</w:t>
      </w:r>
    </w:p>
    <w:p w:rsidR="00DE0E18" w:rsidRDefault="00D73FE1">
      <w:pPr>
        <w:pStyle w:val="Zkladntext"/>
        <w:spacing w:line="206" w:lineRule="exact"/>
        <w:ind w:left="472"/>
      </w:pPr>
      <w:r>
        <w:t>811 08 Bratislava</w:t>
      </w:r>
    </w:p>
    <w:p w:rsidR="00DE0E18" w:rsidRDefault="00DE0E18">
      <w:pPr>
        <w:pStyle w:val="Zkladntext"/>
        <w:rPr>
          <w:sz w:val="20"/>
        </w:rPr>
      </w:pPr>
    </w:p>
    <w:p w:rsidR="00DE0E18" w:rsidRDefault="00D73FE1">
      <w:pPr>
        <w:pStyle w:val="Nadpis1"/>
        <w:spacing w:before="1"/>
        <w:ind w:left="539" w:right="99"/>
      </w:pPr>
      <w:r>
        <w:t>Spoločnosť G&amp;</w:t>
      </w:r>
      <w:r>
        <w:t>P Quality Management s.r.o. (ďalej len Spoločnosť), bola založená 7.11.2008 a do obchodného registra bola zapísaná 18.03.2009 (Obchodný register Okresného súdu Bratislava I v Bratislave, Oddiel: Sro vložka číslo: 57434/B).</w:t>
      </w:r>
    </w:p>
    <w:p w:rsidR="00DE0E18" w:rsidRDefault="00DE0E18">
      <w:pPr>
        <w:pStyle w:val="Zkladntext"/>
        <w:spacing w:before="3"/>
        <w:rPr>
          <w:sz w:val="20"/>
        </w:rPr>
      </w:pPr>
    </w:p>
    <w:p w:rsidR="00DE0E18" w:rsidRDefault="00D73FE1">
      <w:pPr>
        <w:spacing w:line="228" w:lineRule="exact"/>
        <w:ind w:left="539"/>
        <w:rPr>
          <w:b/>
          <w:sz w:val="20"/>
        </w:rPr>
      </w:pPr>
      <w:r>
        <w:rPr>
          <w:b/>
          <w:sz w:val="20"/>
        </w:rPr>
        <w:t xml:space="preserve">Hlavnými činnosťami Spoločnosti </w:t>
      </w:r>
      <w:r>
        <w:rPr>
          <w:b/>
          <w:sz w:val="20"/>
        </w:rPr>
        <w:t>sú:</w:t>
      </w:r>
    </w:p>
    <w:p w:rsidR="00DE0E18" w:rsidRDefault="00D73FE1">
      <w:pPr>
        <w:pStyle w:val="Nadpis1"/>
        <w:numPr>
          <w:ilvl w:val="2"/>
          <w:numId w:val="4"/>
        </w:numPr>
        <w:tabs>
          <w:tab w:val="left" w:pos="588"/>
        </w:tabs>
        <w:spacing w:line="227" w:lineRule="exact"/>
      </w:pPr>
      <w:r>
        <w:t>Poradenstvo v oblasti kvalitatívneho manažmentu</w:t>
      </w:r>
    </w:p>
    <w:p w:rsidR="00DE0E18" w:rsidRDefault="00D73FE1">
      <w:pPr>
        <w:pStyle w:val="Odsekzoznamu"/>
        <w:numPr>
          <w:ilvl w:val="2"/>
          <w:numId w:val="4"/>
        </w:numPr>
        <w:tabs>
          <w:tab w:val="left" w:pos="581"/>
        </w:tabs>
        <w:spacing w:line="229" w:lineRule="exact"/>
        <w:ind w:left="580"/>
        <w:rPr>
          <w:sz w:val="20"/>
        </w:rPr>
      </w:pPr>
      <w:r>
        <w:rPr>
          <w:sz w:val="20"/>
        </w:rPr>
        <w:t>Informatívne testovanie, meranie, analýzy a</w:t>
      </w:r>
      <w:r>
        <w:rPr>
          <w:spacing w:val="1"/>
          <w:sz w:val="20"/>
        </w:rPr>
        <w:t xml:space="preserve"> </w:t>
      </w:r>
      <w:r>
        <w:rPr>
          <w:sz w:val="20"/>
        </w:rPr>
        <w:t>kontrola</w:t>
      </w:r>
    </w:p>
    <w:p w:rsidR="00DE0E18" w:rsidRDefault="00D73FE1">
      <w:pPr>
        <w:pStyle w:val="Odsekzoznamu"/>
        <w:numPr>
          <w:ilvl w:val="2"/>
          <w:numId w:val="4"/>
        </w:numPr>
        <w:tabs>
          <w:tab w:val="left" w:pos="581"/>
        </w:tabs>
        <w:spacing w:before="1"/>
        <w:ind w:left="580"/>
        <w:rPr>
          <w:sz w:val="20"/>
        </w:rPr>
      </w:pPr>
      <w:r>
        <w:rPr>
          <w:sz w:val="20"/>
        </w:rPr>
        <w:t>Činnosť obchodných, organizačných a ekonomických</w:t>
      </w:r>
      <w:r>
        <w:rPr>
          <w:spacing w:val="-2"/>
          <w:sz w:val="20"/>
        </w:rPr>
        <w:t xml:space="preserve"> </w:t>
      </w:r>
      <w:r>
        <w:rPr>
          <w:sz w:val="20"/>
        </w:rPr>
        <w:t>poradcov</w:t>
      </w:r>
    </w:p>
    <w:p w:rsidR="00DE0E18" w:rsidRDefault="00D73FE1">
      <w:pPr>
        <w:pStyle w:val="Odsekzoznamu"/>
        <w:numPr>
          <w:ilvl w:val="2"/>
          <w:numId w:val="4"/>
        </w:numPr>
        <w:tabs>
          <w:tab w:val="left" w:pos="579"/>
        </w:tabs>
        <w:ind w:left="578" w:hanging="114"/>
        <w:rPr>
          <w:sz w:val="20"/>
        </w:rPr>
      </w:pPr>
      <w:r>
        <w:rPr>
          <w:sz w:val="20"/>
        </w:rPr>
        <w:t>Technické poradenstvo v oblasti automobilového</w:t>
      </w:r>
      <w:r>
        <w:rPr>
          <w:spacing w:val="-5"/>
          <w:sz w:val="20"/>
        </w:rPr>
        <w:t xml:space="preserve"> </w:t>
      </w:r>
      <w:r>
        <w:rPr>
          <w:sz w:val="20"/>
        </w:rPr>
        <w:t>priemyslu</w:t>
      </w:r>
    </w:p>
    <w:p w:rsidR="00DE0E18" w:rsidRDefault="00DE0E18">
      <w:pPr>
        <w:pStyle w:val="Zkladntext"/>
        <w:rPr>
          <w:sz w:val="22"/>
        </w:rPr>
      </w:pPr>
    </w:p>
    <w:p w:rsidR="00DE0E18" w:rsidRDefault="00D73FE1">
      <w:pPr>
        <w:pStyle w:val="Nadpis2"/>
        <w:numPr>
          <w:ilvl w:val="1"/>
          <w:numId w:val="4"/>
        </w:numPr>
        <w:tabs>
          <w:tab w:val="left" w:pos="472"/>
          <w:tab w:val="left" w:pos="473"/>
        </w:tabs>
        <w:spacing w:before="191" w:line="204" w:lineRule="exact"/>
        <w:ind w:hanging="361"/>
      </w:pPr>
      <w:r>
        <w:t>Dátum schválenia účtovnej závierky za predchádzajúce účtovné</w:t>
      </w:r>
      <w:r>
        <w:rPr>
          <w:spacing w:val="-7"/>
        </w:rPr>
        <w:t xml:space="preserve"> </w:t>
      </w:r>
      <w:r>
        <w:t>obdobie</w:t>
      </w:r>
    </w:p>
    <w:p w:rsidR="00DE0E18" w:rsidRDefault="00D73FE1">
      <w:pPr>
        <w:pStyle w:val="Zkladntext"/>
        <w:ind w:left="540"/>
      </w:pPr>
      <w:r>
        <w:t>Účtovná závierka Spoločnosti k 31. decembru 201</w:t>
      </w:r>
      <w:r w:rsidR="006D3F8D">
        <w:t>8</w:t>
      </w:r>
      <w:r>
        <w:t>, za predchádzajúce účtovné obdobie, nebola schválená valným zhromaždením.</w:t>
      </w:r>
    </w:p>
    <w:p w:rsidR="00DE0E18" w:rsidRDefault="00DE0E18">
      <w:pPr>
        <w:pStyle w:val="Zkladntext"/>
        <w:spacing w:before="3"/>
      </w:pPr>
    </w:p>
    <w:p w:rsidR="00DE0E18" w:rsidRDefault="00D73FE1">
      <w:pPr>
        <w:pStyle w:val="Nadpis2"/>
        <w:numPr>
          <w:ilvl w:val="1"/>
          <w:numId w:val="4"/>
        </w:numPr>
        <w:tabs>
          <w:tab w:val="left" w:pos="472"/>
          <w:tab w:val="left" w:pos="473"/>
        </w:tabs>
        <w:spacing w:line="204" w:lineRule="exact"/>
        <w:ind w:hanging="361"/>
      </w:pPr>
      <w:r>
        <w:t>Právny dôvod na zostavenie účtovnej</w:t>
      </w:r>
      <w:r>
        <w:rPr>
          <w:spacing w:val="-4"/>
        </w:rPr>
        <w:t xml:space="preserve"> </w:t>
      </w:r>
      <w:r>
        <w:t>závierky</w:t>
      </w:r>
    </w:p>
    <w:p w:rsidR="00DE0E18" w:rsidRDefault="00D73FE1">
      <w:pPr>
        <w:pStyle w:val="Zkladntext"/>
        <w:ind w:left="540" w:right="99"/>
      </w:pPr>
      <w:r>
        <w:t>Účtovná závierka S</w:t>
      </w:r>
      <w:r>
        <w:t>poločnosti k 31. decembru 201</w:t>
      </w:r>
      <w:r w:rsidR="006D3F8D">
        <w:t>8</w:t>
      </w:r>
      <w:r>
        <w:t xml:space="preserve"> je zostavená ako riadna účtovná závierka podľa § 17 ods. 6 zákona NR SR č. 431/2002 Z. z. o účtovníctve za účtovné obdobie od 1. januára 201</w:t>
      </w:r>
      <w:r w:rsidR="006D3F8D">
        <w:t>8</w:t>
      </w:r>
      <w:r>
        <w:t xml:space="preserve"> do 31. decembra 201</w:t>
      </w:r>
      <w:r w:rsidR="006D3F8D">
        <w:t>8</w:t>
      </w:r>
      <w:r>
        <w:t>.</w:t>
      </w:r>
    </w:p>
    <w:p w:rsidR="00DE0E18" w:rsidRDefault="00DE0E18">
      <w:pPr>
        <w:pStyle w:val="Zkladntext"/>
        <w:spacing w:before="9"/>
        <w:rPr>
          <w:sz w:val="17"/>
        </w:rPr>
      </w:pPr>
    </w:p>
    <w:p w:rsidR="00DE0E18" w:rsidRDefault="00D73FE1">
      <w:pPr>
        <w:pStyle w:val="Zkladntext"/>
        <w:spacing w:before="1"/>
        <w:ind w:left="540" w:right="117"/>
        <w:jc w:val="both"/>
      </w:pPr>
      <w:r>
        <w:t>Účtovná závierka je určená pre používateľov, ktorí majú prim</w:t>
      </w:r>
      <w:r>
        <w:t>erané znalosti o obchodných a ekonomických činnostiach   a účtovníctve a ktorí analyzujú tieto informácie s primeranou pozornosťou. Účtovná závierka neposkytuje a ani nemôže poskytovať všetky informácie, ktoré by existujúci a potenciálni investori, poskyto</w:t>
      </w:r>
      <w:r>
        <w:t>vatelia úverov a pôžičiek a iní veritelia, mohli potrebovať. Títo používatelia musia relevantné informácie získať z iných</w:t>
      </w:r>
      <w:r>
        <w:rPr>
          <w:spacing w:val="-3"/>
        </w:rPr>
        <w:t xml:space="preserve"> </w:t>
      </w:r>
      <w:r>
        <w:t>zdrojov.</w:t>
      </w:r>
    </w:p>
    <w:p w:rsidR="00DE0E18" w:rsidRDefault="00DE0E18">
      <w:pPr>
        <w:pStyle w:val="Zkladntext"/>
        <w:rPr>
          <w:sz w:val="20"/>
        </w:rPr>
      </w:pPr>
    </w:p>
    <w:p w:rsidR="00DE0E18" w:rsidRDefault="00DE0E18">
      <w:pPr>
        <w:pStyle w:val="Zkladntext"/>
        <w:spacing w:before="3"/>
        <w:rPr>
          <w:sz w:val="16"/>
        </w:rPr>
      </w:pPr>
    </w:p>
    <w:p w:rsidR="00DE0E18" w:rsidRDefault="00D73FE1">
      <w:pPr>
        <w:pStyle w:val="Nadpis2"/>
        <w:numPr>
          <w:ilvl w:val="1"/>
          <w:numId w:val="4"/>
        </w:numPr>
        <w:tabs>
          <w:tab w:val="left" w:pos="472"/>
          <w:tab w:val="left" w:pos="473"/>
        </w:tabs>
        <w:spacing w:line="204" w:lineRule="exact"/>
        <w:ind w:hanging="361"/>
      </w:pPr>
      <w:r>
        <w:t>Informácie o</w:t>
      </w:r>
      <w:r>
        <w:rPr>
          <w:spacing w:val="-1"/>
        </w:rPr>
        <w:t xml:space="preserve"> </w:t>
      </w:r>
      <w:r>
        <w:t>skupine</w:t>
      </w:r>
    </w:p>
    <w:p w:rsidR="00DE0E18" w:rsidRDefault="00D73FE1">
      <w:pPr>
        <w:spacing w:line="237" w:lineRule="auto"/>
        <w:ind w:left="472" w:right="414"/>
        <w:rPr>
          <w:sz w:val="20"/>
        </w:rPr>
      </w:pPr>
      <w:r>
        <w:rPr>
          <w:sz w:val="20"/>
        </w:rPr>
        <w:t>Spoločnosť sa zahŕňa do konsolidovanej účtovnej závierky spoločnosti G&amp;</w:t>
      </w:r>
      <w:r>
        <w:rPr>
          <w:sz w:val="20"/>
        </w:rPr>
        <w:t>P Group Holdings Ltd, Wharf Approach 54, WS9 8BX Aldridge, West Midlands, Spojené kráľovstvo Veľkej Británie a Severného Írska.</w:t>
      </w:r>
    </w:p>
    <w:p w:rsidR="00DE0E18" w:rsidRDefault="00DE0E18">
      <w:pPr>
        <w:pStyle w:val="Zkladntext"/>
        <w:rPr>
          <w:sz w:val="22"/>
        </w:rPr>
      </w:pPr>
    </w:p>
    <w:p w:rsidR="00DE0E18" w:rsidRDefault="00D73FE1">
      <w:pPr>
        <w:pStyle w:val="Odsekzoznamu"/>
        <w:numPr>
          <w:ilvl w:val="1"/>
          <w:numId w:val="4"/>
        </w:numPr>
        <w:tabs>
          <w:tab w:val="left" w:pos="472"/>
          <w:tab w:val="left" w:pos="473"/>
        </w:tabs>
        <w:spacing w:before="170" w:line="204" w:lineRule="exact"/>
        <w:ind w:hanging="361"/>
        <w:rPr>
          <w:b/>
          <w:sz w:val="18"/>
        </w:rPr>
      </w:pPr>
      <w:r>
        <w:rPr>
          <w:b/>
          <w:sz w:val="18"/>
        </w:rPr>
        <w:t>Priemerný prepočítaný počet</w:t>
      </w:r>
      <w:r>
        <w:rPr>
          <w:b/>
          <w:spacing w:val="-3"/>
          <w:sz w:val="18"/>
        </w:rPr>
        <w:t xml:space="preserve"> </w:t>
      </w:r>
      <w:r>
        <w:rPr>
          <w:b/>
          <w:sz w:val="18"/>
        </w:rPr>
        <w:t>zamestnancov</w:t>
      </w:r>
    </w:p>
    <w:p w:rsidR="00DE0E18" w:rsidRDefault="00D73FE1">
      <w:pPr>
        <w:pStyle w:val="Zkladntext"/>
        <w:spacing w:line="204" w:lineRule="exact"/>
        <w:ind w:left="472"/>
      </w:pPr>
      <w:r>
        <w:t xml:space="preserve">Priemerný prepočítaný počet zamestnancov Spoločnosti v účtovnom období </w:t>
      </w:r>
      <w:r w:rsidR="006D3F8D">
        <w:t>2018</w:t>
      </w:r>
      <w:r>
        <w:t xml:space="preserve"> bol </w:t>
      </w:r>
      <w:r w:rsidR="006D3F8D">
        <w:t>0</w:t>
      </w:r>
      <w:r>
        <w:t xml:space="preserve"> (v účtovnom období 201</w:t>
      </w:r>
      <w:r w:rsidR="006D3F8D">
        <w:t>7</w:t>
      </w:r>
      <w:r>
        <w:t xml:space="preserve"> bol </w:t>
      </w:r>
      <w:r w:rsidR="006D3F8D">
        <w:t>1</w:t>
      </w:r>
      <w:r>
        <w:t>).</w:t>
      </w:r>
    </w:p>
    <w:p w:rsidR="00DE0E18" w:rsidRDefault="00DE0E18">
      <w:pPr>
        <w:pStyle w:val="Zkladntext"/>
        <w:spacing w:before="6"/>
      </w:pPr>
    </w:p>
    <w:p w:rsidR="00DE0E18" w:rsidRDefault="00D73FE1">
      <w:pPr>
        <w:pStyle w:val="Nadpis2"/>
        <w:numPr>
          <w:ilvl w:val="1"/>
          <w:numId w:val="4"/>
        </w:numPr>
        <w:tabs>
          <w:tab w:val="left" w:pos="472"/>
          <w:tab w:val="left" w:pos="473"/>
        </w:tabs>
        <w:spacing w:line="204" w:lineRule="exact"/>
        <w:ind w:hanging="361"/>
      </w:pPr>
      <w:r>
        <w:t>Zverejnenie účtovnej závierky za predchádzajúce účtovné</w:t>
      </w:r>
      <w:r>
        <w:rPr>
          <w:spacing w:val="-1"/>
        </w:rPr>
        <w:t xml:space="preserve"> </w:t>
      </w:r>
      <w:r>
        <w:t>obdobie</w:t>
      </w:r>
    </w:p>
    <w:p w:rsidR="00DE0E18" w:rsidRDefault="00D73FE1">
      <w:pPr>
        <w:pStyle w:val="Zkladntext"/>
        <w:spacing w:line="204" w:lineRule="exact"/>
        <w:ind w:left="472"/>
      </w:pPr>
      <w:r>
        <w:t xml:space="preserve">Účtovná závierka Spoločnosti k 31. decembru </w:t>
      </w:r>
      <w:r w:rsidR="006D3F8D">
        <w:t>2017</w:t>
      </w:r>
      <w:r>
        <w:t xml:space="preserve"> bola uložená do Registra účt</w:t>
      </w:r>
      <w:r>
        <w:t>ovných závierok.</w:t>
      </w:r>
    </w:p>
    <w:p w:rsidR="00DE0E18" w:rsidRDefault="00DE0E18">
      <w:pPr>
        <w:pStyle w:val="Zkladntext"/>
        <w:spacing w:before="3"/>
      </w:pPr>
    </w:p>
    <w:p w:rsidR="00DE0E18" w:rsidRDefault="00D73FE1">
      <w:pPr>
        <w:pStyle w:val="Nadpis2"/>
        <w:numPr>
          <w:ilvl w:val="1"/>
          <w:numId w:val="4"/>
        </w:numPr>
        <w:tabs>
          <w:tab w:val="left" w:pos="472"/>
          <w:tab w:val="left" w:pos="473"/>
        </w:tabs>
        <w:spacing w:line="204" w:lineRule="exact"/>
        <w:ind w:hanging="361"/>
      </w:pPr>
      <w:r>
        <w:t>Schválenie</w:t>
      </w:r>
      <w:r>
        <w:rPr>
          <w:spacing w:val="-2"/>
        </w:rPr>
        <w:t xml:space="preserve"> </w:t>
      </w:r>
      <w:r>
        <w:t>audítora</w:t>
      </w:r>
    </w:p>
    <w:p w:rsidR="00DE0E18" w:rsidRDefault="00D73FE1">
      <w:pPr>
        <w:pStyle w:val="Zkladntext"/>
        <w:spacing w:line="204" w:lineRule="exact"/>
        <w:ind w:left="475"/>
      </w:pPr>
      <w:r>
        <w:t>Spoločnosť nemá povinnosť auditu.</w:t>
      </w:r>
    </w:p>
    <w:p w:rsidR="00DE0E18" w:rsidRDefault="00DE0E18">
      <w:pPr>
        <w:pStyle w:val="Zkladntext"/>
        <w:rPr>
          <w:sz w:val="29"/>
        </w:rPr>
      </w:pPr>
    </w:p>
    <w:p w:rsidR="00DE0E18" w:rsidRDefault="00D73FE1">
      <w:pPr>
        <w:pStyle w:val="Nadpis2"/>
        <w:numPr>
          <w:ilvl w:val="0"/>
          <w:numId w:val="4"/>
        </w:numPr>
        <w:tabs>
          <w:tab w:val="left" w:pos="473"/>
        </w:tabs>
        <w:ind w:hanging="361"/>
      </w:pPr>
      <w:r>
        <w:t>INFORMÁCIE O ORGÁNOCH ÚČTOVNEJ</w:t>
      </w:r>
      <w:r>
        <w:rPr>
          <w:spacing w:val="-1"/>
        </w:rPr>
        <w:t xml:space="preserve"> </w:t>
      </w:r>
      <w:r>
        <w:t>JEDNOTKY</w:t>
      </w:r>
    </w:p>
    <w:p w:rsidR="00DE0E18" w:rsidRDefault="00DE0E18">
      <w:pPr>
        <w:pStyle w:val="Zkladntext"/>
        <w:spacing w:before="7"/>
        <w:rPr>
          <w:b/>
          <w:sz w:val="24"/>
        </w:rPr>
      </w:pPr>
    </w:p>
    <w:p w:rsidR="00DE0E18" w:rsidRDefault="00D73FE1">
      <w:pPr>
        <w:ind w:left="472"/>
        <w:jc w:val="both"/>
        <w:rPr>
          <w:sz w:val="20"/>
        </w:rPr>
      </w:pPr>
      <w:r>
        <w:rPr>
          <w:sz w:val="20"/>
        </w:rPr>
        <w:t xml:space="preserve">Štatutárny orgán: </w:t>
      </w:r>
      <w:r w:rsidR="006D3F8D">
        <w:rPr>
          <w:sz w:val="20"/>
        </w:rPr>
        <w:tab/>
        <w:t xml:space="preserve"> </w:t>
      </w:r>
      <w:r>
        <w:rPr>
          <w:sz w:val="20"/>
        </w:rPr>
        <w:t>Constantinos Kyriacou</w:t>
      </w:r>
    </w:p>
    <w:p w:rsidR="00DE0E18" w:rsidRDefault="00D73FE1">
      <w:pPr>
        <w:spacing w:before="1"/>
        <w:ind w:left="2236" w:right="5633"/>
        <w:rPr>
          <w:sz w:val="20"/>
        </w:rPr>
      </w:pPr>
      <w:r>
        <w:rPr>
          <w:sz w:val="20"/>
        </w:rPr>
        <w:t>Roger Llewellyn Gordon McCulloch</w:t>
      </w:r>
    </w:p>
    <w:p w:rsidR="00DE0E18" w:rsidRDefault="00DE0E18">
      <w:pPr>
        <w:pStyle w:val="Zkladntext"/>
        <w:spacing w:before="10"/>
        <w:rPr>
          <w:sz w:val="19"/>
        </w:rPr>
      </w:pPr>
    </w:p>
    <w:p w:rsidR="00DE0E18" w:rsidRDefault="00D73FE1">
      <w:pPr>
        <w:ind w:left="465"/>
        <w:jc w:val="both"/>
        <w:rPr>
          <w:sz w:val="20"/>
        </w:rPr>
      </w:pPr>
      <w:r>
        <w:rPr>
          <w:sz w:val="20"/>
        </w:rPr>
        <w:t>V mene spoločnosti konajú konatelia samostatne</w:t>
      </w:r>
    </w:p>
    <w:p w:rsidR="00DE0E18" w:rsidRDefault="00DE0E18">
      <w:pPr>
        <w:jc w:val="both"/>
        <w:rPr>
          <w:sz w:val="20"/>
        </w:rPr>
        <w:sectPr w:rsidR="00DE0E18">
          <w:headerReference w:type="default" r:id="rId7"/>
          <w:footerReference w:type="default" r:id="rId8"/>
          <w:type w:val="continuous"/>
          <w:pgSz w:w="11910" w:h="16840"/>
          <w:pgMar w:top="1660" w:right="900" w:bottom="1080" w:left="1560" w:header="931" w:footer="897" w:gutter="0"/>
          <w:pgNumType w:start="1"/>
          <w:cols w:space="708"/>
        </w:sectPr>
      </w:pPr>
    </w:p>
    <w:p w:rsidR="00DE0E18" w:rsidRDefault="00DE0E18">
      <w:pPr>
        <w:pStyle w:val="Zkladntext"/>
        <w:spacing w:before="6"/>
      </w:pPr>
    </w:p>
    <w:p w:rsidR="00DE0E18" w:rsidRDefault="00D73FE1">
      <w:pPr>
        <w:pStyle w:val="Odsekzoznamu"/>
        <w:numPr>
          <w:ilvl w:val="0"/>
          <w:numId w:val="4"/>
        </w:numPr>
        <w:tabs>
          <w:tab w:val="left" w:pos="473"/>
        </w:tabs>
        <w:spacing w:before="93"/>
        <w:ind w:hanging="361"/>
        <w:rPr>
          <w:b/>
          <w:sz w:val="18"/>
        </w:rPr>
      </w:pPr>
      <w:r>
        <w:rPr>
          <w:b/>
          <w:sz w:val="18"/>
        </w:rPr>
        <w:t>INFORMÁCIE O SPOLOČNÍKOCH ÚČTOVNEJ</w:t>
      </w:r>
      <w:r>
        <w:rPr>
          <w:b/>
          <w:spacing w:val="-4"/>
          <w:sz w:val="18"/>
        </w:rPr>
        <w:t xml:space="preserve"> </w:t>
      </w:r>
      <w:r>
        <w:rPr>
          <w:b/>
          <w:sz w:val="18"/>
        </w:rPr>
        <w:t>JEDNOTKY</w:t>
      </w:r>
    </w:p>
    <w:p w:rsidR="00DE0E18" w:rsidRDefault="00DE0E18">
      <w:pPr>
        <w:pStyle w:val="Zkladntext"/>
        <w:spacing w:before="8"/>
        <w:rPr>
          <w:b/>
          <w:sz w:val="16"/>
        </w:rPr>
      </w:pPr>
    </w:p>
    <w:p w:rsidR="00DE0E18" w:rsidRDefault="00DE0E18">
      <w:pPr>
        <w:rPr>
          <w:sz w:val="16"/>
        </w:rPr>
        <w:sectPr w:rsidR="00DE0E18">
          <w:pgSz w:w="11910" w:h="16840"/>
          <w:pgMar w:top="1660" w:right="900" w:bottom="1080" w:left="1560" w:header="931" w:footer="897" w:gutter="0"/>
          <w:cols w:space="708"/>
        </w:sectPr>
      </w:pPr>
    </w:p>
    <w:p w:rsidR="00DE0E18" w:rsidRDefault="00D73FE1">
      <w:pPr>
        <w:pStyle w:val="Zkladntext"/>
        <w:spacing w:before="93"/>
        <w:ind w:left="540"/>
      </w:pPr>
      <w:r>
        <w:t xml:space="preserve">Štruktúra spoločníkov k 31. decembru </w:t>
      </w:r>
      <w:r w:rsidR="006D3F8D">
        <w:t>2018</w:t>
      </w:r>
      <w:r>
        <w:t xml:space="preserve"> je takáto:</w:t>
      </w:r>
    </w:p>
    <w:p w:rsidR="00DE0E18" w:rsidRDefault="00D73FE1">
      <w:pPr>
        <w:pStyle w:val="Zkladntext"/>
        <w:rPr>
          <w:sz w:val="20"/>
        </w:rPr>
      </w:pPr>
      <w:r>
        <w:br w:type="column"/>
      </w:r>
    </w:p>
    <w:p w:rsidR="00DE0E18" w:rsidRDefault="00DE0E18">
      <w:pPr>
        <w:pStyle w:val="Zkladntext"/>
        <w:rPr>
          <w:sz w:val="20"/>
        </w:rPr>
      </w:pPr>
    </w:p>
    <w:p w:rsidR="00DE0E18" w:rsidRDefault="00DE0E18">
      <w:pPr>
        <w:pStyle w:val="Zkladntext"/>
        <w:spacing w:before="7"/>
        <w:rPr>
          <w:sz w:val="15"/>
        </w:rPr>
      </w:pPr>
    </w:p>
    <w:p w:rsidR="00DE0E18" w:rsidRDefault="00D73FE1">
      <w:pPr>
        <w:pStyle w:val="Zkladntext"/>
        <w:spacing w:line="127" w:lineRule="exact"/>
        <w:ind w:left="540"/>
      </w:pPr>
      <w:r>
        <w:t>Podiel na</w:t>
      </w:r>
    </w:p>
    <w:p w:rsidR="00DE0E18" w:rsidRDefault="00D73FE1">
      <w:pPr>
        <w:pStyle w:val="Zkladntext"/>
        <w:rPr>
          <w:sz w:val="20"/>
        </w:rPr>
      </w:pPr>
      <w:r>
        <w:br w:type="column"/>
      </w:r>
    </w:p>
    <w:p w:rsidR="00DE0E18" w:rsidRDefault="00DE0E18">
      <w:pPr>
        <w:pStyle w:val="Zkladntext"/>
        <w:rPr>
          <w:sz w:val="25"/>
        </w:rPr>
      </w:pPr>
    </w:p>
    <w:p w:rsidR="00DE0E18" w:rsidRDefault="00D73FE1">
      <w:pPr>
        <w:pStyle w:val="Zkladntext"/>
        <w:ind w:left="540"/>
      </w:pPr>
      <w:r>
        <w:t>Iný podiel na</w:t>
      </w:r>
    </w:p>
    <w:p w:rsidR="00DE0E18" w:rsidRDefault="00DE0E18">
      <w:pPr>
        <w:sectPr w:rsidR="00DE0E18">
          <w:type w:val="continuous"/>
          <w:pgSz w:w="11910" w:h="16840"/>
          <w:pgMar w:top="1660" w:right="900" w:bottom="1080" w:left="1560" w:header="708" w:footer="708" w:gutter="0"/>
          <w:cols w:num="3" w:space="708" w:equalWidth="0">
            <w:col w:w="4452" w:space="1723"/>
            <w:col w:w="1248" w:space="125"/>
            <w:col w:w="1902"/>
          </w:cols>
        </w:sectPr>
      </w:pPr>
    </w:p>
    <w:p w:rsidR="00DE0E18" w:rsidRDefault="00D73FE1">
      <w:pPr>
        <w:pStyle w:val="Zkladntext"/>
        <w:spacing w:before="114"/>
        <w:ind w:left="585"/>
      </w:pPr>
      <w:r>
        <w:t>Spoločník</w:t>
      </w:r>
    </w:p>
    <w:p w:rsidR="00DE0E18" w:rsidRDefault="00D73FE1">
      <w:pPr>
        <w:pStyle w:val="Zkladntext"/>
        <w:spacing w:before="99"/>
        <w:ind w:left="585"/>
      </w:pPr>
      <w:r>
        <w:br w:type="column"/>
      </w:r>
      <w:r>
        <w:t xml:space="preserve">Výška podielu na základnom </w:t>
      </w:r>
      <w:r>
        <w:rPr>
          <w:spacing w:val="-7"/>
        </w:rPr>
        <w:t>imaní</w:t>
      </w:r>
    </w:p>
    <w:p w:rsidR="00DE0E18" w:rsidRDefault="00D73FE1">
      <w:pPr>
        <w:pStyle w:val="Zkladntext"/>
        <w:spacing w:before="114" w:line="280" w:lineRule="auto"/>
        <w:ind w:left="620" w:right="-6" w:hanging="137"/>
      </w:pPr>
      <w:r>
        <w:br w:type="column"/>
      </w:r>
      <w:r>
        <w:rPr>
          <w:spacing w:val="-3"/>
        </w:rPr>
        <w:t xml:space="preserve">hlasovacích </w:t>
      </w:r>
      <w:r>
        <w:t>právach</w:t>
      </w:r>
    </w:p>
    <w:p w:rsidR="00DE0E18" w:rsidRDefault="00D73FE1">
      <w:pPr>
        <w:pStyle w:val="Zkladntext"/>
        <w:spacing w:line="280" w:lineRule="auto"/>
        <w:ind w:left="579" w:right="390" w:firstLine="16"/>
        <w:jc w:val="center"/>
      </w:pPr>
      <w:r>
        <w:br w:type="column"/>
      </w:r>
      <w:r>
        <w:t>ostatných položkách VI ako na ZI</w:t>
      </w:r>
    </w:p>
    <w:p w:rsidR="00DE0E18" w:rsidRDefault="00DE0E18">
      <w:pPr>
        <w:spacing w:line="280" w:lineRule="auto"/>
        <w:jc w:val="center"/>
        <w:sectPr w:rsidR="00DE0E18">
          <w:type w:val="continuous"/>
          <w:pgSz w:w="11910" w:h="16840"/>
          <w:pgMar w:top="1660" w:right="900" w:bottom="1080" w:left="1560" w:header="708" w:footer="708" w:gutter="0"/>
          <w:cols w:num="4" w:space="708" w:equalWidth="0">
            <w:col w:w="1350" w:space="1623"/>
            <w:col w:w="3127" w:space="40"/>
            <w:col w:w="1314" w:space="40"/>
            <w:col w:w="1956"/>
          </w:cols>
        </w:sectPr>
      </w:pPr>
    </w:p>
    <w:tbl>
      <w:tblPr>
        <w:tblStyle w:val="TableNormal"/>
        <w:tblW w:w="0" w:type="auto"/>
        <w:tblInd w:w="543" w:type="dxa"/>
        <w:tblLayout w:type="fixed"/>
        <w:tblLook w:val="01E0" w:firstRow="1" w:lastRow="1" w:firstColumn="1" w:lastColumn="1" w:noHBand="0" w:noVBand="0"/>
      </w:tblPr>
      <w:tblGrid>
        <w:gridCol w:w="2899"/>
        <w:gridCol w:w="1336"/>
        <w:gridCol w:w="129"/>
        <w:gridCol w:w="1334"/>
        <w:gridCol w:w="146"/>
        <w:gridCol w:w="1335"/>
        <w:gridCol w:w="157"/>
        <w:gridCol w:w="1412"/>
      </w:tblGrid>
      <w:tr w:rsidR="00DE0E18">
        <w:trPr>
          <w:trHeight w:val="468"/>
        </w:trPr>
        <w:tc>
          <w:tcPr>
            <w:tcW w:w="2899" w:type="dxa"/>
            <w:tcBorders>
              <w:bottom w:val="single" w:sz="6" w:space="0" w:color="000000"/>
            </w:tcBorders>
          </w:tcPr>
          <w:p w:rsidR="00DE0E18" w:rsidRDefault="00DE0E18">
            <w:pPr>
              <w:pStyle w:val="TableParagraph"/>
              <w:spacing w:before="2"/>
              <w:rPr>
                <w:sz w:val="20"/>
              </w:rPr>
            </w:pPr>
          </w:p>
          <w:p w:rsidR="00DE0E18" w:rsidRDefault="00D73FE1">
            <w:pPr>
              <w:pStyle w:val="TableParagraph"/>
              <w:ind w:right="119"/>
              <w:jc w:val="center"/>
              <w:rPr>
                <w:sz w:val="18"/>
              </w:rPr>
            </w:pPr>
            <w:r>
              <w:rPr>
                <w:sz w:val="18"/>
              </w:rPr>
              <w:t>a</w:t>
            </w:r>
          </w:p>
        </w:tc>
        <w:tc>
          <w:tcPr>
            <w:tcW w:w="1336" w:type="dxa"/>
            <w:tcBorders>
              <w:bottom w:val="single" w:sz="6" w:space="0" w:color="000000"/>
            </w:tcBorders>
          </w:tcPr>
          <w:p w:rsidR="00DE0E18" w:rsidRDefault="00D73FE1">
            <w:pPr>
              <w:pStyle w:val="TableParagraph"/>
              <w:spacing w:line="197" w:lineRule="exact"/>
              <w:ind w:left="305" w:right="300"/>
              <w:jc w:val="center"/>
              <w:rPr>
                <w:sz w:val="18"/>
              </w:rPr>
            </w:pPr>
            <w:r>
              <w:rPr>
                <w:sz w:val="18"/>
              </w:rPr>
              <w:t>absolútne</w:t>
            </w:r>
          </w:p>
          <w:p w:rsidR="00DE0E18" w:rsidRDefault="00D73FE1">
            <w:pPr>
              <w:pStyle w:val="TableParagraph"/>
              <w:spacing w:before="35"/>
              <w:ind w:left="2"/>
              <w:jc w:val="center"/>
              <w:rPr>
                <w:sz w:val="18"/>
              </w:rPr>
            </w:pPr>
            <w:r>
              <w:rPr>
                <w:sz w:val="18"/>
              </w:rPr>
              <w:t>b</w:t>
            </w:r>
          </w:p>
        </w:tc>
        <w:tc>
          <w:tcPr>
            <w:tcW w:w="1463" w:type="dxa"/>
            <w:gridSpan w:val="2"/>
            <w:tcBorders>
              <w:bottom w:val="single" w:sz="6" w:space="0" w:color="000000"/>
            </w:tcBorders>
          </w:tcPr>
          <w:p w:rsidR="00DE0E18" w:rsidRDefault="00D73FE1">
            <w:pPr>
              <w:pStyle w:val="TableParagraph"/>
              <w:spacing w:line="197" w:lineRule="exact"/>
              <w:ind w:left="641" w:right="496"/>
              <w:jc w:val="center"/>
              <w:rPr>
                <w:sz w:val="18"/>
              </w:rPr>
            </w:pPr>
            <w:r>
              <w:rPr>
                <w:sz w:val="18"/>
              </w:rPr>
              <w:t>v %</w:t>
            </w:r>
          </w:p>
          <w:p w:rsidR="00DE0E18" w:rsidRDefault="00D73FE1">
            <w:pPr>
              <w:pStyle w:val="TableParagraph"/>
              <w:spacing w:before="35"/>
              <w:ind w:left="149"/>
              <w:jc w:val="center"/>
              <w:rPr>
                <w:sz w:val="18"/>
              </w:rPr>
            </w:pPr>
            <w:r>
              <w:rPr>
                <w:sz w:val="18"/>
              </w:rPr>
              <w:t>c</w:t>
            </w:r>
          </w:p>
        </w:tc>
        <w:tc>
          <w:tcPr>
            <w:tcW w:w="1481" w:type="dxa"/>
            <w:gridSpan w:val="2"/>
            <w:tcBorders>
              <w:bottom w:val="single" w:sz="6" w:space="0" w:color="000000"/>
            </w:tcBorders>
          </w:tcPr>
          <w:p w:rsidR="00DE0E18" w:rsidRDefault="00D73FE1">
            <w:pPr>
              <w:pStyle w:val="TableParagraph"/>
              <w:spacing w:line="197" w:lineRule="exact"/>
              <w:ind w:left="657" w:right="499"/>
              <w:jc w:val="center"/>
              <w:rPr>
                <w:sz w:val="18"/>
              </w:rPr>
            </w:pPr>
            <w:r>
              <w:rPr>
                <w:sz w:val="18"/>
              </w:rPr>
              <w:t>v %</w:t>
            </w:r>
          </w:p>
          <w:p w:rsidR="00DE0E18" w:rsidRDefault="00D73FE1">
            <w:pPr>
              <w:pStyle w:val="TableParagraph"/>
              <w:spacing w:before="35"/>
              <w:ind w:left="144"/>
              <w:jc w:val="center"/>
              <w:rPr>
                <w:sz w:val="18"/>
              </w:rPr>
            </w:pPr>
            <w:r>
              <w:rPr>
                <w:sz w:val="18"/>
              </w:rPr>
              <w:t>d</w:t>
            </w:r>
          </w:p>
        </w:tc>
        <w:tc>
          <w:tcPr>
            <w:tcW w:w="1569" w:type="dxa"/>
            <w:gridSpan w:val="2"/>
            <w:tcBorders>
              <w:bottom w:val="single" w:sz="6" w:space="0" w:color="000000"/>
            </w:tcBorders>
          </w:tcPr>
          <w:p w:rsidR="00DE0E18" w:rsidRDefault="00D73FE1">
            <w:pPr>
              <w:pStyle w:val="TableParagraph"/>
              <w:spacing w:line="197" w:lineRule="exact"/>
              <w:ind w:left="702" w:right="542"/>
              <w:jc w:val="center"/>
              <w:rPr>
                <w:sz w:val="18"/>
              </w:rPr>
            </w:pPr>
            <w:r>
              <w:rPr>
                <w:sz w:val="18"/>
              </w:rPr>
              <w:t>v %</w:t>
            </w:r>
          </w:p>
          <w:p w:rsidR="00DE0E18" w:rsidRDefault="00D73FE1">
            <w:pPr>
              <w:pStyle w:val="TableParagraph"/>
              <w:spacing w:before="35"/>
              <w:ind w:left="165"/>
              <w:jc w:val="center"/>
              <w:rPr>
                <w:sz w:val="18"/>
              </w:rPr>
            </w:pPr>
            <w:r>
              <w:rPr>
                <w:sz w:val="18"/>
              </w:rPr>
              <w:t>e</w:t>
            </w:r>
          </w:p>
        </w:tc>
      </w:tr>
      <w:tr w:rsidR="00DE0E18">
        <w:trPr>
          <w:trHeight w:val="467"/>
        </w:trPr>
        <w:tc>
          <w:tcPr>
            <w:tcW w:w="2899" w:type="dxa"/>
          </w:tcPr>
          <w:p w:rsidR="00DE0E18" w:rsidRDefault="00DE0E18">
            <w:pPr>
              <w:pStyle w:val="TableParagraph"/>
              <w:spacing w:before="1"/>
              <w:rPr>
                <w:sz w:val="20"/>
              </w:rPr>
            </w:pPr>
          </w:p>
          <w:p w:rsidR="00DE0E18" w:rsidRDefault="00D73FE1">
            <w:pPr>
              <w:pStyle w:val="TableParagraph"/>
              <w:ind w:left="50"/>
              <w:rPr>
                <w:sz w:val="18"/>
              </w:rPr>
            </w:pPr>
            <w:r>
              <w:rPr>
                <w:sz w:val="18"/>
              </w:rPr>
              <w:t>G&amp;P GROUP HOLDINGS Ltd.</w:t>
            </w:r>
          </w:p>
        </w:tc>
        <w:tc>
          <w:tcPr>
            <w:tcW w:w="1336" w:type="dxa"/>
            <w:tcBorders>
              <w:bottom w:val="single" w:sz="6" w:space="0" w:color="000000"/>
            </w:tcBorders>
          </w:tcPr>
          <w:p w:rsidR="00DE0E18" w:rsidRDefault="00DE0E18">
            <w:pPr>
              <w:pStyle w:val="TableParagraph"/>
              <w:spacing w:before="1"/>
              <w:rPr>
                <w:sz w:val="20"/>
              </w:rPr>
            </w:pPr>
          </w:p>
          <w:p w:rsidR="00DE0E18" w:rsidRDefault="006D3F8D">
            <w:pPr>
              <w:pStyle w:val="TableParagraph"/>
              <w:ind w:right="31"/>
              <w:jc w:val="right"/>
              <w:rPr>
                <w:sz w:val="18"/>
              </w:rPr>
            </w:pPr>
            <w:r>
              <w:rPr>
                <w:sz w:val="18"/>
              </w:rPr>
              <w:t>0</w:t>
            </w:r>
          </w:p>
        </w:tc>
        <w:tc>
          <w:tcPr>
            <w:tcW w:w="129" w:type="dxa"/>
          </w:tcPr>
          <w:p w:rsidR="00DE0E18" w:rsidRDefault="00DE0E18">
            <w:pPr>
              <w:pStyle w:val="TableParagraph"/>
              <w:rPr>
                <w:sz w:val="18"/>
              </w:rPr>
            </w:pPr>
          </w:p>
        </w:tc>
        <w:tc>
          <w:tcPr>
            <w:tcW w:w="1334" w:type="dxa"/>
            <w:tcBorders>
              <w:bottom w:val="single" w:sz="6" w:space="0" w:color="000000"/>
            </w:tcBorders>
          </w:tcPr>
          <w:p w:rsidR="00DE0E18" w:rsidRDefault="00DE0E18">
            <w:pPr>
              <w:pStyle w:val="TableParagraph"/>
              <w:spacing w:before="1"/>
              <w:rPr>
                <w:sz w:val="20"/>
              </w:rPr>
            </w:pPr>
          </w:p>
          <w:p w:rsidR="00DE0E18" w:rsidRDefault="00D73FE1">
            <w:pPr>
              <w:pStyle w:val="TableParagraph"/>
              <w:ind w:right="29"/>
              <w:jc w:val="right"/>
              <w:rPr>
                <w:sz w:val="18"/>
              </w:rPr>
            </w:pPr>
            <w:r>
              <w:rPr>
                <w:sz w:val="18"/>
              </w:rPr>
              <w:t>100</w:t>
            </w:r>
          </w:p>
        </w:tc>
        <w:tc>
          <w:tcPr>
            <w:tcW w:w="146" w:type="dxa"/>
          </w:tcPr>
          <w:p w:rsidR="00DE0E18" w:rsidRDefault="00DE0E18">
            <w:pPr>
              <w:pStyle w:val="TableParagraph"/>
              <w:rPr>
                <w:sz w:val="18"/>
              </w:rPr>
            </w:pPr>
          </w:p>
        </w:tc>
        <w:tc>
          <w:tcPr>
            <w:tcW w:w="1335" w:type="dxa"/>
            <w:tcBorders>
              <w:bottom w:val="single" w:sz="6" w:space="0" w:color="000000"/>
            </w:tcBorders>
          </w:tcPr>
          <w:p w:rsidR="00DE0E18" w:rsidRDefault="00DE0E18">
            <w:pPr>
              <w:pStyle w:val="TableParagraph"/>
              <w:spacing w:before="1"/>
              <w:rPr>
                <w:sz w:val="20"/>
              </w:rPr>
            </w:pPr>
          </w:p>
          <w:p w:rsidR="00DE0E18" w:rsidRDefault="00D73FE1">
            <w:pPr>
              <w:pStyle w:val="TableParagraph"/>
              <w:ind w:right="31"/>
              <w:jc w:val="right"/>
              <w:rPr>
                <w:sz w:val="18"/>
              </w:rPr>
            </w:pPr>
            <w:r>
              <w:rPr>
                <w:sz w:val="18"/>
              </w:rPr>
              <w:t>100</w:t>
            </w:r>
          </w:p>
        </w:tc>
        <w:tc>
          <w:tcPr>
            <w:tcW w:w="157" w:type="dxa"/>
          </w:tcPr>
          <w:p w:rsidR="00DE0E18" w:rsidRDefault="00DE0E18">
            <w:pPr>
              <w:pStyle w:val="TableParagraph"/>
              <w:rPr>
                <w:sz w:val="18"/>
              </w:rPr>
            </w:pPr>
          </w:p>
        </w:tc>
        <w:tc>
          <w:tcPr>
            <w:tcW w:w="1412" w:type="dxa"/>
            <w:tcBorders>
              <w:bottom w:val="single" w:sz="6" w:space="0" w:color="000000"/>
            </w:tcBorders>
          </w:tcPr>
          <w:p w:rsidR="00DE0E18" w:rsidRDefault="00DE0E18">
            <w:pPr>
              <w:pStyle w:val="TableParagraph"/>
              <w:spacing w:before="1"/>
              <w:rPr>
                <w:sz w:val="20"/>
              </w:rPr>
            </w:pPr>
          </w:p>
          <w:p w:rsidR="00DE0E18" w:rsidRDefault="00D73FE1">
            <w:pPr>
              <w:pStyle w:val="TableParagraph"/>
              <w:ind w:right="45"/>
              <w:jc w:val="right"/>
              <w:rPr>
                <w:sz w:val="18"/>
              </w:rPr>
            </w:pPr>
            <w:r>
              <w:rPr>
                <w:sz w:val="18"/>
              </w:rPr>
              <w:t>-</w:t>
            </w:r>
          </w:p>
        </w:tc>
      </w:tr>
      <w:tr w:rsidR="00DE0E18">
        <w:trPr>
          <w:trHeight w:val="235"/>
        </w:trPr>
        <w:tc>
          <w:tcPr>
            <w:tcW w:w="2899" w:type="dxa"/>
          </w:tcPr>
          <w:p w:rsidR="00DE0E18" w:rsidRDefault="00D73FE1">
            <w:pPr>
              <w:pStyle w:val="TableParagraph"/>
              <w:spacing w:line="201" w:lineRule="exact"/>
              <w:ind w:left="50"/>
              <w:rPr>
                <w:b/>
                <w:sz w:val="18"/>
              </w:rPr>
            </w:pPr>
            <w:r>
              <w:rPr>
                <w:b/>
                <w:sz w:val="18"/>
              </w:rPr>
              <w:t>Spolu</w:t>
            </w:r>
          </w:p>
        </w:tc>
        <w:tc>
          <w:tcPr>
            <w:tcW w:w="1336" w:type="dxa"/>
            <w:tcBorders>
              <w:top w:val="single" w:sz="6" w:space="0" w:color="000000"/>
              <w:bottom w:val="single" w:sz="8" w:space="0" w:color="000000"/>
            </w:tcBorders>
          </w:tcPr>
          <w:p w:rsidR="00DE0E18" w:rsidRDefault="006D3F8D">
            <w:pPr>
              <w:pStyle w:val="TableParagraph"/>
              <w:spacing w:line="201" w:lineRule="exact"/>
              <w:ind w:right="31"/>
              <w:jc w:val="right"/>
              <w:rPr>
                <w:b/>
                <w:sz w:val="18"/>
              </w:rPr>
            </w:pPr>
            <w:r>
              <w:rPr>
                <w:b/>
                <w:sz w:val="18"/>
              </w:rPr>
              <w:t>0</w:t>
            </w:r>
          </w:p>
        </w:tc>
        <w:tc>
          <w:tcPr>
            <w:tcW w:w="129" w:type="dxa"/>
          </w:tcPr>
          <w:p w:rsidR="00DE0E18" w:rsidRDefault="00DE0E18">
            <w:pPr>
              <w:pStyle w:val="TableParagraph"/>
              <w:rPr>
                <w:sz w:val="16"/>
              </w:rPr>
            </w:pPr>
          </w:p>
        </w:tc>
        <w:tc>
          <w:tcPr>
            <w:tcW w:w="1334" w:type="dxa"/>
            <w:tcBorders>
              <w:top w:val="single" w:sz="6" w:space="0" w:color="000000"/>
              <w:bottom w:val="single" w:sz="8" w:space="0" w:color="000000"/>
            </w:tcBorders>
          </w:tcPr>
          <w:p w:rsidR="00DE0E18" w:rsidRDefault="00D73FE1">
            <w:pPr>
              <w:pStyle w:val="TableParagraph"/>
              <w:spacing w:line="201" w:lineRule="exact"/>
              <w:ind w:right="29"/>
              <w:jc w:val="right"/>
              <w:rPr>
                <w:b/>
                <w:sz w:val="18"/>
              </w:rPr>
            </w:pPr>
            <w:r>
              <w:rPr>
                <w:b/>
                <w:sz w:val="18"/>
              </w:rPr>
              <w:t>100</w:t>
            </w:r>
          </w:p>
        </w:tc>
        <w:tc>
          <w:tcPr>
            <w:tcW w:w="146" w:type="dxa"/>
          </w:tcPr>
          <w:p w:rsidR="00DE0E18" w:rsidRDefault="00DE0E18">
            <w:pPr>
              <w:pStyle w:val="TableParagraph"/>
              <w:rPr>
                <w:sz w:val="16"/>
              </w:rPr>
            </w:pPr>
          </w:p>
        </w:tc>
        <w:tc>
          <w:tcPr>
            <w:tcW w:w="1335" w:type="dxa"/>
            <w:tcBorders>
              <w:top w:val="single" w:sz="6" w:space="0" w:color="000000"/>
              <w:bottom w:val="single" w:sz="8" w:space="0" w:color="000000"/>
            </w:tcBorders>
          </w:tcPr>
          <w:p w:rsidR="00DE0E18" w:rsidRDefault="00D73FE1">
            <w:pPr>
              <w:pStyle w:val="TableParagraph"/>
              <w:spacing w:line="201" w:lineRule="exact"/>
              <w:ind w:right="31"/>
              <w:jc w:val="right"/>
              <w:rPr>
                <w:b/>
                <w:sz w:val="18"/>
              </w:rPr>
            </w:pPr>
            <w:r>
              <w:rPr>
                <w:b/>
                <w:sz w:val="18"/>
              </w:rPr>
              <w:t>100</w:t>
            </w:r>
          </w:p>
        </w:tc>
        <w:tc>
          <w:tcPr>
            <w:tcW w:w="157" w:type="dxa"/>
          </w:tcPr>
          <w:p w:rsidR="00DE0E18" w:rsidRDefault="00DE0E18">
            <w:pPr>
              <w:pStyle w:val="TableParagraph"/>
              <w:rPr>
                <w:sz w:val="16"/>
              </w:rPr>
            </w:pPr>
          </w:p>
        </w:tc>
        <w:tc>
          <w:tcPr>
            <w:tcW w:w="1412" w:type="dxa"/>
            <w:tcBorders>
              <w:top w:val="single" w:sz="6" w:space="0" w:color="000000"/>
              <w:bottom w:val="thickThinMediumGap" w:sz="4" w:space="0" w:color="000000"/>
            </w:tcBorders>
          </w:tcPr>
          <w:p w:rsidR="00DE0E18" w:rsidRDefault="00D73FE1">
            <w:pPr>
              <w:pStyle w:val="TableParagraph"/>
              <w:spacing w:line="201" w:lineRule="exact"/>
              <w:ind w:right="45"/>
              <w:jc w:val="right"/>
              <w:rPr>
                <w:b/>
                <w:sz w:val="18"/>
              </w:rPr>
            </w:pPr>
            <w:r>
              <w:rPr>
                <w:b/>
                <w:sz w:val="18"/>
              </w:rPr>
              <w:t>-</w:t>
            </w:r>
          </w:p>
        </w:tc>
      </w:tr>
    </w:tbl>
    <w:p w:rsidR="00DE0E18" w:rsidRDefault="00DE0E18">
      <w:pPr>
        <w:pStyle w:val="Zkladntext"/>
        <w:rPr>
          <w:sz w:val="20"/>
        </w:rPr>
      </w:pPr>
    </w:p>
    <w:p w:rsidR="00DE0E18" w:rsidRDefault="00DE0E18">
      <w:pPr>
        <w:pStyle w:val="Zkladntext"/>
        <w:rPr>
          <w:sz w:val="20"/>
        </w:rPr>
      </w:pPr>
    </w:p>
    <w:p w:rsidR="00DE0E18" w:rsidRDefault="00DE0E18">
      <w:pPr>
        <w:pStyle w:val="Zkladntext"/>
        <w:rPr>
          <w:sz w:val="20"/>
        </w:rPr>
      </w:pPr>
    </w:p>
    <w:p w:rsidR="00DE0E18" w:rsidRDefault="00D73FE1">
      <w:pPr>
        <w:pStyle w:val="Nadpis2"/>
        <w:numPr>
          <w:ilvl w:val="0"/>
          <w:numId w:val="4"/>
        </w:numPr>
        <w:tabs>
          <w:tab w:val="left" w:pos="473"/>
        </w:tabs>
        <w:spacing w:before="92"/>
        <w:ind w:hanging="361"/>
      </w:pPr>
      <w:r>
        <w:t>INFORMÁCIE O ÚČTOVNÝCH ZÁSADÁCH A ÚČTOVNÝCH</w:t>
      </w:r>
      <w:r>
        <w:rPr>
          <w:spacing w:val="-8"/>
        </w:rPr>
        <w:t xml:space="preserve"> </w:t>
      </w:r>
      <w:r>
        <w:t>METÓDACH</w:t>
      </w:r>
    </w:p>
    <w:p w:rsidR="00DE0E18" w:rsidRDefault="00DE0E18">
      <w:pPr>
        <w:pStyle w:val="Zkladntext"/>
        <w:spacing w:before="3"/>
        <w:rPr>
          <w:b/>
          <w:sz w:val="25"/>
        </w:rPr>
      </w:pPr>
    </w:p>
    <w:p w:rsidR="00DE0E18" w:rsidRDefault="00D73FE1">
      <w:pPr>
        <w:pStyle w:val="Odsekzoznamu"/>
        <w:numPr>
          <w:ilvl w:val="1"/>
          <w:numId w:val="4"/>
        </w:numPr>
        <w:tabs>
          <w:tab w:val="left" w:pos="833"/>
        </w:tabs>
        <w:spacing w:line="204" w:lineRule="exact"/>
        <w:ind w:left="832" w:hanging="361"/>
        <w:jc w:val="both"/>
        <w:rPr>
          <w:b/>
          <w:sz w:val="18"/>
        </w:rPr>
      </w:pPr>
      <w:r>
        <w:rPr>
          <w:b/>
          <w:sz w:val="18"/>
        </w:rPr>
        <w:t>Východiská pre zostavenie účtovnej</w:t>
      </w:r>
      <w:r>
        <w:rPr>
          <w:b/>
          <w:spacing w:val="-7"/>
          <w:sz w:val="18"/>
        </w:rPr>
        <w:t xml:space="preserve"> </w:t>
      </w:r>
      <w:r>
        <w:rPr>
          <w:b/>
          <w:sz w:val="18"/>
        </w:rPr>
        <w:t>závierky</w:t>
      </w:r>
    </w:p>
    <w:p w:rsidR="00DE0E18" w:rsidRDefault="00D73FE1">
      <w:pPr>
        <w:pStyle w:val="Zkladntext"/>
        <w:spacing w:line="482" w:lineRule="auto"/>
        <w:ind w:left="564" w:right="1673"/>
      </w:pPr>
      <w:r>
        <w:t>Účtovná závierka bola zostavená za predpokladu nepretržitého trvania Spoločnosti (going concern). Účtovné metódy a všeobecné účtovné zásady boli účtovnou jednotkou konzistentne aplikované.</w:t>
      </w:r>
    </w:p>
    <w:p w:rsidR="00DE0E18" w:rsidRDefault="00DE0E18">
      <w:pPr>
        <w:pStyle w:val="Zkladntext"/>
        <w:spacing w:before="11"/>
        <w:rPr>
          <w:sz w:val="17"/>
        </w:rPr>
      </w:pPr>
    </w:p>
    <w:p w:rsidR="00DE0E18" w:rsidRDefault="00D73FE1">
      <w:pPr>
        <w:pStyle w:val="Odsekzoznamu"/>
        <w:numPr>
          <w:ilvl w:val="1"/>
          <w:numId w:val="4"/>
        </w:numPr>
        <w:tabs>
          <w:tab w:val="left" w:pos="833"/>
        </w:tabs>
        <w:spacing w:line="237" w:lineRule="auto"/>
        <w:ind w:left="540" w:right="4038" w:hanging="68"/>
        <w:jc w:val="both"/>
        <w:rPr>
          <w:sz w:val="18"/>
        </w:rPr>
      </w:pPr>
      <w:r>
        <w:rPr>
          <w:b/>
          <w:sz w:val="18"/>
        </w:rPr>
        <w:t xml:space="preserve">Dlhodobý nehmotný majetok a dlhodobý hmotný majetok </w:t>
      </w:r>
      <w:r>
        <w:rPr>
          <w:sz w:val="18"/>
        </w:rPr>
        <w:t>Spoločnosť nem</w:t>
      </w:r>
      <w:r>
        <w:rPr>
          <w:sz w:val="18"/>
        </w:rPr>
        <w:t>á dlhodobý nehmotný a dlhodobý hmotný</w:t>
      </w:r>
      <w:r>
        <w:rPr>
          <w:spacing w:val="-19"/>
          <w:sz w:val="18"/>
        </w:rPr>
        <w:t xml:space="preserve"> </w:t>
      </w:r>
      <w:r>
        <w:rPr>
          <w:sz w:val="18"/>
        </w:rPr>
        <w:t>majetok.</w:t>
      </w:r>
    </w:p>
    <w:p w:rsidR="00DE0E18" w:rsidRDefault="00DE0E18">
      <w:pPr>
        <w:pStyle w:val="Zkladntext"/>
        <w:spacing w:before="3"/>
      </w:pPr>
    </w:p>
    <w:p w:rsidR="00DE0E18" w:rsidRDefault="00D73FE1">
      <w:pPr>
        <w:pStyle w:val="Nadpis2"/>
        <w:numPr>
          <w:ilvl w:val="1"/>
          <w:numId w:val="4"/>
        </w:numPr>
        <w:tabs>
          <w:tab w:val="left" w:pos="833"/>
        </w:tabs>
        <w:spacing w:line="204" w:lineRule="exact"/>
        <w:ind w:left="832" w:hanging="361"/>
        <w:jc w:val="both"/>
      </w:pPr>
      <w:r>
        <w:t>Dlhodobý finančný</w:t>
      </w:r>
      <w:r>
        <w:rPr>
          <w:spacing w:val="3"/>
        </w:rPr>
        <w:t xml:space="preserve"> </w:t>
      </w:r>
      <w:r>
        <w:t>majetok</w:t>
      </w:r>
    </w:p>
    <w:p w:rsidR="00DE0E18" w:rsidRDefault="00D73FE1">
      <w:pPr>
        <w:pStyle w:val="Zkladntext"/>
        <w:spacing w:line="204" w:lineRule="exact"/>
        <w:ind w:left="540"/>
      </w:pPr>
      <w:r>
        <w:t>Spoločnosť nemá dlhodobý finančný majetok.</w:t>
      </w:r>
    </w:p>
    <w:p w:rsidR="00DE0E18" w:rsidRDefault="00DE0E18">
      <w:pPr>
        <w:pStyle w:val="Zkladntext"/>
        <w:spacing w:before="6"/>
      </w:pPr>
    </w:p>
    <w:p w:rsidR="00DE0E18" w:rsidRDefault="00D73FE1">
      <w:pPr>
        <w:pStyle w:val="Nadpis2"/>
        <w:numPr>
          <w:ilvl w:val="1"/>
          <w:numId w:val="4"/>
        </w:numPr>
        <w:tabs>
          <w:tab w:val="left" w:pos="833"/>
        </w:tabs>
        <w:spacing w:line="204" w:lineRule="exact"/>
        <w:ind w:left="832" w:hanging="361"/>
        <w:jc w:val="both"/>
      </w:pPr>
      <w:r>
        <w:t>Zásoby</w:t>
      </w:r>
    </w:p>
    <w:p w:rsidR="00DE0E18" w:rsidRDefault="00D73FE1">
      <w:pPr>
        <w:pStyle w:val="Zkladntext"/>
        <w:spacing w:line="204" w:lineRule="exact"/>
        <w:ind w:left="540"/>
      </w:pPr>
      <w:r>
        <w:t>Spoločnosť nemá zásoby.</w:t>
      </w:r>
    </w:p>
    <w:p w:rsidR="00DE0E18" w:rsidRDefault="00DE0E18">
      <w:pPr>
        <w:pStyle w:val="Zkladntext"/>
        <w:spacing w:before="3"/>
      </w:pPr>
    </w:p>
    <w:p w:rsidR="00DE0E18" w:rsidRDefault="00D73FE1">
      <w:pPr>
        <w:pStyle w:val="Nadpis2"/>
        <w:numPr>
          <w:ilvl w:val="1"/>
          <w:numId w:val="4"/>
        </w:numPr>
        <w:tabs>
          <w:tab w:val="left" w:pos="833"/>
        </w:tabs>
        <w:spacing w:before="1" w:line="205" w:lineRule="exact"/>
        <w:ind w:left="832" w:hanging="361"/>
        <w:jc w:val="both"/>
      </w:pPr>
      <w:r>
        <w:t>Pohľadávky</w:t>
      </w:r>
    </w:p>
    <w:p w:rsidR="00DE0E18" w:rsidRDefault="00D73FE1">
      <w:pPr>
        <w:pStyle w:val="Zkladntext"/>
        <w:ind w:left="540" w:right="116"/>
        <w:jc w:val="both"/>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w:t>
      </w:r>
      <w:r>
        <w:t>eľné pohľadávky.</w:t>
      </w:r>
    </w:p>
    <w:p w:rsidR="00DE0E18" w:rsidRDefault="00DE0E18">
      <w:pPr>
        <w:pStyle w:val="Zkladntext"/>
        <w:spacing w:before="9"/>
        <w:rPr>
          <w:sz w:val="17"/>
        </w:rPr>
      </w:pPr>
    </w:p>
    <w:p w:rsidR="00DE0E18" w:rsidRDefault="00D73FE1">
      <w:pPr>
        <w:pStyle w:val="Zkladntext"/>
        <w:spacing w:before="1"/>
        <w:ind w:left="540" w:right="118"/>
        <w:jc w:val="both"/>
      </w:pPr>
      <w:r>
        <w:t>Pri dlhodobých pôžičkách a pohľadávkach, ak je zostatková doba splatnosti pohľadávky alebo pôžičky dlhšia ako jeden rok, upravuje sa hodnota tejto pohľadávky alebo pôžičky formou opravnej položky, ktorá predstavuje rozdiel medzi menovitou</w:t>
      </w:r>
      <w:r>
        <w:t xml:space="preserve"> a súčasnou hodnotou pohľadávky. Súčasná hodnota pohľadávky sa počíta ak súčet súčinov budúcich peňažných príjmov a príslušných diskontných faktorov.</w:t>
      </w:r>
    </w:p>
    <w:p w:rsidR="00DE0E18" w:rsidRDefault="00DE0E18">
      <w:pPr>
        <w:pStyle w:val="Zkladntext"/>
        <w:rPr>
          <w:sz w:val="20"/>
        </w:rPr>
      </w:pPr>
    </w:p>
    <w:p w:rsidR="00DE0E18" w:rsidRDefault="00DE0E18">
      <w:pPr>
        <w:pStyle w:val="Zkladntext"/>
        <w:spacing w:before="3"/>
        <w:rPr>
          <w:sz w:val="16"/>
        </w:rPr>
      </w:pPr>
    </w:p>
    <w:p w:rsidR="00DE0E18" w:rsidRDefault="00D73FE1">
      <w:pPr>
        <w:pStyle w:val="Nadpis2"/>
        <w:numPr>
          <w:ilvl w:val="1"/>
          <w:numId w:val="4"/>
        </w:numPr>
        <w:tabs>
          <w:tab w:val="left" w:pos="833"/>
        </w:tabs>
        <w:spacing w:line="204" w:lineRule="exact"/>
        <w:ind w:left="832" w:hanging="361"/>
        <w:jc w:val="both"/>
      </w:pPr>
      <w:r>
        <w:t>Finančné</w:t>
      </w:r>
      <w:r>
        <w:rPr>
          <w:spacing w:val="-1"/>
        </w:rPr>
        <w:t xml:space="preserve"> </w:t>
      </w:r>
      <w:r>
        <w:t>účty</w:t>
      </w:r>
    </w:p>
    <w:p w:rsidR="00DE0E18" w:rsidRDefault="00D73FE1">
      <w:pPr>
        <w:pStyle w:val="Zkladntext"/>
        <w:spacing w:line="242" w:lineRule="auto"/>
        <w:ind w:left="540" w:right="120"/>
        <w:jc w:val="both"/>
      </w:pPr>
      <w:r>
        <w:t xml:space="preserve">Finančné účty tvorí ceniny, zostatky na bankových účtoch a oceňujú sa menovitou hodnotou. </w:t>
      </w:r>
      <w:r>
        <w:t>Zníženie ich hodnoty sa vyjadruje opravnou položkou.</w:t>
      </w:r>
    </w:p>
    <w:p w:rsidR="00DE0E18" w:rsidRDefault="00DE0E18">
      <w:pPr>
        <w:pStyle w:val="Zkladntext"/>
        <w:spacing w:before="10"/>
        <w:rPr>
          <w:sz w:val="17"/>
        </w:rPr>
      </w:pPr>
    </w:p>
    <w:p w:rsidR="00DE0E18" w:rsidRDefault="00D73FE1">
      <w:pPr>
        <w:pStyle w:val="Nadpis2"/>
        <w:numPr>
          <w:ilvl w:val="1"/>
          <w:numId w:val="4"/>
        </w:numPr>
        <w:tabs>
          <w:tab w:val="left" w:pos="833"/>
        </w:tabs>
        <w:spacing w:line="204" w:lineRule="exact"/>
        <w:ind w:left="832" w:hanging="361"/>
        <w:jc w:val="both"/>
      </w:pPr>
      <w:r>
        <w:t>Náklady budúcich období a príjmy budúcich</w:t>
      </w:r>
      <w:r>
        <w:rPr>
          <w:spacing w:val="-4"/>
        </w:rPr>
        <w:t xml:space="preserve"> </w:t>
      </w:r>
      <w:r>
        <w:t>období</w:t>
      </w:r>
    </w:p>
    <w:p w:rsidR="00DE0E18" w:rsidRDefault="00D73FE1">
      <w:pPr>
        <w:pStyle w:val="Zkladntext"/>
        <w:spacing w:line="242" w:lineRule="auto"/>
        <w:ind w:left="540" w:right="117"/>
        <w:jc w:val="both"/>
      </w:pPr>
      <w:r>
        <w:t>Náklady budúcich období a príjmy budúcich období sa vykazujú vo výške, ktorá je potrebná na dodržanie zásady vecnej a časovej súvislosti s účtovným obdobím.</w:t>
      </w:r>
    </w:p>
    <w:p w:rsidR="00DE0E18" w:rsidRDefault="00DE0E18">
      <w:pPr>
        <w:spacing w:line="242" w:lineRule="auto"/>
        <w:jc w:val="both"/>
        <w:sectPr w:rsidR="00DE0E18">
          <w:type w:val="continuous"/>
          <w:pgSz w:w="11910" w:h="16840"/>
          <w:pgMar w:top="1660" w:right="900" w:bottom="1080" w:left="1560" w:header="708" w:footer="708" w:gutter="0"/>
          <w:cols w:space="708"/>
        </w:sectPr>
      </w:pPr>
    </w:p>
    <w:p w:rsidR="00DE0E18" w:rsidRDefault="00DE0E18">
      <w:pPr>
        <w:pStyle w:val="Zkladntext"/>
        <w:spacing w:before="6"/>
      </w:pPr>
    </w:p>
    <w:p w:rsidR="00DE0E18" w:rsidRDefault="00D73FE1">
      <w:pPr>
        <w:pStyle w:val="Nadpis2"/>
        <w:numPr>
          <w:ilvl w:val="1"/>
          <w:numId w:val="4"/>
        </w:numPr>
        <w:tabs>
          <w:tab w:val="left" w:pos="833"/>
        </w:tabs>
        <w:spacing w:before="93" w:line="204" w:lineRule="exact"/>
        <w:ind w:left="832" w:hanging="361"/>
        <w:jc w:val="both"/>
      </w:pPr>
      <w:r>
        <w:t>Zníženie hodnoty majetku a opravné</w:t>
      </w:r>
      <w:r>
        <w:rPr>
          <w:spacing w:val="-6"/>
        </w:rPr>
        <w:t xml:space="preserve"> </w:t>
      </w:r>
      <w:r>
        <w:t>položky</w:t>
      </w:r>
    </w:p>
    <w:p w:rsidR="00DE0E18" w:rsidRDefault="00D73FE1">
      <w:pPr>
        <w:pStyle w:val="Zkladntext"/>
        <w:ind w:left="540" w:right="114"/>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w:t>
      </w:r>
      <w:r>
        <w:t>o oceneniu v účtovníctve. Opravné položky sa zrušia alebo zmení sa ich výška, ak nastane zmena predpokladu zníženia hodnoty.</w:t>
      </w:r>
    </w:p>
    <w:p w:rsidR="00DE0E18" w:rsidRDefault="00DE0E18">
      <w:pPr>
        <w:pStyle w:val="Zkladntext"/>
        <w:spacing w:before="1"/>
      </w:pPr>
    </w:p>
    <w:p w:rsidR="00DE0E18" w:rsidRDefault="00D73FE1">
      <w:pPr>
        <w:spacing w:line="204" w:lineRule="exact"/>
        <w:ind w:left="540"/>
        <w:rPr>
          <w:b/>
          <w:i/>
          <w:sz w:val="18"/>
        </w:rPr>
      </w:pPr>
      <w:r>
        <w:rPr>
          <w:b/>
          <w:i/>
          <w:sz w:val="18"/>
        </w:rPr>
        <w:t>Zníženie hodnoty finančného majetku a pohľadávok</w:t>
      </w:r>
    </w:p>
    <w:p w:rsidR="00DE0E18" w:rsidRDefault="00D73FE1">
      <w:pPr>
        <w:pStyle w:val="Zkladntext"/>
        <w:spacing w:line="242" w:lineRule="auto"/>
        <w:ind w:left="540" w:right="115"/>
        <w:jc w:val="both"/>
      </w:pPr>
      <w:r>
        <w:t>Ku každému dňu, ku ktorému sa zostavuje účtovná závierka sa finančný majetok, kto</w:t>
      </w:r>
      <w:r>
        <w:t>rý nie je ocenený reálnou hodnotou posudzuje s cieľom zistiť, či existujú objektívne dôkazy zníženia jeho hodnoty.</w:t>
      </w:r>
    </w:p>
    <w:p w:rsidR="00DE0E18" w:rsidRDefault="00DE0E18">
      <w:pPr>
        <w:pStyle w:val="Zkladntext"/>
        <w:spacing w:before="6"/>
        <w:rPr>
          <w:sz w:val="17"/>
        </w:rPr>
      </w:pPr>
    </w:p>
    <w:p w:rsidR="00DE0E18" w:rsidRDefault="00D73FE1">
      <w:pPr>
        <w:pStyle w:val="Zkladntext"/>
        <w:ind w:left="540" w:right="114"/>
        <w:jc w:val="both"/>
      </w:pPr>
      <w:r>
        <w:t>Medzi objektívne dôkazy o znížení hodnoty finančného majetku patrí nesplácanie dlhu alebo protiprávne konanie dlžníka, reštrukturalizácia po</w:t>
      </w:r>
      <w:r>
        <w:t>hľadávok Spoločnosti za podmienok, o ktorých by Spoločnosť za normálnej situácie neuvažovala, indikácie, že na majetok dlžníka alebo emitenta bude vyhlásený konkurz, alebo skutočnosť, že pre cenný papier prestal existovať aktívny trh. Objektívnym dôkazom z</w:t>
      </w:r>
      <w:r>
        <w:t>níženia hodnoty investícií do majetkových cenných papierov je aj významné alebo dlhodobé zníženie ich reálnej hodnoty pod úroveň ich obstarávacej</w:t>
      </w:r>
      <w:r>
        <w:rPr>
          <w:spacing w:val="-5"/>
        </w:rPr>
        <w:t xml:space="preserve"> </w:t>
      </w:r>
      <w:r>
        <w:t>ceny.</w:t>
      </w:r>
    </w:p>
    <w:p w:rsidR="00DE0E18" w:rsidRDefault="00DE0E18">
      <w:pPr>
        <w:pStyle w:val="Zkladntext"/>
        <w:spacing w:before="10"/>
        <w:rPr>
          <w:sz w:val="17"/>
        </w:rPr>
      </w:pPr>
    </w:p>
    <w:p w:rsidR="00DE0E18" w:rsidRDefault="00D73FE1">
      <w:pPr>
        <w:pStyle w:val="Zkladntext"/>
        <w:ind w:left="540" w:right="113"/>
        <w:jc w:val="both"/>
      </w:pPr>
      <w:r>
        <w:t>Predpokladané budúce  ekonomické  úžitky  z  investícií  Spoločnosti  v podielových  cenných  papieroch</w:t>
      </w:r>
      <w:r>
        <w:t xml:space="preserve">  a v podieloch  a z pohľadávok sa vypočíta ako súčasná hodnota odhadovaných diskontovaných budúcich peňažných tokov. Pri určení návratnej  hodnoty úverov a pohľadávok sa tiež berie  do  úvahy schopnosť a výkonnosť dlžníka a hodnota  kolaterálov   a záruk </w:t>
      </w:r>
      <w:r>
        <w:t>od tretích</w:t>
      </w:r>
      <w:r>
        <w:rPr>
          <w:spacing w:val="-2"/>
        </w:rPr>
        <w:t xml:space="preserve"> </w:t>
      </w:r>
      <w:r>
        <w:t>strán.</w:t>
      </w:r>
    </w:p>
    <w:p w:rsidR="00DE0E18" w:rsidRDefault="00DE0E18">
      <w:pPr>
        <w:pStyle w:val="Zkladntext"/>
        <w:spacing w:before="2"/>
      </w:pPr>
    </w:p>
    <w:p w:rsidR="00DE0E18" w:rsidRDefault="00D73FE1">
      <w:pPr>
        <w:pStyle w:val="Zkladntext"/>
        <w:ind w:left="540" w:right="116"/>
        <w:jc w:val="both"/>
      </w:pPr>
      <w:r>
        <w:t>Opravná položka sa zruší, ak následné zvýšenie predpokladaných budúcich ekonomických úžitkov možno objektívne spájať s udalosťou, ktorá nastala po vykázaní opravnej položky.</w:t>
      </w:r>
    </w:p>
    <w:p w:rsidR="00DE0E18" w:rsidRDefault="00DE0E18">
      <w:pPr>
        <w:pStyle w:val="Zkladntext"/>
        <w:spacing w:before="3"/>
      </w:pPr>
    </w:p>
    <w:p w:rsidR="00DE0E18" w:rsidRDefault="00D73FE1">
      <w:pPr>
        <w:pStyle w:val="Nadpis2"/>
        <w:numPr>
          <w:ilvl w:val="1"/>
          <w:numId w:val="4"/>
        </w:numPr>
        <w:tabs>
          <w:tab w:val="left" w:pos="833"/>
        </w:tabs>
        <w:spacing w:line="205" w:lineRule="exact"/>
        <w:ind w:left="832" w:hanging="361"/>
        <w:jc w:val="both"/>
      </w:pPr>
      <w:r>
        <w:t>Záväzky</w:t>
      </w:r>
    </w:p>
    <w:p w:rsidR="00DE0E18" w:rsidRDefault="00D73FE1">
      <w:pPr>
        <w:pStyle w:val="Zkladntext"/>
        <w:ind w:left="540" w:right="114"/>
        <w:jc w:val="both"/>
      </w:pPr>
      <w:r>
        <w:t xml:space="preserve">Záväzky pri ich vzniku sa oceňujú menovitou hodnotou. </w:t>
      </w:r>
      <w:r>
        <w:t xml:space="preserve"> Záväzky pri  ich  prevzatí  sa  oceňujú  obstarávacou  cenou.  Ak sa pri inventarizácii zistí,  že  suma  záväzkov je iná  ako  ich  výška v účtovníctve,  uvedú  sa záväzky v účtovníctve  a v účtovnej závierke v tomto zistenom</w:t>
      </w:r>
      <w:r>
        <w:rPr>
          <w:spacing w:val="-3"/>
        </w:rPr>
        <w:t xml:space="preserve"> </w:t>
      </w:r>
      <w:r>
        <w:t>ocenení.</w:t>
      </w:r>
    </w:p>
    <w:p w:rsidR="00DE0E18" w:rsidRDefault="00DE0E18">
      <w:pPr>
        <w:pStyle w:val="Zkladntext"/>
        <w:spacing w:before="3"/>
      </w:pPr>
    </w:p>
    <w:p w:rsidR="00DE0E18" w:rsidRDefault="00D73FE1">
      <w:pPr>
        <w:pStyle w:val="Nadpis2"/>
        <w:numPr>
          <w:ilvl w:val="1"/>
          <w:numId w:val="4"/>
        </w:numPr>
        <w:tabs>
          <w:tab w:val="left" w:pos="833"/>
        </w:tabs>
        <w:spacing w:before="1" w:line="204" w:lineRule="exact"/>
        <w:ind w:left="832" w:hanging="361"/>
        <w:jc w:val="both"/>
      </w:pPr>
      <w:r>
        <w:t>Rezervy</w:t>
      </w:r>
    </w:p>
    <w:p w:rsidR="00DE0E18" w:rsidRDefault="00D73FE1">
      <w:pPr>
        <w:pStyle w:val="Zkladntext"/>
        <w:ind w:left="540" w:right="114"/>
        <w:jc w:val="both"/>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w:t>
      </w:r>
      <w:r>
        <w:t xml:space="preserve"> potrebnej na splnenie existujúcej povinnosti ku dňu, ku ktorému sa zostavuje účtovná závierka.</w:t>
      </w:r>
    </w:p>
    <w:p w:rsidR="00DE0E18" w:rsidRDefault="00DE0E18">
      <w:pPr>
        <w:pStyle w:val="Zkladntext"/>
        <w:spacing w:before="8"/>
        <w:rPr>
          <w:sz w:val="17"/>
        </w:rPr>
      </w:pPr>
    </w:p>
    <w:p w:rsidR="00DE0E18" w:rsidRDefault="00D73FE1">
      <w:pPr>
        <w:pStyle w:val="Zkladntext"/>
        <w:ind w:left="540" w:right="114"/>
        <w:jc w:val="both"/>
      </w:pPr>
      <w:r>
        <w:t>Tvorba rezervy sa účtuje na vecne príslušný nákladový alebo majetkový účet, ku ktorému záväzok prislúcha. Použitie rezervy sa účtuje na ťarchu vecne príslušnéh</w:t>
      </w:r>
      <w:r>
        <w:t>o účtu rezerv so súvzťažným zápisom v prospech vecne príslušného účtu záväzkov. Rozpustenie nepotrebnej rezervy alebo jej časti sa účtuje opačným účtovným zápisom ako sa účtovala tvorba rezervy.</w:t>
      </w:r>
    </w:p>
    <w:p w:rsidR="00DE0E18" w:rsidRDefault="00DE0E18">
      <w:pPr>
        <w:pStyle w:val="Zkladntext"/>
        <w:spacing w:before="11"/>
        <w:rPr>
          <w:sz w:val="17"/>
        </w:rPr>
      </w:pPr>
    </w:p>
    <w:p w:rsidR="00DE0E18" w:rsidRDefault="00D73FE1">
      <w:pPr>
        <w:pStyle w:val="Zkladntext"/>
        <w:ind w:left="540" w:right="114"/>
        <w:jc w:val="both"/>
      </w:pPr>
      <w:r>
        <w:t>Tvorba rezervy na bonusy, rabaty, skontá a vrátenie kúpnej c</w:t>
      </w:r>
      <w:r>
        <w:t>eny pri reklamácii sa účtuje ako zníženie pôvodne dosiahnutých výnosov so súvzťažným zápisom v prospech účtu rezerv.</w:t>
      </w:r>
    </w:p>
    <w:p w:rsidR="00DE0E18" w:rsidRDefault="00DE0E18">
      <w:pPr>
        <w:pStyle w:val="Zkladntext"/>
        <w:rPr>
          <w:sz w:val="20"/>
        </w:rPr>
      </w:pPr>
    </w:p>
    <w:p w:rsidR="00DE0E18" w:rsidRDefault="00DE0E18">
      <w:pPr>
        <w:pStyle w:val="Zkladntext"/>
        <w:spacing w:before="5"/>
        <w:rPr>
          <w:sz w:val="16"/>
        </w:rPr>
      </w:pPr>
    </w:p>
    <w:p w:rsidR="00DE0E18" w:rsidRDefault="00D73FE1">
      <w:pPr>
        <w:pStyle w:val="Nadpis2"/>
        <w:spacing w:line="205" w:lineRule="exact"/>
        <w:ind w:left="540" w:firstLine="0"/>
      </w:pPr>
      <w:r>
        <w:t>Nevyfakturované dodávky majetku</w:t>
      </w:r>
    </w:p>
    <w:p w:rsidR="00DE0E18" w:rsidRDefault="00D73FE1">
      <w:pPr>
        <w:pStyle w:val="Zkladntext"/>
        <w:ind w:left="540" w:right="116"/>
        <w:jc w:val="both"/>
      </w:pPr>
      <w:r>
        <w:t xml:space="preserve">Rezervy  na  nevyfakturované  dodávky  majetku  sa  nevykazujú  s vplyvom  na  výsledok  hospodárenia  a </w:t>
      </w:r>
      <w:r>
        <w:t>oceňujú  sa  v odhadovanej výške</w:t>
      </w:r>
      <w:r>
        <w:rPr>
          <w:spacing w:val="-3"/>
        </w:rPr>
        <w:t xml:space="preserve"> </w:t>
      </w:r>
      <w:r>
        <w:t>záväzku.</w:t>
      </w:r>
    </w:p>
    <w:p w:rsidR="00DE0E18" w:rsidRDefault="00DE0E18">
      <w:pPr>
        <w:pStyle w:val="Zkladntext"/>
        <w:spacing w:before="1"/>
      </w:pPr>
    </w:p>
    <w:p w:rsidR="00DE0E18" w:rsidRDefault="00D73FE1">
      <w:pPr>
        <w:pStyle w:val="Nadpis2"/>
        <w:numPr>
          <w:ilvl w:val="1"/>
          <w:numId w:val="4"/>
        </w:numPr>
        <w:tabs>
          <w:tab w:val="left" w:pos="833"/>
        </w:tabs>
        <w:spacing w:line="204" w:lineRule="exact"/>
        <w:ind w:left="832" w:hanging="361"/>
      </w:pPr>
      <w:r>
        <w:t>Odložené</w:t>
      </w:r>
      <w:r>
        <w:rPr>
          <w:spacing w:val="-2"/>
        </w:rPr>
        <w:t xml:space="preserve"> </w:t>
      </w:r>
      <w:r>
        <w:t>dane</w:t>
      </w:r>
    </w:p>
    <w:p w:rsidR="00DE0E18" w:rsidRDefault="00D73FE1">
      <w:pPr>
        <w:pStyle w:val="Zkladntext"/>
        <w:spacing w:line="204" w:lineRule="exact"/>
        <w:ind w:left="540"/>
      </w:pPr>
      <w:r>
        <w:t>Odložené dane (odložená daňová pohľadávka a odložený daňový záväzok) sa vzťahujú na:</w:t>
      </w:r>
    </w:p>
    <w:p w:rsidR="00DE0E18" w:rsidRDefault="00D73FE1">
      <w:pPr>
        <w:pStyle w:val="Odsekzoznamu"/>
        <w:numPr>
          <w:ilvl w:val="0"/>
          <w:numId w:val="3"/>
        </w:numPr>
        <w:tabs>
          <w:tab w:val="left" w:pos="1305"/>
          <w:tab w:val="left" w:pos="1306"/>
        </w:tabs>
        <w:spacing w:before="2"/>
        <w:ind w:right="120"/>
        <w:rPr>
          <w:sz w:val="18"/>
        </w:rPr>
      </w:pPr>
      <w:r>
        <w:rPr>
          <w:sz w:val="18"/>
        </w:rPr>
        <w:t>dočasné rozdiely medzi účtovnou hodnotou majetku a účtovnou hodnotou záväzkov vykázanou v súvahe a ich daňovou</w:t>
      </w:r>
      <w:r>
        <w:rPr>
          <w:spacing w:val="-1"/>
          <w:sz w:val="18"/>
        </w:rPr>
        <w:t xml:space="preserve"> </w:t>
      </w:r>
      <w:r>
        <w:rPr>
          <w:sz w:val="18"/>
        </w:rPr>
        <w:t>zák</w:t>
      </w:r>
      <w:r>
        <w:rPr>
          <w:sz w:val="18"/>
        </w:rPr>
        <w:t>ladňou,</w:t>
      </w:r>
    </w:p>
    <w:p w:rsidR="00DE0E18" w:rsidRDefault="00D73FE1">
      <w:pPr>
        <w:pStyle w:val="Odsekzoznamu"/>
        <w:numPr>
          <w:ilvl w:val="0"/>
          <w:numId w:val="3"/>
        </w:numPr>
        <w:tabs>
          <w:tab w:val="left" w:pos="1305"/>
          <w:tab w:val="left" w:pos="1306"/>
        </w:tabs>
        <w:ind w:right="118"/>
        <w:rPr>
          <w:sz w:val="18"/>
        </w:rPr>
      </w:pPr>
      <w:r>
        <w:rPr>
          <w:sz w:val="18"/>
        </w:rPr>
        <w:t>možnosť  umorovať  daňovú  stratu  v budúcnosti,  ktorou  sa  rozumie  možnosť  odpočítať  daňovú  stratu   od základu dane v</w:t>
      </w:r>
      <w:r>
        <w:rPr>
          <w:spacing w:val="3"/>
          <w:sz w:val="18"/>
        </w:rPr>
        <w:t xml:space="preserve"> </w:t>
      </w:r>
      <w:r>
        <w:rPr>
          <w:sz w:val="18"/>
        </w:rPr>
        <w:t>budúcnosti,</w:t>
      </w:r>
    </w:p>
    <w:p w:rsidR="00DE0E18" w:rsidRDefault="00D73FE1">
      <w:pPr>
        <w:pStyle w:val="Odsekzoznamu"/>
        <w:numPr>
          <w:ilvl w:val="0"/>
          <w:numId w:val="3"/>
        </w:numPr>
        <w:tabs>
          <w:tab w:val="left" w:pos="1305"/>
          <w:tab w:val="left" w:pos="1306"/>
        </w:tabs>
        <w:ind w:hanging="361"/>
        <w:rPr>
          <w:sz w:val="18"/>
        </w:rPr>
      </w:pPr>
      <w:r>
        <w:rPr>
          <w:sz w:val="18"/>
        </w:rPr>
        <w:t>možnosť previesť nevyužité daňové odpočty a iné daňové nároky do budúcich</w:t>
      </w:r>
      <w:r>
        <w:rPr>
          <w:spacing w:val="-7"/>
          <w:sz w:val="18"/>
        </w:rPr>
        <w:t xml:space="preserve"> </w:t>
      </w:r>
      <w:r>
        <w:rPr>
          <w:sz w:val="18"/>
        </w:rPr>
        <w:t>období.</w:t>
      </w:r>
    </w:p>
    <w:p w:rsidR="00DE0E18" w:rsidRDefault="00DE0E18">
      <w:pPr>
        <w:pStyle w:val="Zkladntext"/>
        <w:spacing w:before="10"/>
        <w:rPr>
          <w:sz w:val="17"/>
        </w:rPr>
      </w:pPr>
    </w:p>
    <w:p w:rsidR="00DE0E18" w:rsidRDefault="00D73FE1">
      <w:pPr>
        <w:pStyle w:val="Zkladntext"/>
        <w:spacing w:before="1" w:line="206" w:lineRule="exact"/>
        <w:ind w:left="540"/>
        <w:jc w:val="both"/>
      </w:pPr>
      <w:r>
        <w:t>Odložená daňová pohľadávka ani odložený daňový záväzok sa neúčtuje pri:</w:t>
      </w:r>
    </w:p>
    <w:p w:rsidR="00DE0E18" w:rsidRDefault="00D73FE1">
      <w:pPr>
        <w:pStyle w:val="Odsekzoznamu"/>
        <w:numPr>
          <w:ilvl w:val="0"/>
          <w:numId w:val="2"/>
        </w:numPr>
        <w:tabs>
          <w:tab w:val="left" w:pos="879"/>
        </w:tabs>
        <w:spacing w:before="1" w:line="237" w:lineRule="auto"/>
        <w:ind w:right="118"/>
        <w:jc w:val="both"/>
        <w:rPr>
          <w:sz w:val="18"/>
        </w:rPr>
      </w:pPr>
      <w:r>
        <w:rPr>
          <w:sz w:val="18"/>
        </w:rPr>
        <w:t xml:space="preserve">dočasných rozdieloch pri prvotnom zaúčtovaní (angl. initial recognition) majetku alebo záväzku  v účtovníctve, ak   v čase prvotného  zaúčtovania nemá tento  účtovný prípad vplyv  ani </w:t>
      </w:r>
      <w:r>
        <w:rPr>
          <w:sz w:val="18"/>
        </w:rPr>
        <w:t>na výsledok hospodárenia ani na základ  dane  a zároveň nejde o kombináciu podnikov (t. j. nejde o účtovný prípad vznikajúci u kupujúceho pri kúpe  podniku alebo časti podniku, prijímateľa vkladu podniku alebo časti podniku alebo u nástupníckej účtovnej je</w:t>
      </w:r>
      <w:r>
        <w:rPr>
          <w:sz w:val="18"/>
        </w:rPr>
        <w:t>dnotke pri zlúčení, splynutí alebo</w:t>
      </w:r>
      <w:r>
        <w:rPr>
          <w:spacing w:val="2"/>
          <w:sz w:val="18"/>
        </w:rPr>
        <w:t xml:space="preserve"> </w:t>
      </w:r>
      <w:r>
        <w:rPr>
          <w:sz w:val="18"/>
        </w:rPr>
        <w:t>rozdelení),</w:t>
      </w:r>
    </w:p>
    <w:p w:rsidR="00DE0E18" w:rsidRDefault="00D73FE1">
      <w:pPr>
        <w:pStyle w:val="Odsekzoznamu"/>
        <w:numPr>
          <w:ilvl w:val="0"/>
          <w:numId w:val="2"/>
        </w:numPr>
        <w:tabs>
          <w:tab w:val="left" w:pos="879"/>
        </w:tabs>
        <w:spacing w:before="6" w:line="235" w:lineRule="auto"/>
        <w:ind w:right="114"/>
        <w:jc w:val="both"/>
        <w:rPr>
          <w:sz w:val="18"/>
        </w:rPr>
      </w:pPr>
      <w:r>
        <w:rPr>
          <w:sz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w:t>
      </w:r>
      <w:r>
        <w:rPr>
          <w:sz w:val="18"/>
        </w:rPr>
        <w:t>nosti,</w:t>
      </w:r>
    </w:p>
    <w:p w:rsidR="00DE0E18" w:rsidRDefault="00DE0E18">
      <w:pPr>
        <w:spacing w:line="235" w:lineRule="auto"/>
        <w:jc w:val="both"/>
        <w:rPr>
          <w:sz w:val="18"/>
        </w:rPr>
        <w:sectPr w:rsidR="00DE0E18">
          <w:pgSz w:w="11910" w:h="16840"/>
          <w:pgMar w:top="1660" w:right="900" w:bottom="1080" w:left="1560" w:header="931" w:footer="897" w:gutter="0"/>
          <w:cols w:space="708"/>
        </w:sectPr>
      </w:pPr>
    </w:p>
    <w:p w:rsidR="00DE0E18" w:rsidRDefault="00DE0E18">
      <w:pPr>
        <w:pStyle w:val="Zkladntext"/>
        <w:spacing w:before="4"/>
        <w:rPr>
          <w:sz w:val="17"/>
        </w:rPr>
      </w:pPr>
    </w:p>
    <w:p w:rsidR="00DE0E18" w:rsidRDefault="00D73FE1">
      <w:pPr>
        <w:pStyle w:val="Odsekzoznamu"/>
        <w:numPr>
          <w:ilvl w:val="0"/>
          <w:numId w:val="2"/>
        </w:numPr>
        <w:tabs>
          <w:tab w:val="left" w:pos="879"/>
        </w:tabs>
        <w:spacing w:before="101"/>
        <w:jc w:val="both"/>
        <w:rPr>
          <w:sz w:val="18"/>
        </w:rPr>
      </w:pPr>
      <w:r>
        <w:rPr>
          <w:sz w:val="18"/>
        </w:rPr>
        <w:t>dočasných rozdieloch pri prvotnom zaúčtovaní goodwillu alebo záporného</w:t>
      </w:r>
      <w:r>
        <w:rPr>
          <w:spacing w:val="-3"/>
          <w:sz w:val="18"/>
        </w:rPr>
        <w:t xml:space="preserve"> </w:t>
      </w:r>
      <w:r>
        <w:rPr>
          <w:sz w:val="18"/>
        </w:rPr>
        <w:t>goodwillu.</w:t>
      </w:r>
    </w:p>
    <w:p w:rsidR="00DE0E18" w:rsidRDefault="00D73FE1">
      <w:pPr>
        <w:pStyle w:val="Zkladntext"/>
        <w:spacing w:before="197"/>
        <w:ind w:left="540" w:right="116"/>
        <w:jc w:val="both"/>
      </w:pPr>
      <w:r>
        <w:t xml:space="preserve">O odloženej daňovej pohľadávke z odpočítateľných dočasných rozdielov, z nevyužitých daňových strát a nevyužitých daňových odpočtov a iných daňových </w:t>
      </w:r>
      <w:r>
        <w:t>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w:t>
      </w:r>
      <w:r>
        <w:t xml:space="preserve"> nepravdepodobné, že základ dane z príjmov bude dosiahnutý. Pri výpočte odloženej dane sa použije sadzba dane z príjmov, o ktorej sa predpokladá, že bude platiť v čase vyrovnania odloženej dane.</w:t>
      </w:r>
    </w:p>
    <w:p w:rsidR="00DE0E18" w:rsidRDefault="00DE0E18">
      <w:pPr>
        <w:pStyle w:val="Zkladntext"/>
      </w:pPr>
    </w:p>
    <w:p w:rsidR="00DE0E18" w:rsidRDefault="00D73FE1">
      <w:pPr>
        <w:pStyle w:val="Zkladntext"/>
        <w:ind w:left="540" w:right="117"/>
        <w:jc w:val="both"/>
      </w:pPr>
      <w:r>
        <w:t>V súvahe sa odložená daňová pohľadávka a odložený daňový záv</w:t>
      </w:r>
      <w:r>
        <w:t>äzok vykazujú samostatne. Ak sa vzťahujú na odloženú daň z príjmov toho istého daňovníka a ide o ten istý daňový úrad, môže sa vykázať len výsledný zostatok účtu 481 – Odložený daňový záväzok a odložená daňová pohľadávka.</w:t>
      </w:r>
    </w:p>
    <w:p w:rsidR="00DE0E18" w:rsidRDefault="00DE0E18">
      <w:pPr>
        <w:pStyle w:val="Zkladntext"/>
        <w:spacing w:before="5"/>
      </w:pPr>
    </w:p>
    <w:p w:rsidR="00DE0E18" w:rsidRDefault="00D73FE1">
      <w:pPr>
        <w:pStyle w:val="Nadpis2"/>
        <w:numPr>
          <w:ilvl w:val="1"/>
          <w:numId w:val="4"/>
        </w:numPr>
        <w:tabs>
          <w:tab w:val="left" w:pos="833"/>
        </w:tabs>
        <w:spacing w:line="204" w:lineRule="exact"/>
        <w:ind w:left="832" w:hanging="361"/>
        <w:jc w:val="both"/>
      </w:pPr>
      <w:r>
        <w:t>Výdavky budúcich období a výnosy budúcich</w:t>
      </w:r>
      <w:r>
        <w:rPr>
          <w:spacing w:val="-2"/>
        </w:rPr>
        <w:t xml:space="preserve"> </w:t>
      </w:r>
      <w:r>
        <w:t>období</w:t>
      </w:r>
    </w:p>
    <w:p w:rsidR="00DE0E18" w:rsidRDefault="00D73FE1">
      <w:pPr>
        <w:pStyle w:val="Zkladntext"/>
        <w:ind w:left="540" w:right="119"/>
        <w:jc w:val="both"/>
      </w:pPr>
      <w:r>
        <w:t>Výdavky budúcich období a výnosy budúcich období sa vykazujú vo výške, ktorá je potrebná na dodržanie zásady vecnej a časovej súvislosti s účtovným obdobím.</w:t>
      </w:r>
    </w:p>
    <w:p w:rsidR="00DE0E18" w:rsidRDefault="00DE0E18">
      <w:pPr>
        <w:pStyle w:val="Zkladntext"/>
        <w:spacing w:before="8"/>
      </w:pPr>
    </w:p>
    <w:p w:rsidR="00DE0E18" w:rsidRDefault="00D73FE1">
      <w:pPr>
        <w:pStyle w:val="Odsekzoznamu"/>
        <w:numPr>
          <w:ilvl w:val="1"/>
          <w:numId w:val="4"/>
        </w:numPr>
        <w:tabs>
          <w:tab w:val="left" w:pos="833"/>
        </w:tabs>
        <w:spacing w:line="232" w:lineRule="auto"/>
        <w:ind w:right="5208" w:firstLine="0"/>
        <w:rPr>
          <w:b/>
          <w:sz w:val="18"/>
        </w:rPr>
      </w:pPr>
      <w:r>
        <w:rPr>
          <w:b/>
          <w:sz w:val="18"/>
        </w:rPr>
        <w:t xml:space="preserve">Prenájom (lízing) (Spoločnosť ako </w:t>
      </w:r>
      <w:r>
        <w:rPr>
          <w:b/>
          <w:spacing w:val="-3"/>
          <w:sz w:val="18"/>
        </w:rPr>
        <w:t xml:space="preserve">nájomca) </w:t>
      </w:r>
      <w:r>
        <w:rPr>
          <w:sz w:val="18"/>
        </w:rPr>
        <w:t>Operat</w:t>
      </w:r>
      <w:r>
        <w:rPr>
          <w:sz w:val="18"/>
        </w:rPr>
        <w:t>ívny</w:t>
      </w:r>
      <w:r>
        <w:rPr>
          <w:spacing w:val="-5"/>
          <w:sz w:val="18"/>
        </w:rPr>
        <w:t xml:space="preserve"> </w:t>
      </w:r>
      <w:r>
        <w:rPr>
          <w:sz w:val="18"/>
        </w:rPr>
        <w:t>prenájom</w:t>
      </w:r>
      <w:r>
        <w:rPr>
          <w:b/>
          <w:sz w:val="18"/>
        </w:rPr>
        <w:t>.</w:t>
      </w:r>
    </w:p>
    <w:p w:rsidR="00DE0E18" w:rsidRDefault="00D73FE1">
      <w:pPr>
        <w:pStyle w:val="Zkladntext"/>
        <w:spacing w:before="2"/>
        <w:ind w:left="472"/>
      </w:pPr>
      <w:r>
        <w:t>Majetok prenajatý na základe operatívneho prenájmu vykazuje ako svoj majetok jeho vlastník, nie nájomca. Prenájom majetku formou operatívneho leasingu sa účtuje do nákladov priebežne počas doby trvania leasingovej zmluvy</w:t>
      </w:r>
    </w:p>
    <w:p w:rsidR="00DE0E18" w:rsidRDefault="00DE0E18">
      <w:pPr>
        <w:pStyle w:val="Zkladntext"/>
        <w:spacing w:before="5"/>
      </w:pPr>
    </w:p>
    <w:p w:rsidR="00DE0E18" w:rsidRDefault="00D73FE1">
      <w:pPr>
        <w:pStyle w:val="Nadpis2"/>
        <w:numPr>
          <w:ilvl w:val="1"/>
          <w:numId w:val="4"/>
        </w:numPr>
        <w:tabs>
          <w:tab w:val="left" w:pos="833"/>
        </w:tabs>
        <w:spacing w:line="204" w:lineRule="exact"/>
        <w:ind w:left="832" w:hanging="361"/>
        <w:jc w:val="both"/>
      </w:pPr>
      <w:r>
        <w:t>Cudzia</w:t>
      </w:r>
      <w:r>
        <w:rPr>
          <w:spacing w:val="-1"/>
        </w:rPr>
        <w:t xml:space="preserve"> </w:t>
      </w:r>
      <w:r>
        <w:t>mena</w:t>
      </w:r>
    </w:p>
    <w:p w:rsidR="00DE0E18" w:rsidRDefault="00D73FE1">
      <w:pPr>
        <w:pStyle w:val="Zkladntext"/>
        <w:ind w:left="540" w:right="116"/>
        <w:jc w:val="both"/>
      </w:pPr>
      <w:r>
        <w:t>Majetok</w:t>
      </w:r>
      <w:r>
        <w:t xml:space="preserve">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w:t>
      </w:r>
      <w:r>
        <w:t>ého prípadu (ďalej ako referenčný</w:t>
      </w:r>
      <w:r>
        <w:rPr>
          <w:spacing w:val="-5"/>
        </w:rPr>
        <w:t xml:space="preserve"> </w:t>
      </w:r>
      <w:r>
        <w:t>kurz).</w:t>
      </w:r>
    </w:p>
    <w:p w:rsidR="00DE0E18" w:rsidRDefault="00DE0E18">
      <w:pPr>
        <w:pStyle w:val="Zkladntext"/>
        <w:spacing w:before="9"/>
        <w:rPr>
          <w:sz w:val="17"/>
        </w:rPr>
      </w:pPr>
    </w:p>
    <w:p w:rsidR="00DE0E18" w:rsidRDefault="00D73FE1">
      <w:pPr>
        <w:pStyle w:val="Zkladntext"/>
        <w:ind w:left="540"/>
      </w:pPr>
      <w:r>
        <w:t>Na ocenenie prírastku cudzej meny nakúpenej za euro sa použije kurz, za ktorý bola táto cudzia mena nakúpená.</w:t>
      </w:r>
    </w:p>
    <w:p w:rsidR="00DE0E18" w:rsidRDefault="00DE0E18">
      <w:pPr>
        <w:pStyle w:val="Zkladntext"/>
        <w:spacing w:before="1"/>
      </w:pPr>
    </w:p>
    <w:p w:rsidR="00DE0E18" w:rsidRDefault="00D73FE1">
      <w:pPr>
        <w:pStyle w:val="Zkladntext"/>
        <w:ind w:left="540"/>
      </w:pPr>
      <w:r>
        <w:t>Na ocenenie prírastku cudzej meny nakúpenej za inú cudziu menu sa použije hodnota inej cudzej meny v eu</w:t>
      </w:r>
      <w:r>
        <w:t>rách alebo na ocenenie prírastku cudzej meny v eurách sa použije referenčný kurz v deň uzavretia obchodu.</w:t>
      </w:r>
    </w:p>
    <w:p w:rsidR="00DE0E18" w:rsidRDefault="00DE0E18">
      <w:pPr>
        <w:pStyle w:val="Zkladntext"/>
        <w:spacing w:before="10"/>
        <w:rPr>
          <w:sz w:val="17"/>
        </w:rPr>
      </w:pPr>
    </w:p>
    <w:p w:rsidR="00DE0E18" w:rsidRDefault="00D73FE1">
      <w:pPr>
        <w:pStyle w:val="Zkladntext"/>
        <w:ind w:left="540"/>
        <w:jc w:val="both"/>
      </w:pPr>
      <w:r>
        <w:t>Na ocenenie cudzej meny obstarávanej v rámci menového derivátu</w:t>
      </w:r>
    </w:p>
    <w:p w:rsidR="00DE0E18" w:rsidRDefault="00D73FE1">
      <w:pPr>
        <w:pStyle w:val="Odsekzoznamu"/>
        <w:numPr>
          <w:ilvl w:val="0"/>
          <w:numId w:val="1"/>
        </w:numPr>
        <w:tabs>
          <w:tab w:val="left" w:pos="879"/>
        </w:tabs>
        <w:spacing w:before="6" w:line="235" w:lineRule="auto"/>
        <w:ind w:right="118"/>
        <w:jc w:val="both"/>
        <w:rPr>
          <w:sz w:val="18"/>
        </w:rPr>
      </w:pPr>
      <w:r>
        <w:rPr>
          <w:sz w:val="18"/>
        </w:rPr>
        <w:t>ak je zmluvnou stranou banka alebo pobočka zahraničnej banky, použije sa ku dňu ocenenia kurz banky alebo pobočky zahraničnej banky, ktorá je zmluvnou stranou tohto menového derivátu alebo sa použije referenčný kurz ku dňu ocenenia,</w:t>
      </w:r>
    </w:p>
    <w:p w:rsidR="00DE0E18" w:rsidRDefault="00D73FE1">
      <w:pPr>
        <w:pStyle w:val="Odsekzoznamu"/>
        <w:numPr>
          <w:ilvl w:val="0"/>
          <w:numId w:val="1"/>
        </w:numPr>
        <w:tabs>
          <w:tab w:val="left" w:pos="879"/>
        </w:tabs>
        <w:spacing w:before="11" w:line="228" w:lineRule="auto"/>
        <w:ind w:right="117"/>
        <w:jc w:val="both"/>
        <w:rPr>
          <w:sz w:val="18"/>
        </w:rPr>
      </w:pPr>
      <w:r>
        <w:rPr>
          <w:sz w:val="18"/>
        </w:rPr>
        <w:t>ak zmluvnou stranou nie</w:t>
      </w:r>
      <w:r>
        <w:rPr>
          <w:sz w:val="18"/>
        </w:rPr>
        <w:t xml:space="preserve"> je banka alebo pobočka zahraničnej banky, použije sa na ocenenie referenčný kurz ku dňu ocenenia.</w:t>
      </w:r>
    </w:p>
    <w:p w:rsidR="00DE0E18" w:rsidRDefault="00DE0E18">
      <w:pPr>
        <w:pStyle w:val="Zkladntext"/>
        <w:spacing w:before="1"/>
      </w:pPr>
    </w:p>
    <w:p w:rsidR="00DE0E18" w:rsidRDefault="00D73FE1">
      <w:pPr>
        <w:pStyle w:val="Zkladntext"/>
        <w:ind w:left="540" w:right="117"/>
        <w:jc w:val="both"/>
      </w:pPr>
      <w:r>
        <w:t>Na úbytok rovnakej cudzej meny v hotovosti alebo z devízového účtu sa na prepočet cudzej meny na eurá použije referenčný výmenný kurz určený a vyhlásený Eur</w:t>
      </w:r>
      <w:r>
        <w:t>ópskou centrálnou bankou alebo Národnou bankou Slovenska v deň predchádzajúci dňu uskutočnenia účtovného prípadu.</w:t>
      </w:r>
    </w:p>
    <w:p w:rsidR="00DE0E18" w:rsidRDefault="00DE0E18">
      <w:pPr>
        <w:pStyle w:val="Zkladntext"/>
        <w:rPr>
          <w:sz w:val="20"/>
        </w:rPr>
      </w:pPr>
    </w:p>
    <w:p w:rsidR="00DE0E18" w:rsidRDefault="00DE0E18">
      <w:pPr>
        <w:pStyle w:val="Zkladntext"/>
        <w:spacing w:before="2"/>
        <w:rPr>
          <w:sz w:val="16"/>
        </w:rPr>
      </w:pPr>
    </w:p>
    <w:p w:rsidR="00DE0E18" w:rsidRDefault="00D73FE1">
      <w:pPr>
        <w:pStyle w:val="Zkladntext"/>
        <w:ind w:left="472" w:right="117"/>
        <w:jc w:val="both"/>
      </w:pPr>
      <w:r>
        <w:t>Prijaté a poskytnuté preddavky v cudzej mene prostredníctvom účtu vedeného v tejto cudzej mene sa prepočítavajú na menu euro referenčným vým</w:t>
      </w:r>
      <w:r>
        <w:t>enným kurzom určeným a vyhláseným Európskou centrálnou bankou alebo Národnou bankou Slovenska v deň predchádzajúci dňu uskutočnenia účtovného</w:t>
      </w:r>
      <w:r>
        <w:rPr>
          <w:spacing w:val="-1"/>
        </w:rPr>
        <w:t xml:space="preserve"> </w:t>
      </w:r>
      <w:r>
        <w:t>prípadu.</w:t>
      </w:r>
    </w:p>
    <w:p w:rsidR="00DE0E18" w:rsidRDefault="00DE0E18">
      <w:pPr>
        <w:pStyle w:val="Zkladntext"/>
      </w:pPr>
    </w:p>
    <w:p w:rsidR="00DE0E18" w:rsidRDefault="00D73FE1">
      <w:pPr>
        <w:pStyle w:val="Zkladntext"/>
        <w:ind w:left="472"/>
      </w:pPr>
      <w:r>
        <w:t>Prijaté a poskytnuté preddavky v cudzej mene na účet zriadený v eurách a z účtu zriadeného v eurách sa p</w:t>
      </w:r>
      <w:r>
        <w:t>repočítavajú na menu euro kurzom, za ktorý boli tieto hodnoty nakúpené alebo predané.</w:t>
      </w:r>
    </w:p>
    <w:p w:rsidR="00DE0E18" w:rsidRDefault="00DE0E18">
      <w:pPr>
        <w:pStyle w:val="Zkladntext"/>
        <w:spacing w:before="10"/>
        <w:rPr>
          <w:sz w:val="17"/>
        </w:rPr>
      </w:pPr>
    </w:p>
    <w:p w:rsidR="00DE0E18" w:rsidRDefault="00D73FE1">
      <w:pPr>
        <w:pStyle w:val="Zkladntext"/>
        <w:ind w:left="472"/>
      </w:pPr>
      <w:r>
        <w:t>Ku dňu, ku ktorému sa zostavuje účtovná závierka, sa už neprepočítavajú.</w:t>
      </w:r>
    </w:p>
    <w:p w:rsidR="00DE0E18" w:rsidRDefault="00DE0E18">
      <w:pPr>
        <w:pStyle w:val="Zkladntext"/>
        <w:spacing w:before="1"/>
      </w:pPr>
    </w:p>
    <w:p w:rsidR="00DE0E18" w:rsidRDefault="00D73FE1">
      <w:pPr>
        <w:pStyle w:val="Zkladntext"/>
        <w:ind w:left="472" w:right="115"/>
        <w:jc w:val="both"/>
      </w:pPr>
      <w:r>
        <w:t>Majetok a záväzky vyjadrené v cudzej mene (okrem prijatých a poskytnutých preddavkov) sa ku dňu</w:t>
      </w:r>
      <w:r>
        <w:t>, ku ktorému sa zostavuje účtovná závierka, prepočítavajú na menu euro referenčným výmenným kurzom určeným a vyhláseným Európskou  centrálnou bankou  alebo  Národnou bankou Slovenska v deň,  ku ktorému sa zostavuje účtovná závierka,       a účtujú sa s vpl</w:t>
      </w:r>
      <w:r>
        <w:t>yvom na výsledok</w:t>
      </w:r>
      <w:r>
        <w:rPr>
          <w:spacing w:val="-4"/>
        </w:rPr>
        <w:t xml:space="preserve"> </w:t>
      </w:r>
      <w:r>
        <w:t>hospodárenia.</w:t>
      </w:r>
    </w:p>
    <w:p w:rsidR="00DE0E18" w:rsidRDefault="00DE0E18">
      <w:pPr>
        <w:pStyle w:val="Zkladntext"/>
        <w:spacing w:before="5"/>
      </w:pPr>
    </w:p>
    <w:p w:rsidR="00DE0E18" w:rsidRDefault="00D73FE1">
      <w:pPr>
        <w:pStyle w:val="Nadpis2"/>
        <w:numPr>
          <w:ilvl w:val="1"/>
          <w:numId w:val="4"/>
        </w:numPr>
        <w:tabs>
          <w:tab w:val="left" w:pos="833"/>
        </w:tabs>
        <w:spacing w:line="204" w:lineRule="exact"/>
        <w:ind w:left="832" w:hanging="361"/>
        <w:jc w:val="both"/>
      </w:pPr>
      <w:r>
        <w:t>Výnosy</w:t>
      </w:r>
    </w:p>
    <w:p w:rsidR="00DE0E18" w:rsidRDefault="00D73FE1">
      <w:pPr>
        <w:pStyle w:val="Zkladntext"/>
        <w:ind w:left="472" w:right="118"/>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DE0E18" w:rsidRDefault="00DE0E18">
      <w:pPr>
        <w:pStyle w:val="Zkladntext"/>
        <w:spacing w:before="8"/>
        <w:rPr>
          <w:sz w:val="17"/>
        </w:rPr>
      </w:pPr>
    </w:p>
    <w:p w:rsidR="00DE0E18" w:rsidRDefault="00D73FE1">
      <w:pPr>
        <w:pStyle w:val="Zkladntext"/>
        <w:spacing w:before="1"/>
        <w:ind w:left="472"/>
      </w:pPr>
      <w:r>
        <w:t>Tržby z predaja výrobkov a tovaru sa vykazujú v deň splnenia dodávky podľa Obchodného zákonníka, podľa Incoterms alebo iných podmienok dohodnutých v zmluve.</w:t>
      </w:r>
    </w:p>
    <w:p w:rsidR="00DE0E18" w:rsidRDefault="00DE0E18">
      <w:pPr>
        <w:sectPr w:rsidR="00DE0E18">
          <w:pgSz w:w="11910" w:h="16840"/>
          <w:pgMar w:top="1660" w:right="900" w:bottom="1080" w:left="1560" w:header="931" w:footer="897" w:gutter="0"/>
          <w:cols w:space="708"/>
        </w:sectPr>
      </w:pPr>
    </w:p>
    <w:p w:rsidR="00DE0E18" w:rsidRDefault="00DE0E18">
      <w:pPr>
        <w:pStyle w:val="Zkladntext"/>
        <w:rPr>
          <w:sz w:val="20"/>
        </w:rPr>
      </w:pPr>
    </w:p>
    <w:p w:rsidR="00DE0E18" w:rsidRDefault="00DE0E18">
      <w:pPr>
        <w:pStyle w:val="Zkladntext"/>
        <w:spacing w:before="1"/>
        <w:rPr>
          <w:sz w:val="16"/>
        </w:rPr>
      </w:pPr>
    </w:p>
    <w:p w:rsidR="00DE0E18" w:rsidRDefault="00D73FE1">
      <w:pPr>
        <w:pStyle w:val="Zkladntext"/>
        <w:spacing w:before="93"/>
        <w:ind w:left="472"/>
      </w:pPr>
      <w:r>
        <w:t>Tržby z predaja služieb sa vykazujú v účtovnom období, v ktorom boli služby pos</w:t>
      </w:r>
      <w:r>
        <w:t>kytnuté.</w:t>
      </w:r>
    </w:p>
    <w:p w:rsidR="00DE0E18" w:rsidRDefault="00DE0E18">
      <w:pPr>
        <w:pStyle w:val="Zkladntext"/>
        <w:spacing w:before="10"/>
        <w:rPr>
          <w:sz w:val="17"/>
        </w:rPr>
      </w:pPr>
    </w:p>
    <w:p w:rsidR="00DE0E18" w:rsidRDefault="006D3F8D">
      <w:pPr>
        <w:pStyle w:val="Zkladntext"/>
        <w:ind w:left="472" w:hanging="77"/>
      </w:pPr>
      <w:r>
        <w:t xml:space="preserve"> </w:t>
      </w:r>
      <w:bookmarkStart w:id="0" w:name="_GoBack"/>
      <w:bookmarkEnd w:id="0"/>
      <w:r w:rsidR="00D73FE1">
        <w:t>Výnosové úroky sa účtujú rovnomerne v účtovných obdobiach, ktorých sa vecne a časovo týkajú / na základe časového rozlíšenia metódou efektívnej úrokovej miery.</w:t>
      </w:r>
    </w:p>
    <w:p w:rsidR="00DE0E18" w:rsidRDefault="00DE0E18">
      <w:pPr>
        <w:sectPr w:rsidR="00DE0E18">
          <w:pgSz w:w="11910" w:h="16840"/>
          <w:pgMar w:top="1660" w:right="900" w:bottom="1080" w:left="1560" w:header="931" w:footer="897" w:gutter="0"/>
          <w:cols w:space="708"/>
        </w:sectPr>
      </w:pPr>
    </w:p>
    <w:p w:rsidR="00DE0E18" w:rsidRDefault="00DE0E18">
      <w:pPr>
        <w:pStyle w:val="Zkladntext"/>
        <w:rPr>
          <w:sz w:val="29"/>
        </w:rPr>
      </w:pPr>
    </w:p>
    <w:p w:rsidR="00DE0E18" w:rsidRDefault="00D73FE1">
      <w:pPr>
        <w:pStyle w:val="Nadpis2"/>
        <w:numPr>
          <w:ilvl w:val="0"/>
          <w:numId w:val="4"/>
        </w:numPr>
        <w:tabs>
          <w:tab w:val="left" w:pos="473"/>
        </w:tabs>
        <w:spacing w:before="92"/>
        <w:ind w:hanging="361"/>
      </w:pPr>
      <w:r>
        <w:t>INFORMÁCIE O ÚDAJOCH NA STRANE AKTÍV SÚVAHY A VÝKAZU ZISKOV A</w:t>
      </w:r>
      <w:r>
        <w:rPr>
          <w:spacing w:val="-16"/>
        </w:rPr>
        <w:t xml:space="preserve"> </w:t>
      </w:r>
      <w:r>
        <w:t>STRÁT</w:t>
      </w:r>
    </w:p>
    <w:p w:rsidR="00DE0E18" w:rsidRDefault="00DE0E18">
      <w:pPr>
        <w:pStyle w:val="Zkladntext"/>
        <w:spacing w:before="1"/>
        <w:rPr>
          <w:b/>
          <w:sz w:val="21"/>
        </w:rPr>
      </w:pPr>
    </w:p>
    <w:p w:rsidR="00DE0E18" w:rsidRDefault="00D73FE1">
      <w:pPr>
        <w:pStyle w:val="Odsekzoznamu"/>
        <w:numPr>
          <w:ilvl w:val="1"/>
          <w:numId w:val="4"/>
        </w:numPr>
        <w:tabs>
          <w:tab w:val="left" w:pos="472"/>
          <w:tab w:val="left" w:pos="473"/>
        </w:tabs>
        <w:ind w:hanging="361"/>
        <w:rPr>
          <w:b/>
          <w:sz w:val="18"/>
        </w:rPr>
      </w:pPr>
      <w:r>
        <w:rPr>
          <w:b/>
          <w:sz w:val="18"/>
        </w:rPr>
        <w:t>Dlhodobý nehmotný majetok a dlhodobý hmotný</w:t>
      </w:r>
      <w:r>
        <w:rPr>
          <w:b/>
          <w:spacing w:val="5"/>
          <w:sz w:val="18"/>
        </w:rPr>
        <w:t xml:space="preserve"> </w:t>
      </w:r>
      <w:r>
        <w:rPr>
          <w:b/>
          <w:sz w:val="18"/>
        </w:rPr>
        <w:t>majetok</w:t>
      </w:r>
    </w:p>
    <w:p w:rsidR="00DE0E18" w:rsidRDefault="00DE0E18">
      <w:pPr>
        <w:pStyle w:val="Zkladntext"/>
        <w:spacing w:before="8"/>
        <w:rPr>
          <w:b/>
          <w:sz w:val="19"/>
        </w:rPr>
      </w:pPr>
    </w:p>
    <w:p w:rsidR="00DE0E18" w:rsidRDefault="00D73FE1">
      <w:pPr>
        <w:pStyle w:val="Zkladntext"/>
        <w:spacing w:before="1"/>
        <w:ind w:left="540"/>
      </w:pPr>
      <w:r>
        <w:t xml:space="preserve">Spoločnosť neeviduje k 31.decembru </w:t>
      </w:r>
      <w:r w:rsidR="006D3F8D">
        <w:t>2018</w:t>
      </w:r>
      <w:r>
        <w:t xml:space="preserve"> žiadny dlhodobý nehmotný a hmotný majetok. Dlhodobý nehmotný a hmotný majetok spoločnosť neevidovala ani k 31. decembru </w:t>
      </w:r>
      <w:r w:rsidR="006D3F8D">
        <w:t>2017</w:t>
      </w:r>
      <w:r>
        <w:t>.</w:t>
      </w:r>
    </w:p>
    <w:p w:rsidR="00DE0E18" w:rsidRDefault="00DE0E18">
      <w:pPr>
        <w:pStyle w:val="Zkladntext"/>
        <w:rPr>
          <w:sz w:val="20"/>
        </w:rPr>
      </w:pPr>
    </w:p>
    <w:p w:rsidR="00DE0E18" w:rsidRDefault="00DE0E18">
      <w:pPr>
        <w:pStyle w:val="Zkladntext"/>
        <w:spacing w:before="4"/>
        <w:rPr>
          <w:sz w:val="16"/>
        </w:rPr>
      </w:pPr>
    </w:p>
    <w:p w:rsidR="00DE0E18" w:rsidRDefault="00D73FE1">
      <w:pPr>
        <w:pStyle w:val="Nadpis2"/>
        <w:numPr>
          <w:ilvl w:val="1"/>
          <w:numId w:val="4"/>
        </w:numPr>
        <w:tabs>
          <w:tab w:val="left" w:pos="472"/>
          <w:tab w:val="left" w:pos="473"/>
        </w:tabs>
        <w:spacing w:before="1"/>
        <w:ind w:hanging="361"/>
      </w:pPr>
      <w:r>
        <w:t>Dlhodobý finančný</w:t>
      </w:r>
      <w:r>
        <w:rPr>
          <w:spacing w:val="3"/>
        </w:rPr>
        <w:t xml:space="preserve"> </w:t>
      </w:r>
      <w:r>
        <w:t>majetok</w:t>
      </w:r>
    </w:p>
    <w:p w:rsidR="00DE0E18" w:rsidRDefault="00DE0E18">
      <w:pPr>
        <w:pStyle w:val="Zkladntext"/>
        <w:spacing w:before="5"/>
        <w:rPr>
          <w:b/>
          <w:sz w:val="17"/>
        </w:rPr>
      </w:pPr>
    </w:p>
    <w:p w:rsidR="00DE0E18" w:rsidRDefault="00D73FE1">
      <w:pPr>
        <w:pStyle w:val="Zkladntext"/>
        <w:ind w:left="472" w:right="365"/>
      </w:pPr>
      <w:r>
        <w:t xml:space="preserve">Spoločnosť neeviduje k 31.decembru </w:t>
      </w:r>
      <w:r w:rsidR="006D3F8D">
        <w:t>2018</w:t>
      </w:r>
      <w:r>
        <w:t xml:space="preserve"> žiadny dlhodobý finančný majetok. Dlhodobý finančný majetok spoločnosť neevidovala ani k 31. decembru </w:t>
      </w:r>
      <w:r w:rsidR="006D3F8D">
        <w:t>2017</w:t>
      </w:r>
      <w:r>
        <w:t>.</w:t>
      </w:r>
    </w:p>
    <w:p w:rsidR="00DE0E18" w:rsidRDefault="00DE0E18">
      <w:pPr>
        <w:pStyle w:val="Zkladntext"/>
        <w:rPr>
          <w:sz w:val="20"/>
        </w:rPr>
      </w:pPr>
    </w:p>
    <w:p w:rsidR="00DE0E18" w:rsidRDefault="00DE0E18">
      <w:pPr>
        <w:pStyle w:val="Zkladntext"/>
        <w:spacing w:before="5"/>
        <w:rPr>
          <w:sz w:val="16"/>
        </w:rPr>
      </w:pPr>
    </w:p>
    <w:p w:rsidR="00DE0E18" w:rsidRDefault="00D73FE1">
      <w:pPr>
        <w:pStyle w:val="Nadpis2"/>
        <w:numPr>
          <w:ilvl w:val="1"/>
          <w:numId w:val="4"/>
        </w:numPr>
        <w:tabs>
          <w:tab w:val="left" w:pos="472"/>
          <w:tab w:val="left" w:pos="473"/>
        </w:tabs>
        <w:ind w:hanging="361"/>
      </w:pPr>
      <w:r>
        <w:t>Zásoby</w:t>
      </w:r>
    </w:p>
    <w:p w:rsidR="00DE0E18" w:rsidRDefault="00DE0E18">
      <w:pPr>
        <w:pStyle w:val="Zkladntext"/>
        <w:spacing w:before="6"/>
        <w:rPr>
          <w:b/>
          <w:sz w:val="19"/>
        </w:rPr>
      </w:pPr>
    </w:p>
    <w:p w:rsidR="00DE0E18" w:rsidRDefault="00D73FE1">
      <w:pPr>
        <w:pStyle w:val="Zkladntext"/>
        <w:ind w:left="429"/>
      </w:pPr>
      <w:r>
        <w:t xml:space="preserve">Spoločnosť neeviduje k 31. Decembru </w:t>
      </w:r>
      <w:r w:rsidR="006D3F8D">
        <w:t>2018</w:t>
      </w:r>
      <w:r>
        <w:t xml:space="preserve"> žiadne zásoby. Zásoby spoločnosť neevidovala ani k 31. 12</w:t>
      </w:r>
      <w:r>
        <w:t xml:space="preserve">. </w:t>
      </w:r>
      <w:r w:rsidR="006D3F8D">
        <w:t>2017</w:t>
      </w:r>
      <w:r>
        <w:t>.</w:t>
      </w:r>
    </w:p>
    <w:p w:rsidR="00DE0E18" w:rsidRDefault="00DE0E18">
      <w:pPr>
        <w:pStyle w:val="Zkladntext"/>
        <w:rPr>
          <w:sz w:val="20"/>
        </w:rPr>
      </w:pPr>
    </w:p>
    <w:p w:rsidR="00DE0E18" w:rsidRDefault="00DE0E18">
      <w:pPr>
        <w:pStyle w:val="Zkladntext"/>
        <w:spacing w:before="5"/>
        <w:rPr>
          <w:sz w:val="20"/>
        </w:rPr>
      </w:pPr>
    </w:p>
    <w:p w:rsidR="00DE0E18" w:rsidRDefault="00D73FE1">
      <w:pPr>
        <w:pStyle w:val="Nadpis2"/>
        <w:numPr>
          <w:ilvl w:val="1"/>
          <w:numId w:val="4"/>
        </w:numPr>
        <w:tabs>
          <w:tab w:val="left" w:pos="472"/>
          <w:tab w:val="left" w:pos="473"/>
        </w:tabs>
        <w:spacing w:before="1"/>
        <w:ind w:hanging="361"/>
      </w:pPr>
      <w:r>
        <w:t>Záväzky</w:t>
      </w:r>
    </w:p>
    <w:p w:rsidR="00DE0E18" w:rsidRDefault="00DE0E18">
      <w:pPr>
        <w:pStyle w:val="Zkladntext"/>
        <w:spacing w:before="5"/>
        <w:rPr>
          <w:b/>
          <w:sz w:val="17"/>
        </w:rPr>
      </w:pPr>
    </w:p>
    <w:p w:rsidR="00DE0E18" w:rsidRDefault="00D73FE1">
      <w:pPr>
        <w:pStyle w:val="Zkladntext"/>
        <w:ind w:left="540"/>
      </w:pPr>
      <w:r>
        <w:t>Štruktúra záväzkov (okrem záväzkov zo sociálneho fondu a odloženého daňového záväzku) podľa zostatkovej doby splatnosti je uvedená v nasledujúcom prehľade:</w:t>
      </w:r>
    </w:p>
    <w:p w:rsidR="00DE0E18" w:rsidRDefault="00DE0E18">
      <w:pPr>
        <w:pStyle w:val="Zkladntext"/>
        <w:spacing w:before="1"/>
        <w:rPr>
          <w:sz w:val="20"/>
        </w:rPr>
      </w:pPr>
    </w:p>
    <w:tbl>
      <w:tblPr>
        <w:tblStyle w:val="TableNormal"/>
        <w:tblW w:w="0" w:type="auto"/>
        <w:tblInd w:w="547" w:type="dxa"/>
        <w:tblLayout w:type="fixed"/>
        <w:tblLook w:val="01E0" w:firstRow="1" w:lastRow="1" w:firstColumn="1" w:lastColumn="1" w:noHBand="0" w:noVBand="0"/>
      </w:tblPr>
      <w:tblGrid>
        <w:gridCol w:w="5198"/>
        <w:gridCol w:w="1663"/>
        <w:gridCol w:w="231"/>
        <w:gridCol w:w="1665"/>
      </w:tblGrid>
      <w:tr w:rsidR="00DE0E18">
        <w:trPr>
          <w:trHeight w:val="486"/>
        </w:trPr>
        <w:tc>
          <w:tcPr>
            <w:tcW w:w="6861" w:type="dxa"/>
            <w:gridSpan w:val="2"/>
          </w:tcPr>
          <w:p w:rsidR="00DE0E18" w:rsidRDefault="00D73FE1">
            <w:pPr>
              <w:pStyle w:val="TableParagraph"/>
              <w:spacing w:line="210" w:lineRule="exact"/>
              <w:ind w:right="347"/>
              <w:jc w:val="right"/>
              <w:rPr>
                <w:sz w:val="19"/>
              </w:rPr>
            </w:pPr>
            <w:r>
              <w:rPr>
                <w:sz w:val="19"/>
              </w:rPr>
              <w:t xml:space="preserve">31. 12. </w:t>
            </w:r>
            <w:r w:rsidR="006D3F8D">
              <w:rPr>
                <w:sz w:val="19"/>
              </w:rPr>
              <w:t>2018</w:t>
            </w:r>
          </w:p>
        </w:tc>
        <w:tc>
          <w:tcPr>
            <w:tcW w:w="1896" w:type="dxa"/>
            <w:gridSpan w:val="2"/>
          </w:tcPr>
          <w:p w:rsidR="00DE0E18" w:rsidRDefault="00D73FE1">
            <w:pPr>
              <w:pStyle w:val="TableParagraph"/>
              <w:spacing w:line="210" w:lineRule="exact"/>
              <w:ind w:left="598"/>
              <w:rPr>
                <w:sz w:val="19"/>
              </w:rPr>
            </w:pPr>
            <w:r>
              <w:rPr>
                <w:sz w:val="19"/>
              </w:rPr>
              <w:t xml:space="preserve">31. 12. </w:t>
            </w:r>
            <w:r w:rsidR="006D3F8D">
              <w:rPr>
                <w:sz w:val="19"/>
              </w:rPr>
              <w:t>2017</w:t>
            </w:r>
          </w:p>
        </w:tc>
      </w:tr>
      <w:tr w:rsidR="00DE0E18">
        <w:trPr>
          <w:trHeight w:val="231"/>
        </w:trPr>
        <w:tc>
          <w:tcPr>
            <w:tcW w:w="5198" w:type="dxa"/>
            <w:tcBorders>
              <w:top w:val="single" w:sz="8" w:space="0" w:color="000000"/>
            </w:tcBorders>
          </w:tcPr>
          <w:p w:rsidR="00DE0E18" w:rsidRDefault="00D73FE1">
            <w:pPr>
              <w:pStyle w:val="TableParagraph"/>
              <w:spacing w:line="210" w:lineRule="exact"/>
              <w:ind w:left="48"/>
              <w:rPr>
                <w:sz w:val="19"/>
              </w:rPr>
            </w:pPr>
            <w:r>
              <w:rPr>
                <w:sz w:val="19"/>
              </w:rPr>
              <w:t>Záväzky po lehote splatnosti</w:t>
            </w:r>
          </w:p>
        </w:tc>
        <w:tc>
          <w:tcPr>
            <w:tcW w:w="1663" w:type="dxa"/>
            <w:tcBorders>
              <w:top w:val="single" w:sz="8" w:space="0" w:color="000000"/>
            </w:tcBorders>
          </w:tcPr>
          <w:p w:rsidR="00DE0E18" w:rsidRDefault="00D73FE1">
            <w:pPr>
              <w:pStyle w:val="TableParagraph"/>
              <w:spacing w:line="210" w:lineRule="exact"/>
              <w:ind w:right="32"/>
              <w:jc w:val="right"/>
              <w:rPr>
                <w:sz w:val="19"/>
              </w:rPr>
            </w:pPr>
            <w:r>
              <w:rPr>
                <w:w w:val="99"/>
                <w:sz w:val="19"/>
              </w:rPr>
              <w:t>0</w:t>
            </w:r>
          </w:p>
        </w:tc>
        <w:tc>
          <w:tcPr>
            <w:tcW w:w="231" w:type="dxa"/>
            <w:tcBorders>
              <w:top w:val="single" w:sz="8" w:space="0" w:color="000000"/>
            </w:tcBorders>
          </w:tcPr>
          <w:p w:rsidR="00DE0E18" w:rsidRDefault="00DE0E18">
            <w:pPr>
              <w:pStyle w:val="TableParagraph"/>
              <w:rPr>
                <w:sz w:val="16"/>
              </w:rPr>
            </w:pPr>
          </w:p>
        </w:tc>
        <w:tc>
          <w:tcPr>
            <w:tcW w:w="1665" w:type="dxa"/>
            <w:tcBorders>
              <w:top w:val="single" w:sz="8" w:space="0" w:color="000000"/>
            </w:tcBorders>
          </w:tcPr>
          <w:p w:rsidR="00DE0E18" w:rsidRDefault="00DE0E18">
            <w:pPr>
              <w:pStyle w:val="TableParagraph"/>
              <w:rPr>
                <w:sz w:val="16"/>
              </w:rPr>
            </w:pPr>
          </w:p>
        </w:tc>
      </w:tr>
      <w:tr w:rsidR="00DE0E18">
        <w:trPr>
          <w:trHeight w:val="253"/>
        </w:trPr>
        <w:tc>
          <w:tcPr>
            <w:tcW w:w="5198" w:type="dxa"/>
          </w:tcPr>
          <w:p w:rsidR="00DE0E18" w:rsidRDefault="00D73FE1">
            <w:pPr>
              <w:pStyle w:val="TableParagraph"/>
              <w:spacing w:before="12"/>
              <w:ind w:left="48"/>
              <w:rPr>
                <w:sz w:val="19"/>
              </w:rPr>
            </w:pPr>
            <w:r>
              <w:rPr>
                <w:sz w:val="19"/>
              </w:rPr>
              <w:t>Záväzky so zostatkovou dobou splatnosti do 1 roka</w:t>
            </w:r>
          </w:p>
        </w:tc>
        <w:tc>
          <w:tcPr>
            <w:tcW w:w="1663" w:type="dxa"/>
          </w:tcPr>
          <w:p w:rsidR="00DE0E18" w:rsidRDefault="006D3F8D">
            <w:pPr>
              <w:pStyle w:val="TableParagraph"/>
              <w:spacing w:before="12"/>
              <w:ind w:right="30"/>
              <w:jc w:val="right"/>
              <w:rPr>
                <w:sz w:val="19"/>
              </w:rPr>
            </w:pPr>
            <w:r>
              <w:rPr>
                <w:sz w:val="19"/>
              </w:rPr>
              <w:t>0</w:t>
            </w:r>
          </w:p>
        </w:tc>
        <w:tc>
          <w:tcPr>
            <w:tcW w:w="231" w:type="dxa"/>
          </w:tcPr>
          <w:p w:rsidR="00DE0E18" w:rsidRDefault="00DE0E18">
            <w:pPr>
              <w:pStyle w:val="TableParagraph"/>
              <w:rPr>
                <w:sz w:val="18"/>
              </w:rPr>
            </w:pPr>
          </w:p>
        </w:tc>
        <w:tc>
          <w:tcPr>
            <w:tcW w:w="1665" w:type="dxa"/>
          </w:tcPr>
          <w:p w:rsidR="00DE0E18" w:rsidRDefault="006D3F8D">
            <w:pPr>
              <w:pStyle w:val="TableParagraph"/>
              <w:spacing w:before="12"/>
              <w:ind w:right="31"/>
              <w:jc w:val="right"/>
              <w:rPr>
                <w:sz w:val="19"/>
              </w:rPr>
            </w:pPr>
            <w:r>
              <w:rPr>
                <w:sz w:val="19"/>
              </w:rPr>
              <w:t>0</w:t>
            </w:r>
          </w:p>
        </w:tc>
      </w:tr>
      <w:tr w:rsidR="00DE0E18">
        <w:trPr>
          <w:trHeight w:val="253"/>
        </w:trPr>
        <w:tc>
          <w:tcPr>
            <w:tcW w:w="5198" w:type="dxa"/>
          </w:tcPr>
          <w:p w:rsidR="00DE0E18" w:rsidRDefault="00D73FE1">
            <w:pPr>
              <w:pStyle w:val="TableParagraph"/>
              <w:spacing w:before="14"/>
              <w:ind w:left="48"/>
              <w:rPr>
                <w:sz w:val="19"/>
              </w:rPr>
            </w:pPr>
            <w:r>
              <w:rPr>
                <w:sz w:val="19"/>
              </w:rPr>
              <w:t>Záväzky so zostatkovou dobou splatnosti 1 až 5 rokov</w:t>
            </w:r>
          </w:p>
        </w:tc>
        <w:tc>
          <w:tcPr>
            <w:tcW w:w="1663" w:type="dxa"/>
          </w:tcPr>
          <w:p w:rsidR="00DE0E18" w:rsidRDefault="00D73FE1">
            <w:pPr>
              <w:pStyle w:val="TableParagraph"/>
              <w:spacing w:before="14"/>
              <w:ind w:right="32"/>
              <w:jc w:val="right"/>
              <w:rPr>
                <w:sz w:val="19"/>
              </w:rPr>
            </w:pPr>
            <w:r>
              <w:rPr>
                <w:w w:val="99"/>
                <w:sz w:val="19"/>
              </w:rPr>
              <w:t>0</w:t>
            </w:r>
          </w:p>
        </w:tc>
        <w:tc>
          <w:tcPr>
            <w:tcW w:w="231" w:type="dxa"/>
          </w:tcPr>
          <w:p w:rsidR="00DE0E18" w:rsidRDefault="00DE0E18">
            <w:pPr>
              <w:pStyle w:val="TableParagraph"/>
              <w:rPr>
                <w:sz w:val="18"/>
              </w:rPr>
            </w:pPr>
          </w:p>
        </w:tc>
        <w:tc>
          <w:tcPr>
            <w:tcW w:w="1665" w:type="dxa"/>
          </w:tcPr>
          <w:p w:rsidR="00DE0E18" w:rsidRDefault="00D73FE1">
            <w:pPr>
              <w:pStyle w:val="TableParagraph"/>
              <w:spacing w:before="14"/>
              <w:ind w:right="29"/>
              <w:jc w:val="right"/>
              <w:rPr>
                <w:sz w:val="19"/>
              </w:rPr>
            </w:pPr>
            <w:r>
              <w:rPr>
                <w:w w:val="99"/>
                <w:sz w:val="19"/>
              </w:rPr>
              <w:t>0</w:t>
            </w:r>
          </w:p>
        </w:tc>
      </w:tr>
      <w:tr w:rsidR="00DE0E18">
        <w:trPr>
          <w:trHeight w:val="510"/>
        </w:trPr>
        <w:tc>
          <w:tcPr>
            <w:tcW w:w="5198" w:type="dxa"/>
          </w:tcPr>
          <w:p w:rsidR="00DE0E18" w:rsidRDefault="00D73FE1">
            <w:pPr>
              <w:pStyle w:val="TableParagraph"/>
              <w:spacing w:before="12"/>
              <w:ind w:left="48"/>
              <w:rPr>
                <w:sz w:val="19"/>
              </w:rPr>
            </w:pPr>
            <w:r>
              <w:rPr>
                <w:sz w:val="19"/>
              </w:rPr>
              <w:t>Záväzky so zostatkovou dobou splatnosti dlhšou ako 5</w:t>
            </w:r>
          </w:p>
          <w:p w:rsidR="00DE0E18" w:rsidRDefault="00D73FE1">
            <w:pPr>
              <w:pStyle w:val="TableParagraph"/>
              <w:spacing w:before="36"/>
              <w:ind w:left="48"/>
              <w:rPr>
                <w:sz w:val="19"/>
              </w:rPr>
            </w:pPr>
            <w:r>
              <w:rPr>
                <w:sz w:val="19"/>
              </w:rPr>
              <w:t>rokov</w:t>
            </w:r>
          </w:p>
        </w:tc>
        <w:tc>
          <w:tcPr>
            <w:tcW w:w="1663" w:type="dxa"/>
            <w:tcBorders>
              <w:bottom w:val="single" w:sz="6" w:space="0" w:color="000000"/>
            </w:tcBorders>
          </w:tcPr>
          <w:p w:rsidR="00DE0E18" w:rsidRDefault="00D73FE1">
            <w:pPr>
              <w:pStyle w:val="TableParagraph"/>
              <w:spacing w:before="12"/>
              <w:ind w:right="32"/>
              <w:jc w:val="right"/>
              <w:rPr>
                <w:sz w:val="19"/>
              </w:rPr>
            </w:pPr>
            <w:r>
              <w:rPr>
                <w:w w:val="99"/>
                <w:sz w:val="19"/>
              </w:rPr>
              <w:t>0</w:t>
            </w:r>
          </w:p>
        </w:tc>
        <w:tc>
          <w:tcPr>
            <w:tcW w:w="231" w:type="dxa"/>
          </w:tcPr>
          <w:p w:rsidR="00DE0E18" w:rsidRDefault="00DE0E18">
            <w:pPr>
              <w:pStyle w:val="TableParagraph"/>
              <w:rPr>
                <w:sz w:val="18"/>
              </w:rPr>
            </w:pPr>
          </w:p>
        </w:tc>
        <w:tc>
          <w:tcPr>
            <w:tcW w:w="1665" w:type="dxa"/>
            <w:tcBorders>
              <w:bottom w:val="single" w:sz="6" w:space="0" w:color="000000"/>
            </w:tcBorders>
          </w:tcPr>
          <w:p w:rsidR="00DE0E18" w:rsidRDefault="00D73FE1">
            <w:pPr>
              <w:pStyle w:val="TableParagraph"/>
              <w:spacing w:before="12"/>
              <w:ind w:right="29"/>
              <w:jc w:val="right"/>
              <w:rPr>
                <w:sz w:val="19"/>
              </w:rPr>
            </w:pPr>
            <w:r>
              <w:rPr>
                <w:w w:val="99"/>
                <w:sz w:val="19"/>
              </w:rPr>
              <w:t>0</w:t>
            </w:r>
          </w:p>
        </w:tc>
      </w:tr>
      <w:tr w:rsidR="00DE0E18">
        <w:trPr>
          <w:trHeight w:val="267"/>
        </w:trPr>
        <w:tc>
          <w:tcPr>
            <w:tcW w:w="5198" w:type="dxa"/>
          </w:tcPr>
          <w:p w:rsidR="00DE0E18" w:rsidRDefault="00D73FE1">
            <w:pPr>
              <w:pStyle w:val="TableParagraph"/>
              <w:spacing w:line="217" w:lineRule="exact"/>
              <w:ind w:left="48"/>
              <w:rPr>
                <w:b/>
                <w:sz w:val="19"/>
              </w:rPr>
            </w:pPr>
            <w:r>
              <w:rPr>
                <w:b/>
                <w:sz w:val="19"/>
              </w:rPr>
              <w:t>Záväzky spolu</w:t>
            </w:r>
          </w:p>
        </w:tc>
        <w:tc>
          <w:tcPr>
            <w:tcW w:w="1663" w:type="dxa"/>
            <w:tcBorders>
              <w:top w:val="single" w:sz="6" w:space="0" w:color="000000"/>
              <w:bottom w:val="single" w:sz="8" w:space="0" w:color="000000"/>
            </w:tcBorders>
          </w:tcPr>
          <w:p w:rsidR="00DE0E18" w:rsidRDefault="006D3F8D">
            <w:pPr>
              <w:pStyle w:val="TableParagraph"/>
              <w:spacing w:line="217" w:lineRule="exact"/>
              <w:ind w:right="30"/>
              <w:jc w:val="right"/>
              <w:rPr>
                <w:b/>
                <w:sz w:val="19"/>
              </w:rPr>
            </w:pPr>
            <w:r>
              <w:rPr>
                <w:b/>
                <w:sz w:val="19"/>
              </w:rPr>
              <w:t>0</w:t>
            </w:r>
          </w:p>
        </w:tc>
        <w:tc>
          <w:tcPr>
            <w:tcW w:w="231" w:type="dxa"/>
          </w:tcPr>
          <w:p w:rsidR="00DE0E18" w:rsidRDefault="00DE0E18">
            <w:pPr>
              <w:pStyle w:val="TableParagraph"/>
              <w:rPr>
                <w:sz w:val="18"/>
              </w:rPr>
            </w:pPr>
          </w:p>
        </w:tc>
        <w:tc>
          <w:tcPr>
            <w:tcW w:w="1665" w:type="dxa"/>
            <w:tcBorders>
              <w:top w:val="single" w:sz="6" w:space="0" w:color="000000"/>
              <w:bottom w:val="single" w:sz="8" w:space="0" w:color="000000"/>
            </w:tcBorders>
          </w:tcPr>
          <w:p w:rsidR="00DE0E18" w:rsidRDefault="006D3F8D">
            <w:pPr>
              <w:pStyle w:val="TableParagraph"/>
              <w:spacing w:line="217" w:lineRule="exact"/>
              <w:ind w:right="31"/>
              <w:jc w:val="right"/>
              <w:rPr>
                <w:b/>
                <w:sz w:val="19"/>
              </w:rPr>
            </w:pPr>
            <w:r>
              <w:rPr>
                <w:b/>
                <w:sz w:val="19"/>
              </w:rPr>
              <w:t>0</w:t>
            </w:r>
          </w:p>
        </w:tc>
      </w:tr>
    </w:tbl>
    <w:p w:rsidR="00DE0E18" w:rsidRDefault="00DE0E18">
      <w:pPr>
        <w:pStyle w:val="Zkladntext"/>
        <w:rPr>
          <w:sz w:val="20"/>
        </w:rPr>
      </w:pPr>
    </w:p>
    <w:p w:rsidR="00DE0E18" w:rsidRDefault="00DE0E18">
      <w:pPr>
        <w:pStyle w:val="Zkladntext"/>
        <w:rPr>
          <w:sz w:val="20"/>
        </w:rPr>
      </w:pPr>
    </w:p>
    <w:p w:rsidR="00DE0E18" w:rsidRDefault="00DE0E18">
      <w:pPr>
        <w:pStyle w:val="Zkladntext"/>
        <w:rPr>
          <w:sz w:val="20"/>
        </w:rPr>
      </w:pPr>
    </w:p>
    <w:p w:rsidR="00DE0E18" w:rsidRDefault="00DE0E18">
      <w:pPr>
        <w:pStyle w:val="Zkladntext"/>
        <w:spacing w:before="5"/>
        <w:rPr>
          <w:sz w:val="21"/>
        </w:rPr>
      </w:pPr>
    </w:p>
    <w:p w:rsidR="00DE0E18" w:rsidRDefault="00BB4783">
      <w:pPr>
        <w:pStyle w:val="Nadpis2"/>
        <w:numPr>
          <w:ilvl w:val="1"/>
          <w:numId w:val="4"/>
        </w:numPr>
        <w:tabs>
          <w:tab w:val="left" w:pos="832"/>
          <w:tab w:val="left" w:pos="833"/>
        </w:tabs>
        <w:ind w:left="832" w:hanging="361"/>
      </w:pPr>
      <w:r>
        <w:rPr>
          <w:noProof/>
          <w:lang w:eastAsia="sk-SK"/>
        </w:rPr>
        <mc:AlternateContent>
          <mc:Choice Requires="wpg">
            <w:drawing>
              <wp:anchor distT="0" distB="0" distL="114300" distR="114300" simplePos="0" relativeHeight="487332864" behindDoc="1" locked="0" layoutInCell="1" allowOverlap="1">
                <wp:simplePos x="0" y="0"/>
                <wp:positionH relativeFrom="page">
                  <wp:posOffset>4635500</wp:posOffset>
                </wp:positionH>
                <wp:positionV relativeFrom="paragraph">
                  <wp:posOffset>-631190</wp:posOffset>
                </wp:positionV>
                <wp:extent cx="1054100" cy="10795"/>
                <wp:effectExtent l="0" t="0" r="0" b="0"/>
                <wp:wrapNone/>
                <wp:docPr id="50"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4100" cy="10795"/>
                          <a:chOff x="7300" y="-994"/>
                          <a:chExt cx="1660" cy="17"/>
                        </a:xfrm>
                      </wpg:grpSpPr>
                      <wps:wsp>
                        <wps:cNvPr id="51" name="Line 50"/>
                        <wps:cNvCnPr>
                          <a:cxnSpLocks noChangeShapeType="1"/>
                        </wps:cNvCnPr>
                        <wps:spPr bwMode="auto">
                          <a:xfrm>
                            <a:off x="7300" y="-993"/>
                            <a:ext cx="1659"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Rectangle 49"/>
                        <wps:cNvSpPr>
                          <a:spLocks noChangeArrowheads="1"/>
                        </wps:cNvSpPr>
                        <wps:spPr bwMode="auto">
                          <a:xfrm>
                            <a:off x="7300" y="-994"/>
                            <a:ext cx="1659"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21CD96" id="Group 48" o:spid="_x0000_s1026" style="position:absolute;margin-left:365pt;margin-top:-49.7pt;width:83pt;height:.85pt;z-index:-15983616;mso-position-horizontal-relative:page" coordorigin="7300,-994" coordsize="166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">
                <v:line id="Line 50" o:spid="_x0000_s1027" style="position:absolute;visibility:visible;mso-wrap-style:square" from="7300,-993" to="8959,-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GRc8QAAADbAAAADwAAAGRycy9kb3ducmV2LnhtbESPQWvCQBSE70L/w/KE3nSTgjaNbqQU&#10;i/bWpgoeH9lnsiT7NmRXjf++Wyj0OMzMN8x6M9pOXGnwxrGCdJ6AIK6cNlwrOHy/zzIQPiBr7ByT&#10;gjt52BQPkzXm2t34i65lqEWEsM9RQRNCn0vpq4Ys+rnriaN3doPFEOVQSz3gLcJtJ5+SZCktGo4L&#10;Dfb01lDVlherwHwud4uP5+PLUW53IT1lbWbsQanH6fi6AhFoDP/hv/ZeK1ik8Psl/gB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oZFzxAAAANsAAAAPAAAAAAAAAAAA&#10;AAAAAKECAABkcnMvZG93bnJldi54bWxQSwUGAAAAAAQABAD5AAAAkgMAAAAA&#10;" strokeweight="0"/>
                <v:rect id="Rectangle 49" o:spid="_x0000_s1028" style="position:absolute;left:7300;top:-994;width:1659;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usTsYA&#10;AADbAAAADwAAAGRycy9kb3ducmV2LnhtbESPT2vCQBTE7wW/w/IK3uqmQYtN3YgWBC9C/XOot2f2&#10;NQnJvk13V41++m6h0OMwM79hZvPetOJCzteWFTyPEhDEhdU1lwoO+9XTFIQPyBpby6TgRh7m+eBh&#10;hpm2V97SZRdKESHsM1RQhdBlUvqiIoN+ZDvi6H1ZZzBE6UqpHV4j3LQyTZIXabDmuFBhR+8VFc3u&#10;bBQsX6fL748xb+7b05GOn6dmkrpEqeFjv3gDEagP/+G/9lormKTw+yX+A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usTsYAAADbAAAADwAAAAAAAAAAAAAAAACYAgAAZHJz&#10;L2Rvd25yZXYueG1sUEsFBgAAAAAEAAQA9QAAAIsDAAAAAA==&#10;" fillcolor="black" stroked="f"/>
                <w10:wrap anchorx="page"/>
              </v:group>
            </w:pict>
          </mc:Fallback>
        </mc:AlternateContent>
      </w:r>
      <w:r>
        <w:rPr>
          <w:noProof/>
          <w:lang w:eastAsia="sk-SK"/>
        </w:rPr>
        <mc:AlternateContent>
          <mc:Choice Requires="wpg">
            <w:drawing>
              <wp:anchor distT="0" distB="0" distL="114300" distR="114300" simplePos="0" relativeHeight="487333376" behindDoc="1" locked="0" layoutInCell="1" allowOverlap="1">
                <wp:simplePos x="0" y="0"/>
                <wp:positionH relativeFrom="page">
                  <wp:posOffset>5840095</wp:posOffset>
                </wp:positionH>
                <wp:positionV relativeFrom="paragraph">
                  <wp:posOffset>-631190</wp:posOffset>
                </wp:positionV>
                <wp:extent cx="1054100" cy="10795"/>
                <wp:effectExtent l="0" t="0" r="0" b="0"/>
                <wp:wrapNone/>
                <wp:docPr id="47"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4100" cy="10795"/>
                          <a:chOff x="9197" y="-994"/>
                          <a:chExt cx="1660" cy="17"/>
                        </a:xfrm>
                      </wpg:grpSpPr>
                      <wps:wsp>
                        <wps:cNvPr id="48" name="Line 47"/>
                        <wps:cNvCnPr>
                          <a:cxnSpLocks noChangeShapeType="1"/>
                        </wps:cNvCnPr>
                        <wps:spPr bwMode="auto">
                          <a:xfrm>
                            <a:off x="9197" y="-993"/>
                            <a:ext cx="1659"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 name="Rectangle 46"/>
                        <wps:cNvSpPr>
                          <a:spLocks noChangeArrowheads="1"/>
                        </wps:cNvSpPr>
                        <wps:spPr bwMode="auto">
                          <a:xfrm>
                            <a:off x="9196" y="-994"/>
                            <a:ext cx="1659"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CA02D0" id="Group 45" o:spid="_x0000_s1026" style="position:absolute;margin-left:459.85pt;margin-top:-49.7pt;width:83pt;height:.85pt;z-index:-15983104;mso-position-horizontal-relative:page" coordorigin="9197,-994" coordsize="166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">
                <v:line id="Line 47" o:spid="_x0000_s1027" style="position:absolute;visibility:visible;mso-wrap-style:square" from="9197,-993" to="10856,-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KuM8AAAADbAAAADwAAAGRycy9kb3ducmV2LnhtbERPy4rCMBTdD/gP4QruxtTBR61GkUHR&#10;2fkEl5fm2gabm9JE7fz9ZCHM8nDe82VrK/GkxhvHCgb9BARx7rThQsH5tPlMQfiArLFyTAp+ycNy&#10;0fmYY6bdiw/0PIZCxBD2GSooQ6gzKX1ekkXfdzVx5G6usRgibAqpG3zFcFvJryQZS4uGY0OJNX2X&#10;lN+PD6vA7Mfb0c/kMr3I9TYMruk9NfasVK/brmYgArXhX/x277SCYRwbv8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5CrjPAAAAA2wAAAA8AAAAAAAAAAAAAAAAA&#10;oQIAAGRycy9kb3ducmV2LnhtbFBLBQYAAAAABAAEAPkAAACOAwAAAAA=&#10;" strokeweight="0"/>
                <v:rect id="Rectangle 46" o:spid="_x0000_s1028" style="position:absolute;left:9196;top:-994;width:1659;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ao4sYA&#10;AADbAAAADwAAAGRycy9kb3ducmV2LnhtbESPQWvCQBSE74X+h+UVvDWbihWNWaUWBC+Faj3o7SX7&#10;TILZt+nuqml/vVsQehxm5hsmX/SmFRdyvrGs4CVJQRCXVjdcKdh9rZ4nIHxA1thaJgU/5GExf3zI&#10;MdP2yhu6bEMlIoR9hgrqELpMSl/WZNAntiOO3tE6gyFKV0nt8BrhppXDNB1Lgw3HhRo7eq+pPG3P&#10;RsFyOll+f47443dTHOiwL06vQ5cqNXjq32YgAvXhP3xvr7WC0RT+vsQf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ao4sYAAADbAAAADwAAAAAAAAAAAAAAAACYAgAAZHJz&#10;L2Rvd25yZXYueG1sUEsFBgAAAAAEAAQA9QAAAIsDAAAAAA==&#10;" fillcolor="black" stroked="f"/>
                <w10:wrap anchorx="page"/>
              </v:group>
            </w:pict>
          </mc:Fallback>
        </mc:AlternateContent>
      </w:r>
      <w:r w:rsidR="00D73FE1">
        <w:t>Náklady, ktoré majú výnimočný rozsah alebo</w:t>
      </w:r>
      <w:r w:rsidR="00D73FE1">
        <w:rPr>
          <w:spacing w:val="2"/>
        </w:rPr>
        <w:t xml:space="preserve"> </w:t>
      </w:r>
      <w:r w:rsidR="00D73FE1">
        <w:t>výskyt</w:t>
      </w:r>
    </w:p>
    <w:p w:rsidR="00DE0E18" w:rsidRDefault="00DE0E18">
      <w:pPr>
        <w:pStyle w:val="Zkladntext"/>
        <w:spacing w:before="3"/>
        <w:rPr>
          <w:b/>
          <w:sz w:val="22"/>
        </w:rPr>
      </w:pPr>
    </w:p>
    <w:p w:rsidR="00DE0E18" w:rsidRDefault="006D3F8D">
      <w:pPr>
        <w:tabs>
          <w:tab w:val="left" w:pos="8635"/>
        </w:tabs>
        <w:ind w:left="7440"/>
        <w:rPr>
          <w:sz w:val="17"/>
        </w:rPr>
      </w:pPr>
      <w:r>
        <w:rPr>
          <w:w w:val="105"/>
          <w:sz w:val="17"/>
        </w:rPr>
        <w:t>2018</w:t>
      </w:r>
      <w:r w:rsidR="00D73FE1">
        <w:rPr>
          <w:w w:val="105"/>
          <w:sz w:val="17"/>
        </w:rPr>
        <w:tab/>
      </w:r>
      <w:r>
        <w:rPr>
          <w:w w:val="105"/>
          <w:sz w:val="17"/>
        </w:rPr>
        <w:t>2017</w:t>
      </w:r>
    </w:p>
    <w:p w:rsidR="00DE0E18" w:rsidRDefault="00BB4783">
      <w:pPr>
        <w:tabs>
          <w:tab w:val="left" w:pos="8635"/>
        </w:tabs>
        <w:spacing w:before="54"/>
        <w:ind w:left="7440"/>
        <w:rPr>
          <w:sz w:val="17"/>
        </w:rPr>
      </w:pPr>
      <w:r>
        <w:rPr>
          <w:noProof/>
          <w:lang w:eastAsia="sk-SK"/>
        </w:rPr>
        <mc:AlternateContent>
          <mc:Choice Requires="wpg">
            <w:drawing>
              <wp:anchor distT="0" distB="0" distL="0" distR="0" simplePos="0" relativeHeight="487587840" behindDoc="1" locked="0" layoutInCell="1" allowOverlap="1">
                <wp:simplePos x="0" y="0"/>
                <wp:positionH relativeFrom="page">
                  <wp:posOffset>1333500</wp:posOffset>
                </wp:positionH>
                <wp:positionV relativeFrom="paragraph">
                  <wp:posOffset>174625</wp:posOffset>
                </wp:positionV>
                <wp:extent cx="5562600" cy="9525"/>
                <wp:effectExtent l="0" t="0" r="0" b="0"/>
                <wp:wrapTopAndBottom/>
                <wp:docPr id="43"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0" cy="9525"/>
                          <a:chOff x="2100" y="275"/>
                          <a:chExt cx="8760" cy="15"/>
                        </a:xfrm>
                      </wpg:grpSpPr>
                      <wps:wsp>
                        <wps:cNvPr id="44" name="Line 44"/>
                        <wps:cNvCnPr>
                          <a:cxnSpLocks noChangeShapeType="1"/>
                        </wps:cNvCnPr>
                        <wps:spPr bwMode="auto">
                          <a:xfrm>
                            <a:off x="2100" y="275"/>
                            <a:ext cx="87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Rectangle 43"/>
                        <wps:cNvSpPr>
                          <a:spLocks noChangeArrowheads="1"/>
                        </wps:cNvSpPr>
                        <wps:spPr bwMode="auto">
                          <a:xfrm>
                            <a:off x="2100" y="275"/>
                            <a:ext cx="876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42"/>
                        <wps:cNvCnPr>
                          <a:cxnSpLocks noChangeShapeType="1"/>
                        </wps:cNvCnPr>
                        <wps:spPr bwMode="auto">
                          <a:xfrm>
                            <a:off x="10860" y="275"/>
                            <a:ext cx="0"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A02234" id="Group 41" o:spid="_x0000_s1026" style="position:absolute;margin-left:105pt;margin-top:13.75pt;width:438pt;height:.75pt;z-index:-15728640;mso-wrap-distance-left:0;mso-wrap-distance-right:0;mso-position-horizontal-relative:page" coordorigin="2100,275" coordsize="876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">
                <v:line id="Line 44" o:spid="_x0000_s1027" style="position:absolute;visibility:visible;mso-wrap-style:square" from="2100,275" to="10860,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kNsQAAADbAAAADwAAAGRycy9kb3ducmV2LnhtbESPQWvCQBSE74X+h+UJvdWNo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D6Q2xAAAANsAAAAPAAAAAAAAAAAA&#10;AAAAAKECAABkcnMvZG93bnJldi54bWxQSwUGAAAAAAQABAD5AAAAkgMAAAAA&#10;" strokeweight="0"/>
                <v:rect id="Rectangle 43" o:spid="_x0000_s1028" style="position:absolute;left:2100;top:275;width:876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ui58UA&#10;AADbAAAADwAAAGRycy9kb3ducmV2LnhtbESPQWsCMRSE74L/ITzBm5utqNitUVQQvAjV9lBvz83r&#10;7uLmZU2ibvvrTUHocZiZb5jZojW1uJHzlWUFL0kKgji3uuJCwefHZjAF4QOyxtoyKfghD4t5tzPD&#10;TNs77+l2CIWIEPYZKihDaDIpfV6SQZ/Yhjh639YZDFG6QmqH9wg3tRym6UQarDgulNjQuqT8fLga&#10;BavX6eryPuLd7/50pOPX6TweulSpfq9dvoEI1Ib/8LO91QpGY/j7En+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6LnxQAAANsAAAAPAAAAAAAAAAAAAAAAAJgCAABkcnMv&#10;ZG93bnJldi54bWxQSwUGAAAAAAQABAD1AAAAigMAAAAA&#10;" fillcolor="black" stroked="f"/>
                <v:line id="Line 42" o:spid="_x0000_s1029" style="position:absolute;visibility:visible;mso-wrap-style:square" from="10860,275" to="10860,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42c8YAAADbAAAADwAAAGRycy9kb3ducmV2LnhtbESPQWsCMRSE7wX/Q3hCL6VmFRHZGkVb&#10;WywIolW8PjfP3cXNy5KkuvrrjVDocZiZb5jRpDGVOJPzpWUF3U4CgjizuuRcwfbn83UIwgdkjZVl&#10;UnAlD5Nx62mEqbYXXtN5E3IRIexTVFCEUKdS+qwgg75ja+LoHa0zGKJ0udQOLxFuKtlLkoE0WHJc&#10;KLCm94Ky0+bXKNh3v7PbeutmX7P9y/KDD6v5Th6Vem430zcQgZrwH/5rL7SC/gAeX+IPkO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eNnPGAAAA2wAAAA8AAAAAAAAA&#10;AAAAAAAAoQIAAGRycy9kb3ducmV2LnhtbFBLBQYAAAAABAAEAPkAAACUAwAAAAA=&#10;" strokecolor="#d4d4d4" strokeweight="0"/>
                <w10:wrap type="topAndBottom" anchorx="page"/>
              </v:group>
            </w:pict>
          </mc:Fallback>
        </mc:AlternateContent>
      </w:r>
      <w:r w:rsidR="00D73FE1">
        <w:rPr>
          <w:w w:val="105"/>
          <w:sz w:val="17"/>
        </w:rPr>
        <w:t>EUR</w:t>
      </w:r>
      <w:r w:rsidR="00D73FE1">
        <w:rPr>
          <w:w w:val="105"/>
          <w:sz w:val="17"/>
        </w:rPr>
        <w:tab/>
        <w:t>EUR</w:t>
      </w:r>
    </w:p>
    <w:p w:rsidR="00DE0E18" w:rsidRDefault="00D73FE1">
      <w:pPr>
        <w:tabs>
          <w:tab w:val="left" w:pos="7968"/>
          <w:tab w:val="left" w:pos="9163"/>
        </w:tabs>
        <w:spacing w:after="39"/>
        <w:ind w:left="585"/>
        <w:rPr>
          <w:sz w:val="17"/>
        </w:rPr>
      </w:pPr>
      <w:r>
        <w:rPr>
          <w:w w:val="105"/>
          <w:sz w:val="17"/>
        </w:rPr>
        <w:t xml:space="preserve">Škody  </w:t>
      </w:r>
      <w:r>
        <w:rPr>
          <w:spacing w:val="5"/>
          <w:w w:val="105"/>
          <w:sz w:val="17"/>
        </w:rPr>
        <w:t xml:space="preserve">zo </w:t>
      </w:r>
      <w:r>
        <w:rPr>
          <w:w w:val="105"/>
          <w:sz w:val="17"/>
        </w:rPr>
        <w:t xml:space="preserve">živelných </w:t>
      </w:r>
      <w:r>
        <w:rPr>
          <w:spacing w:val="2"/>
          <w:w w:val="105"/>
          <w:sz w:val="17"/>
        </w:rPr>
        <w:t>pohrôm</w:t>
      </w:r>
      <w:r>
        <w:rPr>
          <w:spacing w:val="-23"/>
          <w:w w:val="105"/>
          <w:sz w:val="17"/>
        </w:rPr>
        <w:t xml:space="preserve"> </w:t>
      </w:r>
      <w:r>
        <w:rPr>
          <w:w w:val="105"/>
          <w:sz w:val="17"/>
        </w:rPr>
        <w:t>na</w:t>
      </w:r>
      <w:r>
        <w:rPr>
          <w:spacing w:val="-2"/>
          <w:w w:val="105"/>
          <w:sz w:val="17"/>
        </w:rPr>
        <w:t xml:space="preserve"> </w:t>
      </w:r>
      <w:r>
        <w:rPr>
          <w:w w:val="105"/>
          <w:sz w:val="17"/>
        </w:rPr>
        <w:t>majetku</w:t>
      </w:r>
      <w:r>
        <w:rPr>
          <w:w w:val="105"/>
          <w:sz w:val="17"/>
        </w:rPr>
        <w:tab/>
        <w:t>0</w:t>
      </w:r>
      <w:r>
        <w:rPr>
          <w:w w:val="105"/>
          <w:sz w:val="17"/>
        </w:rPr>
        <w:tab/>
        <w:t>0</w:t>
      </w:r>
    </w:p>
    <w:p w:rsidR="00DE0E18" w:rsidRDefault="00BB4783">
      <w:pPr>
        <w:pStyle w:val="Zkladntext"/>
        <w:spacing w:line="20" w:lineRule="exact"/>
        <w:ind w:left="7120"/>
        <w:rPr>
          <w:sz w:val="2"/>
        </w:rPr>
      </w:pPr>
      <w:r>
        <w:rPr>
          <w:noProof/>
          <w:sz w:val="2"/>
          <w:lang w:eastAsia="sk-SK"/>
        </w:rPr>
        <mc:AlternateContent>
          <mc:Choice Requires="wpg">
            <w:drawing>
              <wp:inline distT="0" distB="0" distL="0" distR="0">
                <wp:extent cx="624840" cy="9525"/>
                <wp:effectExtent l="12700" t="5080" r="10160" b="4445"/>
                <wp:docPr id="40"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 cy="9525"/>
                          <a:chOff x="0" y="0"/>
                          <a:chExt cx="984" cy="15"/>
                        </a:xfrm>
                      </wpg:grpSpPr>
                      <wps:wsp>
                        <wps:cNvPr id="41" name="Line 40"/>
                        <wps:cNvCnPr>
                          <a:cxnSpLocks noChangeShapeType="1"/>
                        </wps:cNvCnPr>
                        <wps:spPr bwMode="auto">
                          <a:xfrm>
                            <a:off x="0" y="1"/>
                            <a:ext cx="984"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Rectangle 39"/>
                        <wps:cNvSpPr>
                          <a:spLocks noChangeArrowheads="1"/>
                        </wps:cNvSpPr>
                        <wps:spPr bwMode="auto">
                          <a:xfrm>
                            <a:off x="0" y="0"/>
                            <a:ext cx="98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689A25B" id="Group 38" o:spid="_x0000_s1026" style="width:49.2pt;height:.75pt;mso-position-horizontal-relative:char;mso-position-vertical-relative:line" coordsize="9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">
                <v:line id="Line 40" o:spid="_x0000_s1027" style="position:absolute;visibility:visible;mso-wrap-style:square" from="0,1" to="9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rect id="Rectangle 39" o:spid="_x0000_s1028" style="position:absolute;width:98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I6k8YA&#10;AADbAAAADwAAAGRycy9kb3ducmV2LnhtbESPQWvCQBSE74X+h+UVvNVNgxWNbqQWBC+FanvQ2zP7&#10;TEKyb9PdVdP+ercgeBxm5htmvuhNK87kfG1ZwcswAUFcWF1zqeD7a/U8AeEDssbWMin4JQ+L/PFh&#10;jpm2F97QeRtKESHsM1RQhdBlUvqiIoN+aDvi6B2tMxiidKXUDi8RblqZJslYGqw5LlTY0XtFRbM9&#10;GQXL6WT58znij7/NYU/73aF5TV2i1OCpf5uBCNSHe/jWXmsFox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I6k8YAAADbAAAADwAAAAAAAAAAAAAAAACYAgAAZHJz&#10;L2Rvd25yZXYueG1sUEsFBgAAAAAEAAQA9QAAAIsDAAAAAA==&#10;" fillcolor="black" stroked="f"/>
                <w10:anchorlock/>
              </v:group>
            </w:pict>
          </mc:Fallback>
        </mc:AlternateContent>
      </w:r>
      <w:r w:rsidR="00D73FE1">
        <w:rPr>
          <w:spacing w:val="182"/>
          <w:sz w:val="2"/>
        </w:rPr>
        <w:t xml:space="preserve"> </w:t>
      </w:r>
      <w:r>
        <w:rPr>
          <w:noProof/>
          <w:spacing w:val="182"/>
          <w:sz w:val="2"/>
          <w:lang w:eastAsia="sk-SK"/>
        </w:rPr>
        <mc:AlternateContent>
          <mc:Choice Requires="wpg">
            <w:drawing>
              <wp:inline distT="0" distB="0" distL="0" distR="0">
                <wp:extent cx="624840" cy="9525"/>
                <wp:effectExtent l="12065" t="5080" r="10795" b="4445"/>
                <wp:docPr id="36"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 cy="9525"/>
                          <a:chOff x="0" y="0"/>
                          <a:chExt cx="984" cy="15"/>
                        </a:xfrm>
                      </wpg:grpSpPr>
                      <wps:wsp>
                        <wps:cNvPr id="37" name="Line 37"/>
                        <wps:cNvCnPr>
                          <a:cxnSpLocks noChangeShapeType="1"/>
                        </wps:cNvCnPr>
                        <wps:spPr bwMode="auto">
                          <a:xfrm>
                            <a:off x="0" y="1"/>
                            <a:ext cx="984"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 name="Rectangle 36"/>
                        <wps:cNvSpPr>
                          <a:spLocks noChangeArrowheads="1"/>
                        </wps:cNvSpPr>
                        <wps:spPr bwMode="auto">
                          <a:xfrm>
                            <a:off x="0" y="0"/>
                            <a:ext cx="98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35"/>
                        <wps:cNvCnPr>
                          <a:cxnSpLocks noChangeShapeType="1"/>
                        </wps:cNvCnPr>
                        <wps:spPr bwMode="auto">
                          <a:xfrm>
                            <a:off x="984" y="1"/>
                            <a:ext cx="0"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03766B5" id="Group 34" o:spid="_x0000_s1026" style="width:49.2pt;height:.75pt;mso-position-horizontal-relative:char;mso-position-vertical-relative:line" coordsize="9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">
                <v:line id="Line 37" o:spid="_x0000_s1027" style="position:absolute;visibility:visible;mso-wrap-style:square" from="0,1" to="9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tJPMQAAADbAAAADwAAAGRycy9kb3ducmV2LnhtbESPQWvCQBSE70L/w/IKvdWNL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0k8xAAAANsAAAAPAAAAAAAAAAAA&#10;AAAAAKECAABkcnMvZG93bnJldi54bWxQSwUGAAAAAAQABAD5AAAAkgMAAAAA&#10;" strokeweight="0"/>
                <v:rect id="Rectangle 36" o:spid="_x0000_s1028" style="position:absolute;width:98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x+BMMA&#10;AADbAAAADwAAAGRycy9kb3ducmV2LnhtbERPz2vCMBS+C/sfwhvspumcDu0aZQ4EL4K6HfT22ry1&#10;xealS6JW/3pzEHb8+H5n88404kzO15YVvA4SEMSF1TWXCn6+l/0JCB+QNTaWScGVPMxnT70MU20v&#10;vKXzLpQihrBPUUEVQptK6YuKDPqBbYkj92udwRChK6V2eInhppHDJHmXBmuODRW29FVRcdydjILF&#10;dLL424x4fdvmBzrs8+N46BKlXp67zw8QgbrwL364V1rBWxwb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x+BMMAAADbAAAADwAAAAAAAAAAAAAAAACYAgAAZHJzL2Rv&#10;d25yZXYueG1sUEsFBgAAAAAEAAQA9QAAAIgDAAAAAA==&#10;" fillcolor="black" stroked="f"/>
                <v:line id="Line 35" o:spid="_x0000_s1029" style="position:absolute;visibility:visible;mso-wrap-style:square" from="984,1" to="9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fRfMcAAADbAAAADwAAAGRycy9kb3ducmV2LnhtbESPW2sCMRSE3wv9D+EUfCma1YK0q1Fq&#10;vaBQKN7w9XRz3F26OVmSqGt/vREKfRxm5htmOG5MJc7kfGlZQbeTgCDOrC45V7DbztuvIHxA1lhZ&#10;JgVX8jAePT4MMdX2wms6b0IuIoR9igqKEOpUSp8VZNB3bE0cvaN1BkOULpfa4SXCTSV7SdKXBkuO&#10;CwXW9FFQ9rM5GQWH7ir7Xe/cZDE5PH9O+ftrtpdHpVpPzfsARKAm/If/2kut4OUN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x9F8xwAAANsAAAAPAAAAAAAA&#10;AAAAAAAAAKECAABkcnMvZG93bnJldi54bWxQSwUGAAAAAAQABAD5AAAAlQMAAAAA&#10;" strokecolor="#d4d4d4" strokeweight="0"/>
                <w10:anchorlock/>
              </v:group>
            </w:pict>
          </mc:Fallback>
        </mc:AlternateContent>
      </w:r>
    </w:p>
    <w:p w:rsidR="00DE0E18" w:rsidRDefault="00BB4783">
      <w:pPr>
        <w:tabs>
          <w:tab w:val="left" w:pos="7968"/>
          <w:tab w:val="left" w:pos="9163"/>
        </w:tabs>
        <w:ind w:left="585"/>
        <w:rPr>
          <w:b/>
          <w:sz w:val="17"/>
        </w:rPr>
      </w:pPr>
      <w:r>
        <w:rPr>
          <w:noProof/>
          <w:lang w:eastAsia="sk-SK"/>
        </w:rPr>
        <mc:AlternateContent>
          <mc:Choice Requires="wpg">
            <w:drawing>
              <wp:anchor distT="0" distB="0" distL="0" distR="0" simplePos="0" relativeHeight="487589376" behindDoc="1" locked="0" layoutInCell="1" allowOverlap="1">
                <wp:simplePos x="0" y="0"/>
                <wp:positionH relativeFrom="page">
                  <wp:posOffset>5521960</wp:posOffset>
                </wp:positionH>
                <wp:positionV relativeFrom="paragraph">
                  <wp:posOffset>203200</wp:posOffset>
                </wp:positionV>
                <wp:extent cx="605790" cy="29210"/>
                <wp:effectExtent l="0" t="0" r="0" b="0"/>
                <wp:wrapTopAndBottom/>
                <wp:docPr id="31"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 cy="29210"/>
                          <a:chOff x="8696" y="320"/>
                          <a:chExt cx="954" cy="46"/>
                        </a:xfrm>
                      </wpg:grpSpPr>
                      <wps:wsp>
                        <wps:cNvPr id="32" name="Line 33"/>
                        <wps:cNvCnPr>
                          <a:cxnSpLocks noChangeShapeType="1"/>
                        </wps:cNvCnPr>
                        <wps:spPr bwMode="auto">
                          <a:xfrm>
                            <a:off x="8696" y="320"/>
                            <a:ext cx="95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Rectangle 32"/>
                        <wps:cNvSpPr>
                          <a:spLocks noChangeArrowheads="1"/>
                        </wps:cNvSpPr>
                        <wps:spPr bwMode="auto">
                          <a:xfrm>
                            <a:off x="8697" y="319"/>
                            <a:ext cx="9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31"/>
                        <wps:cNvCnPr>
                          <a:cxnSpLocks noChangeShapeType="1"/>
                        </wps:cNvCnPr>
                        <wps:spPr bwMode="auto">
                          <a:xfrm>
                            <a:off x="8696" y="350"/>
                            <a:ext cx="95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 name="Rectangle 30"/>
                        <wps:cNvSpPr>
                          <a:spLocks noChangeArrowheads="1"/>
                        </wps:cNvSpPr>
                        <wps:spPr bwMode="auto">
                          <a:xfrm>
                            <a:off x="8697" y="350"/>
                            <a:ext cx="9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F8897B" id="Group 29" o:spid="_x0000_s1026" style="position:absolute;margin-left:434.8pt;margin-top:16pt;width:47.7pt;height:2.3pt;z-index:-15727104;mso-wrap-distance-left:0;mso-wrap-distance-right:0;mso-position-horizontal-relative:page" coordorigin="8696,320" coordsize="95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">
                <v:line id="Line 33" o:spid="_x0000_s1027" style="position:absolute;visibility:visible;mso-wrap-style:square" from="8696,320" to="964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zqpMQAAADbAAAADwAAAGRycy9kb3ducmV2LnhtbESPQWvCQBSE74X+h+UJvdWNFm2MWaWU&#10;Fu3NRgMeH9lnsph9G7Jbjf/eLRR6HGbmGyZfD7YVF+q9caxgMk5AEFdOG64VHPafzykIH5A1to5J&#10;wY08rFePDzlm2l35my5FqEWEsM9QQRNCl0npq4Ys+rHriKN3cr3FEGVfS93jNcJtK6dJMpcWDceF&#10;Bjt6b6g6Fz9WgdnNN7Ov13JRyo9NmBzTc2rsQamn0fC2BBFoCP/hv/ZWK3iZwu+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rOqkxAAAANsAAAAPAAAAAAAAAAAA&#10;AAAAAKECAABkcnMvZG93bnJldi54bWxQSwUGAAAAAAQABAD5AAAAkgMAAAAA&#10;" strokeweight="0"/>
                <v:rect id="Rectangle 32" o:spid="_x0000_s1028" style="position:absolute;left:8697;top:319;width:9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sdcUA&#10;AADbAAAADwAAAGRycy9kb3ducmV2LnhtbESPT2sCMRTE74LfITzBm2b9U7GrUbRQ6EWotod6e26e&#10;u4ubl20SdfXTN0LB4zAzv2Hmy8ZU4kLOl5YVDPoJCOLM6pJzBd9f770pCB+QNVaWScGNPCwX7dYc&#10;U22vvKXLLuQiQtinqKAIoU6l9FlBBn3f1sTRO1pnMETpcqkdXiPcVHKYJBNpsOS4UGBNbwVlp93Z&#10;KFi/Tte/n2Pe3LeHPe1/DqeXoUuU6naa1QxEoCY8w//tD61gNILHl/gD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Ox1xQAAANsAAAAPAAAAAAAAAAAAAAAAAJgCAABkcnMv&#10;ZG93bnJldi54bWxQSwUGAAAAAAQABAD1AAAAigMAAAAA&#10;" fillcolor="black" stroked="f"/>
                <v:line id="Line 31" o:spid="_x0000_s1029" style="position:absolute;visibility:visible;mso-wrap-style:square" from="8696,350" to="9649,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nXS8QAAADbAAAADwAAAGRycy9kb3ducmV2LnhtbESPT2sCMRTE70K/Q3gFb5q1Wt1ujVKK&#10;ot7qP/D42LzuBjcvyybq+u2NUOhxmJnfMNN5aytxpcYbxwoG/QQEce604ULBYb/spSB8QNZYOSYF&#10;d/Iwn710pphpd+MtXXehEBHCPkMFZQh1JqXPS7Lo+64mjt6vayyGKJtC6gZvEW4r+ZYkY2nRcFwo&#10;sabvkvLz7mIVmJ/x6n0zOX4c5WIVBqf0nBp7UKr72n59ggjUhv/wX3utFQxH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CddLxAAAANsAAAAPAAAAAAAAAAAA&#10;AAAAAKECAABkcnMvZG93bnJldi54bWxQSwUGAAAAAAQABAD5AAAAkgMAAAAA&#10;" strokeweight="0"/>
                <v:rect id="Rectangle 30" o:spid="_x0000_s1030" style="position:absolute;left:8697;top:350;width:9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3RmsUA&#10;AADbAAAADwAAAGRycy9kb3ducmV2LnhtbESPT2sCMRTE70K/Q3gFb5qtVtGtUWpB6EXw30Fvz83r&#10;7uLmZZtEXfvpG0HwOMzMb5jJrDGVuJDzpWUFb90EBHFmdcm5gt120RmB8AFZY2WZFNzIw2z60ppg&#10;qu2V13TZhFxECPsUFRQh1KmUPivIoO/amjh6P9YZDFG6XGqH1wg3lewlyVAaLDkuFFjTV0HZaXM2&#10;Cubj0fx39c7Lv/XxQIf98TTouUSp9mvz+QEiUBOe4Uf7WyvoD+D+Jf4AO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bdGaxQAAANsAAAAPAAAAAAAAAAAAAAAAAJgCAABkcnMv&#10;ZG93bnJldi54bWxQSwUGAAAAAAQABAD1AAAAigMAAAAA&#10;" fillcolor="black" stroked="f"/>
                <w10:wrap type="topAndBottom" anchorx="page"/>
              </v:group>
            </w:pict>
          </mc:Fallback>
        </mc:AlternateContent>
      </w:r>
      <w:r>
        <w:rPr>
          <w:noProof/>
          <w:lang w:eastAsia="sk-SK"/>
        </w:rPr>
        <mc:AlternateContent>
          <mc:Choice Requires="wpg">
            <w:drawing>
              <wp:anchor distT="0" distB="0" distL="0" distR="0" simplePos="0" relativeHeight="487589888" behindDoc="1" locked="0" layoutInCell="1" allowOverlap="1">
                <wp:simplePos x="0" y="0"/>
                <wp:positionH relativeFrom="page">
                  <wp:posOffset>6281420</wp:posOffset>
                </wp:positionH>
                <wp:positionV relativeFrom="paragraph">
                  <wp:posOffset>203200</wp:posOffset>
                </wp:positionV>
                <wp:extent cx="605790" cy="29210"/>
                <wp:effectExtent l="0" t="0" r="0" b="0"/>
                <wp:wrapTopAndBottom/>
                <wp:docPr id="26"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 cy="29210"/>
                          <a:chOff x="9892" y="320"/>
                          <a:chExt cx="954" cy="46"/>
                        </a:xfrm>
                      </wpg:grpSpPr>
                      <wps:wsp>
                        <wps:cNvPr id="27" name="Line 28"/>
                        <wps:cNvCnPr>
                          <a:cxnSpLocks noChangeShapeType="1"/>
                        </wps:cNvCnPr>
                        <wps:spPr bwMode="auto">
                          <a:xfrm>
                            <a:off x="9892" y="320"/>
                            <a:ext cx="95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Rectangle 27"/>
                        <wps:cNvSpPr>
                          <a:spLocks noChangeArrowheads="1"/>
                        </wps:cNvSpPr>
                        <wps:spPr bwMode="auto">
                          <a:xfrm>
                            <a:off x="9892" y="319"/>
                            <a:ext cx="9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26"/>
                        <wps:cNvCnPr>
                          <a:cxnSpLocks noChangeShapeType="1"/>
                        </wps:cNvCnPr>
                        <wps:spPr bwMode="auto">
                          <a:xfrm>
                            <a:off x="9892" y="350"/>
                            <a:ext cx="95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 name="Rectangle 25"/>
                        <wps:cNvSpPr>
                          <a:spLocks noChangeArrowheads="1"/>
                        </wps:cNvSpPr>
                        <wps:spPr bwMode="auto">
                          <a:xfrm>
                            <a:off x="9892" y="350"/>
                            <a:ext cx="9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42F10E" id="Group 24" o:spid="_x0000_s1026" style="position:absolute;margin-left:494.6pt;margin-top:16pt;width:47.7pt;height:2.3pt;z-index:-15726592;mso-wrap-distance-left:0;mso-wrap-distance-right:0;mso-position-horizontal-relative:page" coordorigin="9892,320" coordsize="95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">
                <v:line id="Line 28" o:spid="_x0000_s1027" style="position:absolute;visibility:visible;mso-wrap-style:square" from="9892,320" to="10845,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Lf4cIAAADbAAAADwAAAGRycy9kb3ducmV2LnhtbESPQYvCMBSE78L+h/AWvGmqsFqrUZbF&#10;Rb25roLHR/Nsg81LaaLWf28EweMwM98ws0VrK3GlxhvHCgb9BARx7rThQsH+/7eXgvABWWPlmBTc&#10;ycNi/tGZYabdjf/ouguFiBD2GSooQ6gzKX1ekkXfdzVx9E6usRiibAqpG7xFuK3kMElG0qLhuFBi&#10;TT8l5efdxSow29HqazM+TA5yuQqDY3pOjd0r1f1sv6cgArXhHX6111rBcAzPL/EH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gLf4cIAAADbAAAADwAAAAAAAAAAAAAA&#10;AAChAgAAZHJzL2Rvd25yZXYueG1sUEsFBgAAAAAEAAQA+QAAAJADAAAAAA==&#10;" strokeweight="0"/>
                <v:rect id="Rectangle 27" o:spid="_x0000_s1028" style="position:absolute;left:9892;top:319;width:9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Xo2cIA&#10;AADbAAAADwAAAGRycy9kb3ducmV2LnhtbERPy4rCMBTdD/gP4QruxtTiDFqNooIwmwFfC91dm2tb&#10;bG5qktHOfL1ZDLg8nPd03ppa3Mn5yrKCQT8BQZxbXXGh4LBfv49A+ICssbZMCn7Jw3zWeZtipu2D&#10;t3TfhULEEPYZKihDaDIpfV6SQd+3DXHkLtYZDBG6QmqHjxhuapkmyac0WHFsKLGhVUn5dfdjFCzH&#10;o+VtM+Tvv+35RKfj+fqRukSpXrddTEAEasNL/O/+0grSODZ+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tejZwgAAANsAAAAPAAAAAAAAAAAAAAAAAJgCAABkcnMvZG93&#10;bnJldi54bWxQSwUGAAAAAAQABAD1AAAAhwMAAAAA&#10;" fillcolor="black" stroked="f"/>
                <v:line id="Line 26" o:spid="_x0000_s1029" style="position:absolute;visibility:visible;mso-wrap-style:square" from="9892,350" to="10845,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rect id="Rectangle 25" o:spid="_x0000_s1030" style="position:absolute;left:9892;top:350;width:9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pyAsMA&#10;AADbAAAADwAAAGRycy9kb3ducmV2LnhtbERPz2vCMBS+C/sfwhvspumcDu0aZQ4EL4K6HfT22ry1&#10;xealS6JW/3pzEHb8+H5n88404kzO15YVvA4SEMSF1TWXCn6+l/0JCB+QNTaWScGVPMxnT70MU20v&#10;vKXzLpQihrBPUUEVQptK6YuKDPqBbYkj92udwRChK6V2eInhppHDJHmXBmuODRW29FVRcdydjILF&#10;dLL424x4fdvmBzrs8+N46BKlXp67zw8QgbrwL364V1rBW1wf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pyAsMAAADbAAAADwAAAAAAAAAAAAAAAACYAgAAZHJzL2Rv&#10;d25yZXYueG1sUEsFBgAAAAAEAAQA9QAAAIgDAAAAAA==&#10;" fillcolor="black" stroked="f"/>
                <w10:wrap type="topAndBottom" anchorx="page"/>
              </v:group>
            </w:pict>
          </mc:Fallback>
        </mc:AlternateContent>
      </w:r>
      <w:r w:rsidR="00D73FE1">
        <w:rPr>
          <w:b/>
          <w:spacing w:val="3"/>
          <w:w w:val="105"/>
          <w:sz w:val="17"/>
        </w:rPr>
        <w:t>Spolu</w:t>
      </w:r>
      <w:r w:rsidR="00D73FE1">
        <w:rPr>
          <w:b/>
          <w:spacing w:val="3"/>
          <w:w w:val="105"/>
          <w:sz w:val="17"/>
        </w:rPr>
        <w:tab/>
      </w:r>
      <w:r w:rsidR="00D73FE1">
        <w:rPr>
          <w:b/>
          <w:w w:val="105"/>
          <w:position w:val="-5"/>
          <w:sz w:val="17"/>
        </w:rPr>
        <w:t>0</w:t>
      </w:r>
      <w:r w:rsidR="00D73FE1">
        <w:rPr>
          <w:b/>
          <w:w w:val="105"/>
          <w:position w:val="-5"/>
          <w:sz w:val="17"/>
        </w:rPr>
        <w:tab/>
        <w:t>0</w:t>
      </w:r>
    </w:p>
    <w:p w:rsidR="00DE0E18" w:rsidRDefault="00DE0E18">
      <w:pPr>
        <w:pStyle w:val="Zkladntext"/>
        <w:rPr>
          <w:b/>
          <w:sz w:val="20"/>
        </w:rPr>
      </w:pPr>
    </w:p>
    <w:p w:rsidR="00DE0E18" w:rsidRDefault="00DE0E18">
      <w:pPr>
        <w:pStyle w:val="Zkladntext"/>
        <w:spacing w:before="2"/>
        <w:rPr>
          <w:b/>
          <w:sz w:val="19"/>
        </w:rPr>
      </w:pPr>
    </w:p>
    <w:p w:rsidR="00DE0E18" w:rsidRDefault="00D73FE1">
      <w:pPr>
        <w:pStyle w:val="Nadpis2"/>
        <w:numPr>
          <w:ilvl w:val="1"/>
          <w:numId w:val="4"/>
        </w:numPr>
        <w:tabs>
          <w:tab w:val="left" w:pos="832"/>
          <w:tab w:val="left" w:pos="833"/>
        </w:tabs>
        <w:ind w:left="832" w:hanging="361"/>
      </w:pPr>
      <w:r>
        <w:t>Výnosy, ktoré majú výnimočný rozsah alebo</w:t>
      </w:r>
      <w:r>
        <w:rPr>
          <w:spacing w:val="2"/>
        </w:rPr>
        <w:t xml:space="preserve"> </w:t>
      </w:r>
      <w:r>
        <w:t>výskyt</w:t>
      </w:r>
    </w:p>
    <w:p w:rsidR="00DE0E18" w:rsidRDefault="00DE0E18">
      <w:pPr>
        <w:pStyle w:val="Zkladntext"/>
        <w:rPr>
          <w:b/>
          <w:sz w:val="20"/>
        </w:rPr>
      </w:pPr>
    </w:p>
    <w:p w:rsidR="00DE0E18" w:rsidRDefault="006D3F8D">
      <w:pPr>
        <w:tabs>
          <w:tab w:val="left" w:pos="8591"/>
        </w:tabs>
        <w:ind w:left="7346"/>
        <w:rPr>
          <w:sz w:val="17"/>
        </w:rPr>
      </w:pPr>
      <w:r>
        <w:rPr>
          <w:w w:val="110"/>
          <w:sz w:val="17"/>
        </w:rPr>
        <w:t>2018</w:t>
      </w:r>
      <w:r w:rsidR="00D73FE1">
        <w:rPr>
          <w:w w:val="110"/>
          <w:sz w:val="17"/>
        </w:rPr>
        <w:tab/>
      </w:r>
      <w:r>
        <w:rPr>
          <w:w w:val="110"/>
          <w:sz w:val="17"/>
        </w:rPr>
        <w:t>2017</w:t>
      </w:r>
    </w:p>
    <w:p w:rsidR="00DE0E18" w:rsidRDefault="00BB4783">
      <w:pPr>
        <w:tabs>
          <w:tab w:val="left" w:pos="8591"/>
        </w:tabs>
        <w:spacing w:before="49"/>
        <w:ind w:left="7346"/>
        <w:rPr>
          <w:sz w:val="17"/>
        </w:rPr>
      </w:pPr>
      <w:r>
        <w:rPr>
          <w:noProof/>
          <w:lang w:eastAsia="sk-SK"/>
        </w:rPr>
        <mc:AlternateContent>
          <mc:Choice Requires="wpg">
            <w:drawing>
              <wp:anchor distT="0" distB="0" distL="0" distR="0" simplePos="0" relativeHeight="487590400" behindDoc="1" locked="0" layoutInCell="1" allowOverlap="1">
                <wp:simplePos x="0" y="0"/>
                <wp:positionH relativeFrom="page">
                  <wp:posOffset>1333500</wp:posOffset>
                </wp:positionH>
                <wp:positionV relativeFrom="paragraph">
                  <wp:posOffset>171450</wp:posOffset>
                </wp:positionV>
                <wp:extent cx="5553710" cy="9525"/>
                <wp:effectExtent l="0" t="0" r="0" b="0"/>
                <wp:wrapTopAndBottom/>
                <wp:docPr id="2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3710" cy="9525"/>
                          <a:chOff x="2100" y="270"/>
                          <a:chExt cx="8746" cy="15"/>
                        </a:xfrm>
                      </wpg:grpSpPr>
                      <wps:wsp>
                        <wps:cNvPr id="23" name="Line 23"/>
                        <wps:cNvCnPr>
                          <a:cxnSpLocks noChangeShapeType="1"/>
                        </wps:cNvCnPr>
                        <wps:spPr bwMode="auto">
                          <a:xfrm>
                            <a:off x="2100" y="270"/>
                            <a:ext cx="8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 name="Rectangle 22"/>
                        <wps:cNvSpPr>
                          <a:spLocks noChangeArrowheads="1"/>
                        </wps:cNvSpPr>
                        <wps:spPr bwMode="auto">
                          <a:xfrm>
                            <a:off x="2100" y="269"/>
                            <a:ext cx="8746"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1"/>
                        <wps:cNvCnPr>
                          <a:cxnSpLocks noChangeShapeType="1"/>
                        </wps:cNvCnPr>
                        <wps:spPr bwMode="auto">
                          <a:xfrm>
                            <a:off x="10845" y="270"/>
                            <a:ext cx="1"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E053F7E" id="Group 20" o:spid="_x0000_s1026" style="position:absolute;margin-left:105pt;margin-top:13.5pt;width:437.3pt;height:.75pt;z-index:-15726080;mso-wrap-distance-left:0;mso-wrap-distance-right:0;mso-position-horizontal-relative:page" coordorigin="2100,270" coordsize="874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">
                <v:line id="Line 23" o:spid="_x0000_s1027" style="position:absolute;visibility:visible;mso-wrap-style:square" from="2100,270" to="1084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Z4sQAAADbAAAADwAAAGRycy9kb3ducmV2LnhtbESPQWvCQBSE74X+h+UJvdWNFm2MWaWU&#10;Fu3NRgMeH9lnsph9G7Jbjf/eLRR6HGbmGyZfD7YVF+q9caxgMk5AEFdOG64VHPafzykIH5A1to5J&#10;wY08rFePDzlm2l35my5FqEWEsM9QQRNCl0npq4Ys+rHriKN3cr3FEGVfS93jNcJtK6dJMpcWDceF&#10;Bjt6b6g6Fz9WgdnNN7Ov13JRyo9NmBzTc2rsQamn0fC2BBFoCP/hv/ZWK5i+wO+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OdnixAAAANsAAAAPAAAAAAAAAAAA&#10;AAAAAKECAABkcnMvZG93bnJldi54bWxQSwUGAAAAAAQABAD5AAAAkgMAAAAA&#10;" strokeweight="0"/>
                <v:rect id="Rectangle 22" o:spid="_x0000_s1028" style="position:absolute;left:2100;top:269;width:874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ji3MYA&#10;AADbAAAADwAAAGRycy9kb3ducmV2LnhtbESPQWvCQBSE74X+h+UVvNVNgxWNbqQWBC+FanvQ2zP7&#10;TEKyb9PdVdP+ercgeBxm5htmvuhNK87kfG1ZwcswAUFcWF1zqeD7a/U8AeEDssbWMin4JQ+L/PFh&#10;jpm2F97QeRtKESHsM1RQhdBlUvqiIoN+aDvi6B2tMxiidKXUDi8RblqZJslYGqw5LlTY0XtFRbM9&#10;GQXL6WT58znij7/NYU/73aF5TV2i1OCpf5uBCNSHe/jWXmsF6Qj+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ji3MYAAADbAAAADwAAAAAAAAAAAAAAAACYAgAAZHJz&#10;L2Rvd25yZXYueG1sUEsFBgAAAAAEAAQA9QAAAIsDAAAAAA==&#10;" fillcolor="black" stroked="f"/>
                <v:line id="Line 21" o:spid="_x0000_s1029" style="position:absolute;visibility:visible;mso-wrap-style:square" from="10845,270" to="10846,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NNpMYAAADbAAAADwAAAGRycy9kb3ducmV2LnhtbESPW2sCMRSE3wv9D+EUfCmaVaiU1Sj1&#10;ViwIxUvx9XRz3F26OVmSqKu/3hQEH4eZ+YYZjhtTiRM5X1pW0O0kIIgzq0vOFey2i/Y7CB+QNVaW&#10;ScGFPIxHz09DTLU985pOm5CLCGGfooIihDqV0mcFGfQdWxNH72CdwRCly6V2eI5wU8lekvSlwZLj&#10;QoE1TQvK/jZHo2Df/cqu652bfE72r6sZ/37Pf+RBqdZL8zEAEagJj/C9vdQKem/w/yX+ADm6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TTaTGAAAA2wAAAA8AAAAAAAAA&#10;AAAAAAAAoQIAAGRycy9kb3ducmV2LnhtbFBLBQYAAAAABAAEAPkAAACUAwAAAAA=&#10;" strokecolor="#d4d4d4" strokeweight="0"/>
                <w10:wrap type="topAndBottom" anchorx="page"/>
              </v:group>
            </w:pict>
          </mc:Fallback>
        </mc:AlternateContent>
      </w:r>
      <w:r w:rsidR="00D73FE1">
        <w:rPr>
          <w:w w:val="110"/>
          <w:sz w:val="17"/>
        </w:rPr>
        <w:t>EUR</w:t>
      </w:r>
      <w:r w:rsidR="00D73FE1">
        <w:rPr>
          <w:w w:val="110"/>
          <w:sz w:val="17"/>
        </w:rPr>
        <w:tab/>
        <w:t>EUR</w:t>
      </w:r>
    </w:p>
    <w:p w:rsidR="00DE0E18" w:rsidRDefault="00D73FE1">
      <w:pPr>
        <w:tabs>
          <w:tab w:val="left" w:pos="7897"/>
          <w:tab w:val="left" w:pos="9143"/>
        </w:tabs>
        <w:spacing w:after="39"/>
        <w:ind w:left="587"/>
        <w:rPr>
          <w:sz w:val="17"/>
        </w:rPr>
      </w:pPr>
      <w:r>
        <w:rPr>
          <w:w w:val="110"/>
          <w:sz w:val="17"/>
        </w:rPr>
        <w:t xml:space="preserve">Náhrada škody  </w:t>
      </w:r>
      <w:r>
        <w:rPr>
          <w:spacing w:val="5"/>
          <w:w w:val="110"/>
          <w:sz w:val="17"/>
        </w:rPr>
        <w:t xml:space="preserve">zo </w:t>
      </w:r>
      <w:r>
        <w:rPr>
          <w:w w:val="110"/>
          <w:sz w:val="17"/>
        </w:rPr>
        <w:t xml:space="preserve">živelných </w:t>
      </w:r>
      <w:r>
        <w:rPr>
          <w:spacing w:val="2"/>
          <w:w w:val="110"/>
          <w:sz w:val="17"/>
        </w:rPr>
        <w:t>pohrôm</w:t>
      </w:r>
      <w:r>
        <w:rPr>
          <w:spacing w:val="-13"/>
          <w:w w:val="110"/>
          <w:sz w:val="17"/>
        </w:rPr>
        <w:t xml:space="preserve"> </w:t>
      </w:r>
      <w:r>
        <w:rPr>
          <w:w w:val="110"/>
          <w:sz w:val="17"/>
        </w:rPr>
        <w:t>od</w:t>
      </w:r>
      <w:r>
        <w:rPr>
          <w:spacing w:val="6"/>
          <w:w w:val="110"/>
          <w:sz w:val="17"/>
        </w:rPr>
        <w:t xml:space="preserve"> </w:t>
      </w:r>
      <w:r>
        <w:rPr>
          <w:w w:val="110"/>
          <w:sz w:val="17"/>
        </w:rPr>
        <w:t>poisťovne</w:t>
      </w:r>
      <w:r>
        <w:rPr>
          <w:w w:val="110"/>
          <w:sz w:val="17"/>
        </w:rPr>
        <w:tab/>
        <w:t>0</w:t>
      </w:r>
      <w:r>
        <w:rPr>
          <w:w w:val="110"/>
          <w:sz w:val="17"/>
        </w:rPr>
        <w:tab/>
        <w:t>0</w:t>
      </w:r>
    </w:p>
    <w:p w:rsidR="00DE0E18" w:rsidRDefault="00BB4783">
      <w:pPr>
        <w:pStyle w:val="Zkladntext"/>
        <w:spacing w:line="20" w:lineRule="exact"/>
        <w:ind w:left="7015"/>
        <w:rPr>
          <w:sz w:val="2"/>
        </w:rPr>
      </w:pPr>
      <w:r>
        <w:rPr>
          <w:noProof/>
          <w:sz w:val="2"/>
          <w:lang w:eastAsia="sk-SK"/>
        </w:rPr>
        <mc:AlternateContent>
          <mc:Choice Requires="wpg">
            <w:drawing>
              <wp:inline distT="0" distB="0" distL="0" distR="0">
                <wp:extent cx="651510" cy="9525"/>
                <wp:effectExtent l="12700" t="5715" r="12065" b="3810"/>
                <wp:docPr id="19"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510" cy="9525"/>
                          <a:chOff x="0" y="0"/>
                          <a:chExt cx="1026" cy="15"/>
                        </a:xfrm>
                      </wpg:grpSpPr>
                      <wps:wsp>
                        <wps:cNvPr id="20" name="Line 19"/>
                        <wps:cNvCnPr>
                          <a:cxnSpLocks noChangeShapeType="1"/>
                        </wps:cNvCnPr>
                        <wps:spPr bwMode="auto">
                          <a:xfrm>
                            <a:off x="1" y="0"/>
                            <a:ext cx="1024"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 name="Rectangle 18"/>
                        <wps:cNvSpPr>
                          <a:spLocks noChangeArrowheads="1"/>
                        </wps:cNvSpPr>
                        <wps:spPr bwMode="auto">
                          <a:xfrm>
                            <a:off x="0" y="0"/>
                            <a:ext cx="102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524CED9" id="Group 17" o:spid="_x0000_s1026" style="width:51.3pt;height:.75pt;mso-position-horizontal-relative:char;mso-position-vertical-relative:line" coordsize="102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">
                <v:line id="Line 19" o:spid="_x0000_s1027" style="position:absolute;visibility:visible;mso-wrap-style:square" from="1,0" to="10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tHlb8AAADbAAAADwAAAGRycy9kb3ducmV2LnhtbERPy4rCMBTdD/gP4QruxlRBrdUoIg6O&#10;O5/g8tJc22BzU5qMdv7eLASXh/OeL1tbiQc13jhWMOgnIIhzpw0XCs6nn+8UhA/IGivHpOCfPCwX&#10;na85Zto9+UCPYyhEDGGfoYIyhDqT0uclWfR9VxNH7uYaiyHCppC6wWcMt5UcJslYWjQcG0qsaV1S&#10;fj/+WQVmP96OdpPL9CI32zC4pvfU2LNSvW67moEI1IaP+O3+1QqGcX38En+AXL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etHlb8AAADbAAAADwAAAAAAAAAAAAAAAACh&#10;AgAAZHJzL2Rvd25yZXYueG1sUEsFBgAAAAAEAAQA+QAAAI0DAAAAAA==&#10;" strokeweight="0"/>
                <v:rect id="Rectangle 18" o:spid="_x0000_s1028" style="position:absolute;width:1025;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9BRMYA&#10;AADbAAAADwAAAGRycy9kb3ducmV2LnhtbESPQWvCQBSE70L/w/IK3nRjULGpG6mC0ItQbQ/19sy+&#10;JiHZt+nuVtP+ercgeBxm5htmuepNK87kfG1ZwWScgCAurK65VPDxvh0tQPiArLG1TAp+ycMqfxgs&#10;MdP2wns6H0IpIoR9hgqqELpMSl9UZNCPbUccvS/rDIYoXSm1w0uEm1amSTKXBmuOCxV2tKmoaA4/&#10;RsH6abH+fpvy7m9/OtLx89TMUpcoNXzsX55BBOrDPXxrv2oF6Q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9BRMYAAADbAAAADwAAAAAAAAAAAAAAAACYAgAAZHJz&#10;L2Rvd25yZXYueG1sUEsFBgAAAAAEAAQA9QAAAIsDAAAAAA==&#10;" fillcolor="black" stroked="f"/>
                <w10:anchorlock/>
              </v:group>
            </w:pict>
          </mc:Fallback>
        </mc:AlternateContent>
      </w:r>
      <w:r w:rsidR="00D73FE1">
        <w:rPr>
          <w:spacing w:val="188"/>
          <w:sz w:val="2"/>
        </w:rPr>
        <w:t xml:space="preserve"> </w:t>
      </w:r>
      <w:r>
        <w:rPr>
          <w:noProof/>
          <w:spacing w:val="188"/>
          <w:sz w:val="2"/>
          <w:lang w:eastAsia="sk-SK"/>
        </w:rPr>
        <mc:AlternateContent>
          <mc:Choice Requires="wpg">
            <w:drawing>
              <wp:inline distT="0" distB="0" distL="0" distR="0">
                <wp:extent cx="650875" cy="9525"/>
                <wp:effectExtent l="10160" t="5715" r="5715" b="3810"/>
                <wp:docPr id="15"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875" cy="9525"/>
                          <a:chOff x="0" y="0"/>
                          <a:chExt cx="1025" cy="15"/>
                        </a:xfrm>
                      </wpg:grpSpPr>
                      <wps:wsp>
                        <wps:cNvPr id="16" name="Line 16"/>
                        <wps:cNvCnPr>
                          <a:cxnSpLocks noChangeShapeType="1"/>
                        </wps:cNvCnPr>
                        <wps:spPr bwMode="auto">
                          <a:xfrm>
                            <a:off x="0" y="0"/>
                            <a:ext cx="10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 name="Rectangle 15"/>
                        <wps:cNvSpPr>
                          <a:spLocks noChangeArrowheads="1"/>
                        </wps:cNvSpPr>
                        <wps:spPr bwMode="auto">
                          <a:xfrm>
                            <a:off x="0" y="0"/>
                            <a:ext cx="102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4"/>
                        <wps:cNvCnPr>
                          <a:cxnSpLocks noChangeShapeType="1"/>
                        </wps:cNvCnPr>
                        <wps:spPr bwMode="auto">
                          <a:xfrm>
                            <a:off x="1025" y="0"/>
                            <a:ext cx="0"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A05DD92" id="Group 13" o:spid="_x0000_s1026" style="width:51.25pt;height:.75pt;mso-position-horizontal-relative:char;mso-position-vertical-relative:line" coordsize="10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">
                <v:line id="Line 16" o:spid="_x0000_s1027" style="position:absolute;visibility:visible;mso-wrap-style:square" from="0,0" to="10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Kwx8EAAADbAAAADwAAAGRycy9kb3ducmV2LnhtbERPTWvCQBC9F/wPywje6saCaYxuRKRF&#10;e2utgschOyZLsrMhu9X477uFgrd5vM9ZrQfbiiv13jhWMJsmIIhLpw1XCo7f788ZCB+QNbaOScGd&#10;PKyL0dMKc+1u/EXXQ6hEDGGfo4I6hC6X0pc1WfRT1xFH7uJ6iyHCvpK6x1sMt618SZJUWjQcG2rs&#10;aFtT2Rx+rALzme7mH6+nxUm+7cLsnDWZsUelJuNhswQRaAgP8b97r+P8FP5+iQfI4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IrDHwQAAANsAAAAPAAAAAAAAAAAAAAAA&#10;AKECAABkcnMvZG93bnJldi54bWxQSwUGAAAAAAQABAD5AAAAjwMAAAAA&#10;" strokeweight="0"/>
                <v:rect id="Rectangle 15" o:spid="_x0000_s1028" style="position:absolute;width:1025;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v:line id="Line 14" o:spid="_x0000_s1029" style="position:absolute;visibility:visible;mso-wrap-style:square" from="1025,0" to="10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4oh8YAAADbAAAADwAAAGRycy9kb3ducmV2LnhtbESPQWsCQQyF70L/w5BCL6Kzeihl6yhq&#10;a2lBKFrFa9yJu4s7mWVmqtv+enMo9JbwXt77Mpl1rlEXCrH2bGA0zEARF97WXBrYfa0GT6BiQrbY&#10;eCYDPxRhNr3rTTC3/sobumxTqSSEY44GqpTaXOtYVOQwDn1LLNrJB4dJ1lBqG/Aq4a7R4yx71A5r&#10;loYKW1pWVJy3387AYfRR/G52YfG2OPTXL3z8fN3rkzEP9938GVSiLv2b/67freALrPwiA+jp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KIfGAAAA2wAAAA8AAAAAAAAA&#10;AAAAAAAAoQIAAGRycy9kb3ducmV2LnhtbFBLBQYAAAAABAAEAPkAAACUAwAAAAA=&#10;" strokecolor="#d4d4d4" strokeweight="0"/>
                <w10:anchorlock/>
              </v:group>
            </w:pict>
          </mc:Fallback>
        </mc:AlternateContent>
      </w:r>
    </w:p>
    <w:p w:rsidR="00DE0E18" w:rsidRDefault="00BB4783">
      <w:pPr>
        <w:tabs>
          <w:tab w:val="left" w:pos="7897"/>
          <w:tab w:val="left" w:pos="9143"/>
        </w:tabs>
        <w:ind w:left="587"/>
        <w:rPr>
          <w:b/>
          <w:sz w:val="17"/>
        </w:rPr>
      </w:pPr>
      <w:r>
        <w:rPr>
          <w:noProof/>
          <w:lang w:eastAsia="sk-SK"/>
        </w:rPr>
        <mc:AlternateContent>
          <mc:Choice Requires="wpg">
            <w:drawing>
              <wp:anchor distT="0" distB="0" distL="0" distR="0" simplePos="0" relativeHeight="487591936" behindDoc="1" locked="0" layoutInCell="1" allowOverlap="1">
                <wp:simplePos x="0" y="0"/>
                <wp:positionH relativeFrom="page">
                  <wp:posOffset>5455920</wp:posOffset>
                </wp:positionH>
                <wp:positionV relativeFrom="paragraph">
                  <wp:posOffset>145415</wp:posOffset>
                </wp:positionV>
                <wp:extent cx="631190" cy="27940"/>
                <wp:effectExtent l="0" t="0" r="0" b="0"/>
                <wp:wrapTopAndBottom/>
                <wp:docPr id="10"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1190" cy="27940"/>
                          <a:chOff x="8592" y="229"/>
                          <a:chExt cx="994" cy="44"/>
                        </a:xfrm>
                      </wpg:grpSpPr>
                      <wps:wsp>
                        <wps:cNvPr id="11" name="Line 12"/>
                        <wps:cNvCnPr>
                          <a:cxnSpLocks noChangeShapeType="1"/>
                        </wps:cNvCnPr>
                        <wps:spPr bwMode="auto">
                          <a:xfrm>
                            <a:off x="8592" y="229"/>
                            <a:ext cx="99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 name="Rectangle 11"/>
                        <wps:cNvSpPr>
                          <a:spLocks noChangeArrowheads="1"/>
                        </wps:cNvSpPr>
                        <wps:spPr bwMode="auto">
                          <a:xfrm>
                            <a:off x="8592" y="228"/>
                            <a:ext cx="99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Line 10"/>
                        <wps:cNvCnPr>
                          <a:cxnSpLocks noChangeShapeType="1"/>
                        </wps:cNvCnPr>
                        <wps:spPr bwMode="auto">
                          <a:xfrm>
                            <a:off x="8592" y="257"/>
                            <a:ext cx="99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 name="Rectangle 9"/>
                        <wps:cNvSpPr>
                          <a:spLocks noChangeArrowheads="1"/>
                        </wps:cNvSpPr>
                        <wps:spPr bwMode="auto">
                          <a:xfrm>
                            <a:off x="8592" y="257"/>
                            <a:ext cx="99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BCCD8A" id="Group 8" o:spid="_x0000_s1026" style="position:absolute;margin-left:429.6pt;margin-top:11.45pt;width:49.7pt;height:2.2pt;z-index:-15724544;mso-wrap-distance-left:0;mso-wrap-distance-right:0;mso-position-horizontal-relative:page" coordorigin="8592,229" coordsize="99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">
                <v:line id="Line 12" o:spid="_x0000_s1027" style="position:absolute;visibility:visible;mso-wrap-style:square" from="8592,229" to="9585,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sos8EAAADbAAAADwAAAGRycy9kb3ducmV2LnhtbERPTYvCMBC9L+x/CLPgbU0rqLUaZVlc&#10;1JvrKngcmrENNpPSZLX+eyMI3ubxPme26GwtLtR641hB2k9AEBdOGy4V7P9+PjMQPiBrrB2Tght5&#10;WMzf32aYa3flX7rsQiliCPscFVQhNLmUvqjIou+7hjhyJ9daDBG2pdQtXmO4reUgSUbSouHYUGFD&#10;3xUV592/VWC2o9VwMz5MDnK5CukxO2fG7pXqfXRfUxCBuvASP91rHeen8PglHiDn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yyizwQAAANsAAAAPAAAAAAAAAAAAAAAA&#10;AKECAABkcnMvZG93bnJldi54bWxQSwUGAAAAAAQABAD5AAAAjwMAAAAA&#10;" strokeweight="0"/>
                <v:rect id="Rectangle 11" o:spid="_x0000_s1028" style="position:absolute;left:8592;top:228;width:99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EVjsMA&#10;AADbAAAADwAAAGRycy9kb3ducmV2LnhtbERPTWvCQBC9C/6HZYTedGOoRWNWqYLQi1BtD/U2yY5J&#10;MDub7m417a/vFoTe5vE+J1/3phVXcr6xrGA6SUAQl1Y3XCl4f9uN5yB8QNbYWiYF3+RhvRoOcsy0&#10;vfGBrsdQiRjCPkMFdQhdJqUvazLoJ7YjjtzZOoMhQldJ7fAWw00r0yR5kgYbjg01drStqbwcv4yC&#10;zWK++Xx95P3PoTjR6aO4zFKXKPUw6p+XIAL14V98d7/oOD+Fv1/i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EVjsMAAADbAAAADwAAAAAAAAAAAAAAAACYAgAAZHJzL2Rv&#10;d25yZXYueG1sUEsFBgAAAAAEAAQA9QAAAIgDAAAAAA==&#10;" fillcolor="black" stroked="f"/>
                <v:line id="Line 10" o:spid="_x0000_s1029" style="position:absolute;visibility:visible;mso-wrap-style:square" from="8592,257" to="9585,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UTX8IAAADbAAAADwAAAGRycy9kb3ducmV2LnhtbERPTWvCQBC9C/6HZQRvdaNSm8asImKx&#10;3lproMchOyaL2dmQ3Wr677tCwds83ufk69424kqdN44VTCcJCOLSacOVgtPX21MKwgdkjY1jUvBL&#10;Htar4SDHTLsbf9L1GCoRQ9hnqKAOoc2k9GVNFv3EtcSRO7vOYoiwq6Tu8BbDbSNnSbKQFg3Hhhpb&#10;2tZUXo4/VoH5WOyfDy/FayF3+zD9Ti+psSelxqN+swQRqA8P8b/7Xcf5c7j/Eg+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1UTX8IAAADbAAAADwAAAAAAAAAAAAAA&#10;AAChAgAAZHJzL2Rvd25yZXYueG1sUEsFBgAAAAAEAAQA+QAAAJADAAAAAA==&#10;" strokeweight="0"/>
                <v:rect id="Rectangle 9" o:spid="_x0000_s1030" style="position:absolute;left:8592;top:257;width:99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w10:wrap type="topAndBottom" anchorx="page"/>
              </v:group>
            </w:pict>
          </mc:Fallback>
        </mc:AlternateContent>
      </w:r>
      <w:r>
        <w:rPr>
          <w:noProof/>
          <w:lang w:eastAsia="sk-SK"/>
        </w:rPr>
        <mc:AlternateContent>
          <mc:Choice Requires="wpg">
            <w:drawing>
              <wp:anchor distT="0" distB="0" distL="0" distR="0" simplePos="0" relativeHeight="487592448" behindDoc="1" locked="0" layoutInCell="1" allowOverlap="1">
                <wp:simplePos x="0" y="0"/>
                <wp:positionH relativeFrom="page">
                  <wp:posOffset>6246495</wp:posOffset>
                </wp:positionH>
                <wp:positionV relativeFrom="paragraph">
                  <wp:posOffset>145415</wp:posOffset>
                </wp:positionV>
                <wp:extent cx="640715" cy="27940"/>
                <wp:effectExtent l="0" t="0" r="0" b="0"/>
                <wp:wrapTopAndBottom/>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715" cy="27940"/>
                          <a:chOff x="9837" y="229"/>
                          <a:chExt cx="1009" cy="44"/>
                        </a:xfrm>
                      </wpg:grpSpPr>
                      <wps:wsp>
                        <wps:cNvPr id="5" name="Line 7"/>
                        <wps:cNvCnPr>
                          <a:cxnSpLocks noChangeShapeType="1"/>
                        </wps:cNvCnPr>
                        <wps:spPr bwMode="auto">
                          <a:xfrm>
                            <a:off x="9837" y="229"/>
                            <a:ext cx="99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Rectangle 6"/>
                        <wps:cNvSpPr>
                          <a:spLocks noChangeArrowheads="1"/>
                        </wps:cNvSpPr>
                        <wps:spPr bwMode="auto">
                          <a:xfrm>
                            <a:off x="9837" y="228"/>
                            <a:ext cx="992"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Line 5"/>
                        <wps:cNvCnPr>
                          <a:cxnSpLocks noChangeShapeType="1"/>
                        </wps:cNvCnPr>
                        <wps:spPr bwMode="auto">
                          <a:xfrm>
                            <a:off x="9837" y="257"/>
                            <a:ext cx="993"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 name="Rectangle 4"/>
                        <wps:cNvSpPr>
                          <a:spLocks noChangeArrowheads="1"/>
                        </wps:cNvSpPr>
                        <wps:spPr bwMode="auto">
                          <a:xfrm>
                            <a:off x="9837" y="257"/>
                            <a:ext cx="992"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Line 3"/>
                        <wps:cNvCnPr>
                          <a:cxnSpLocks noChangeShapeType="1"/>
                        </wps:cNvCnPr>
                        <wps:spPr bwMode="auto">
                          <a:xfrm>
                            <a:off x="10845" y="243"/>
                            <a:ext cx="1"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8E9BDB" id="Group 2" o:spid="_x0000_s1026" style="position:absolute;margin-left:491.85pt;margin-top:11.45pt;width:50.45pt;height:2.2pt;z-index:-15724032;mso-wrap-distance-left:0;mso-wrap-distance-right:0;mso-position-horizontal-relative:page" coordorigin="9837,229" coordsize="100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">
                <v:line id="Line 7" o:spid="_x0000_s1027" style="position:absolute;visibility:visible;mso-wrap-style:square" from="9837,229" to="10830,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RVv8IAAADaAAAADwAAAGRycy9kb3ducmV2LnhtbESPT4vCMBTE7wt+h/AEb2uqoFurUUQU&#10;d2/rP/D4aJ5tsHkpTdTut98IgsdhZn7DzBatrcSdGm8cKxj0ExDEudOGCwXHw+YzBeEDssbKMSn4&#10;Iw+Leedjhpl2D97RfR8KESHsM1RQhlBnUvq8JIu+72ri6F1cYzFE2RRSN/iIcFvJYZKMpUXDcaHE&#10;mlYl5df9zSowv+Pt6OfrNDnJ9TYMzuk1NfaoVK/bLqcgArXhHX61v7WCETyvxBs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RVv8IAAADaAAAADwAAAAAAAAAAAAAA&#10;AAChAgAAZHJzL2Rvd25yZXYueG1sUEsFBgAAAAAEAAQA+QAAAJADAAAAAA==&#10;" strokeweight="0"/>
                <v:rect id="Rectangle 6" o:spid="_x0000_s1028" style="position:absolute;left:9837;top:228;width:992;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1GtMQA&#10;AADaAAAADwAAAGRycy9kb3ducmV2LnhtbESPT2sCMRTE7wW/Q3iCt5pVrOhqFC0IvRT8d9Dbc/Pc&#10;Xdy8bJOoWz+9EQo9DjPzG2Y6b0wlbuR8aVlBr5uAIM6sLjlXsN+t3kcgfEDWWFkmBb/kYT5rvU0x&#10;1fbOG7ptQy4ihH2KCooQ6lRKnxVk0HdtTRy9s3UGQ5Qul9rhPcJNJftJMpQGS44LBdb0WVB22V6N&#10;guV4tPxZD/j7sTkd6Xg4XT76LlGq024WExCBmvAf/mt/aQVDeF2JN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tRrTEAAAA2gAAAA8AAAAAAAAAAAAAAAAAmAIAAGRycy9k&#10;b3ducmV2LnhtbFBLBQYAAAAABAAEAPUAAACJAwAAAAA=&#10;" fillcolor="black" stroked="f"/>
                <v:line id="Line 5" o:spid="_x0000_s1029" style="position:absolute;visibility:visible;mso-wrap-style:square" from="9837,257" to="10830,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puU8MAAADaAAAADwAAAGRycy9kb3ducmV2LnhtbESPQWvCQBSE7wX/w/KE3pqNQpMYXUWk&#10;xfbWRgWPj+wzWcy+Ddmtpv++Wyj0OMzMN8xqM9pO3GjwxrGCWZKCIK6dNtwoOB5enwoQPiBr7ByT&#10;gm/ysFlPHlZYanfnT7pVoRERwr5EBW0IfSmlr1uy6BPXE0fv4gaLIcqhkXrAe4TbTs7TNJMWDceF&#10;FnvatVRfqy+rwHxk++f3/LQ4yZd9mJ2La2HsUanH6bhdggg0hv/wX/tNK8jh90q8AX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6KblPDAAAA2gAAAA8AAAAAAAAAAAAA&#10;AAAAoQIAAGRycy9kb3ducmV2LnhtbFBLBQYAAAAABAAEAPkAAACRAwAAAAA=&#10;" strokeweight="0"/>
                <v:rect id="Rectangle 4" o:spid="_x0000_s1030" style="position:absolute;left:9837;top:257;width:992;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3XcAA&#10;AADaAAAADwAAAGRycy9kb3ducmV2LnhtbERPy4rCMBTdC/MP4Q6403RExekYRQcG3Ai+Frq7Nnfa&#10;YnNTk6jVrzcLweXhvMfTxlTiSs6XlhV8dRMQxJnVJecKdtu/zgiED8gaK8uk4E4eppOP1hhTbW+8&#10;pusm5CKGsE9RQRFCnUrps4IM+q6tiSP3b53BEKHLpXZ4i+Gmkr0kGUqDJceGAmv6LSg7bS5Gwfx7&#10;ND+v+rx8rI8HOuyPp0HPJUq1P5vZD4hATXiLX+6FVhC3xivxBsjJ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53XcAAAADaAAAADwAAAAAAAAAAAAAAAACYAgAAZHJzL2Rvd25y&#10;ZXYueG1sUEsFBgAAAAAEAAQA9QAAAIUDAAAAAA==&#10;" fillcolor="black" stroked="f"/>
                <v:line id="Line 3" o:spid="_x0000_s1031" style="position:absolute;visibility:visible;mso-wrap-style:square" from="10845,243" to="10846,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w+r8YAAADaAAAADwAAAGRycy9kb3ducmV2LnhtbESPT2sCMRTE74LfITyhF6lZexC7GqX+&#10;qbQgyFrF6+vmubu4eVmSVLf99E1B6HGYmd8w03lranEl5yvLCoaDBARxbnXFhYLDx+vjGIQPyBpr&#10;y6TgmzzMZ93OFFNtb5zRdR8KESHsU1RQhtCkUvq8JIN+YBvi6J2tMxiidIXUDm8Rbmr5lCQjabDi&#10;uFBiQ8uS8sv+yyg4Dd/zn+zgFpvFqb9d8edufZRnpR567csERKA2/Ifv7Tet4Bn+rsQb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MPq/GAAAA2gAAAA8AAAAAAAAA&#10;AAAAAAAAoQIAAGRycy9kb3ducmV2LnhtbFBLBQYAAAAABAAEAPkAAACUAwAAAAA=&#10;" strokecolor="#d4d4d4" strokeweight="0"/>
                <w10:wrap type="topAndBottom" anchorx="page"/>
              </v:group>
            </w:pict>
          </mc:Fallback>
        </mc:AlternateContent>
      </w:r>
      <w:r w:rsidR="00D73FE1">
        <w:rPr>
          <w:b/>
          <w:spacing w:val="3"/>
          <w:w w:val="110"/>
          <w:position w:val="1"/>
          <w:sz w:val="17"/>
        </w:rPr>
        <w:t>Spolu</w:t>
      </w:r>
      <w:r w:rsidR="00D73FE1">
        <w:rPr>
          <w:b/>
          <w:spacing w:val="3"/>
          <w:w w:val="110"/>
          <w:position w:val="1"/>
          <w:sz w:val="17"/>
        </w:rPr>
        <w:tab/>
      </w:r>
      <w:r w:rsidR="00D73FE1">
        <w:rPr>
          <w:b/>
          <w:w w:val="110"/>
          <w:sz w:val="17"/>
        </w:rPr>
        <w:t>0</w:t>
      </w:r>
      <w:r w:rsidR="00D73FE1">
        <w:rPr>
          <w:b/>
          <w:w w:val="110"/>
          <w:sz w:val="17"/>
        </w:rPr>
        <w:tab/>
        <w:t>0</w:t>
      </w:r>
    </w:p>
    <w:p w:rsidR="00DE0E18" w:rsidRDefault="00DE0E18">
      <w:pPr>
        <w:rPr>
          <w:sz w:val="17"/>
        </w:rPr>
        <w:sectPr w:rsidR="00DE0E18">
          <w:pgSz w:w="11910" w:h="16840"/>
          <w:pgMar w:top="1660" w:right="900" w:bottom="1080" w:left="1560" w:header="931" w:footer="897" w:gutter="0"/>
          <w:cols w:space="708"/>
        </w:sectPr>
      </w:pPr>
    </w:p>
    <w:p w:rsidR="00DE0E18" w:rsidRDefault="00DE0E18">
      <w:pPr>
        <w:pStyle w:val="Zkladntext"/>
        <w:spacing w:before="6"/>
        <w:rPr>
          <w:b/>
        </w:rPr>
      </w:pPr>
    </w:p>
    <w:p w:rsidR="00DE0E18" w:rsidRDefault="00D73FE1">
      <w:pPr>
        <w:pStyle w:val="Nadpis2"/>
        <w:numPr>
          <w:ilvl w:val="0"/>
          <w:numId w:val="4"/>
        </w:numPr>
        <w:tabs>
          <w:tab w:val="left" w:pos="472"/>
          <w:tab w:val="left" w:pos="473"/>
        </w:tabs>
        <w:spacing w:before="93"/>
        <w:ind w:hanging="361"/>
      </w:pPr>
      <w:r>
        <w:t>INFORMÁCIE O INÝCH AKTÍVACH A INÝCH</w:t>
      </w:r>
      <w:r>
        <w:rPr>
          <w:spacing w:val="-6"/>
        </w:rPr>
        <w:t xml:space="preserve"> </w:t>
      </w:r>
      <w:r>
        <w:t>PASÍVACH</w:t>
      </w:r>
    </w:p>
    <w:p w:rsidR="00DE0E18" w:rsidRDefault="00DE0E18">
      <w:pPr>
        <w:pStyle w:val="Zkladntext"/>
        <w:spacing w:before="1"/>
        <w:rPr>
          <w:b/>
          <w:sz w:val="23"/>
        </w:rPr>
      </w:pPr>
    </w:p>
    <w:p w:rsidR="00DE0E18" w:rsidRDefault="00D73FE1">
      <w:pPr>
        <w:pStyle w:val="Odsekzoznamu"/>
        <w:numPr>
          <w:ilvl w:val="1"/>
          <w:numId w:val="4"/>
        </w:numPr>
        <w:tabs>
          <w:tab w:val="left" w:pos="832"/>
          <w:tab w:val="left" w:pos="833"/>
        </w:tabs>
        <w:ind w:left="832" w:hanging="361"/>
        <w:rPr>
          <w:b/>
          <w:sz w:val="18"/>
        </w:rPr>
      </w:pPr>
      <w:r>
        <w:rPr>
          <w:b/>
          <w:sz w:val="18"/>
        </w:rPr>
        <w:t>Podmienené</w:t>
      </w:r>
      <w:r>
        <w:rPr>
          <w:b/>
          <w:spacing w:val="-1"/>
          <w:sz w:val="18"/>
        </w:rPr>
        <w:t xml:space="preserve"> </w:t>
      </w:r>
      <w:r>
        <w:rPr>
          <w:b/>
          <w:sz w:val="18"/>
        </w:rPr>
        <w:t>záväzky</w:t>
      </w:r>
    </w:p>
    <w:p w:rsidR="00DE0E18" w:rsidRDefault="00DE0E18">
      <w:pPr>
        <w:pStyle w:val="Zkladntext"/>
        <w:spacing w:before="8"/>
        <w:rPr>
          <w:b/>
          <w:sz w:val="17"/>
        </w:rPr>
      </w:pPr>
    </w:p>
    <w:p w:rsidR="00DE0E18" w:rsidRDefault="00D73FE1">
      <w:pPr>
        <w:pStyle w:val="Zkladntext"/>
        <w:ind w:left="540"/>
        <w:jc w:val="both"/>
      </w:pPr>
      <w:r>
        <w:t>Spoločnosť nemá žiadne podmienené záväzky, ktoré sa nesledujú v bežnom účtovníctve a neuvádzajú sa v súvahe.</w:t>
      </w:r>
    </w:p>
    <w:p w:rsidR="00DE0E18" w:rsidRDefault="00DE0E18">
      <w:pPr>
        <w:pStyle w:val="Zkladntext"/>
        <w:rPr>
          <w:sz w:val="20"/>
        </w:rPr>
      </w:pPr>
    </w:p>
    <w:p w:rsidR="00DE0E18" w:rsidRDefault="00DE0E18">
      <w:pPr>
        <w:pStyle w:val="Zkladntext"/>
        <w:spacing w:before="10"/>
        <w:rPr>
          <w:sz w:val="15"/>
        </w:rPr>
      </w:pPr>
    </w:p>
    <w:p w:rsidR="00DE0E18" w:rsidRDefault="00D73FE1">
      <w:pPr>
        <w:pStyle w:val="Zkladntext"/>
        <w:ind w:left="540" w:right="117"/>
        <w:jc w:val="both"/>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w:t>
      </w:r>
      <w:r>
        <w:t>rávne precedensy, prípadne oficiálne interpretácie príslušných orgánov.</w:t>
      </w:r>
    </w:p>
    <w:p w:rsidR="00DE0E18" w:rsidRDefault="00DE0E18">
      <w:pPr>
        <w:pStyle w:val="Zkladntext"/>
        <w:rPr>
          <w:sz w:val="20"/>
        </w:rPr>
      </w:pPr>
    </w:p>
    <w:p w:rsidR="00DE0E18" w:rsidRDefault="00DE0E18">
      <w:pPr>
        <w:pStyle w:val="Zkladntext"/>
        <w:rPr>
          <w:sz w:val="20"/>
        </w:rPr>
      </w:pPr>
    </w:p>
    <w:p w:rsidR="00DE0E18" w:rsidRDefault="00DE0E18">
      <w:pPr>
        <w:pStyle w:val="Zkladntext"/>
        <w:spacing w:before="7"/>
        <w:rPr>
          <w:sz w:val="16"/>
        </w:rPr>
      </w:pPr>
    </w:p>
    <w:p w:rsidR="00DE0E18" w:rsidRDefault="00D73FE1">
      <w:pPr>
        <w:pStyle w:val="Nadpis2"/>
        <w:numPr>
          <w:ilvl w:val="1"/>
          <w:numId w:val="4"/>
        </w:numPr>
        <w:tabs>
          <w:tab w:val="left" w:pos="832"/>
          <w:tab w:val="left" w:pos="833"/>
        </w:tabs>
        <w:ind w:left="832" w:hanging="361"/>
      </w:pPr>
      <w:r>
        <w:t>Ostatné finančné</w:t>
      </w:r>
      <w:r>
        <w:rPr>
          <w:spacing w:val="-1"/>
        </w:rPr>
        <w:t xml:space="preserve"> </w:t>
      </w:r>
      <w:r>
        <w:t>povinnosti</w:t>
      </w:r>
    </w:p>
    <w:p w:rsidR="00DE0E18" w:rsidRDefault="00DE0E18">
      <w:pPr>
        <w:pStyle w:val="Zkladntext"/>
        <w:spacing w:before="5"/>
        <w:rPr>
          <w:b/>
          <w:sz w:val="17"/>
        </w:rPr>
      </w:pPr>
    </w:p>
    <w:p w:rsidR="00DE0E18" w:rsidRDefault="00D73FE1">
      <w:pPr>
        <w:pStyle w:val="Zkladntext"/>
        <w:spacing w:before="1"/>
        <w:ind w:left="540"/>
        <w:jc w:val="both"/>
      </w:pPr>
      <w:r>
        <w:t>Ostatné finančné povinnosti, ktoré sa nesledujú v bežnom účtovníctve a neuvádzajú v súvahe spoločnosť nemá.</w:t>
      </w:r>
    </w:p>
    <w:p w:rsidR="00DE0E18" w:rsidRDefault="00DE0E18">
      <w:pPr>
        <w:pStyle w:val="Zkladntext"/>
        <w:rPr>
          <w:sz w:val="20"/>
        </w:rPr>
      </w:pPr>
    </w:p>
    <w:p w:rsidR="00DE0E18" w:rsidRDefault="00DE0E18">
      <w:pPr>
        <w:pStyle w:val="Zkladntext"/>
        <w:spacing w:before="5"/>
        <w:rPr>
          <w:sz w:val="16"/>
        </w:rPr>
      </w:pPr>
    </w:p>
    <w:p w:rsidR="00DE0E18" w:rsidRDefault="00D73FE1">
      <w:pPr>
        <w:pStyle w:val="Nadpis2"/>
        <w:numPr>
          <w:ilvl w:val="1"/>
          <w:numId w:val="4"/>
        </w:numPr>
        <w:tabs>
          <w:tab w:val="left" w:pos="832"/>
          <w:tab w:val="left" w:pos="833"/>
        </w:tabs>
        <w:ind w:left="832" w:hanging="361"/>
      </w:pPr>
      <w:r>
        <w:t>Najatý</w:t>
      </w:r>
      <w:r>
        <w:rPr>
          <w:spacing w:val="3"/>
        </w:rPr>
        <w:t xml:space="preserve"> </w:t>
      </w:r>
      <w:r>
        <w:t>majetok</w:t>
      </w:r>
    </w:p>
    <w:p w:rsidR="00DE0E18" w:rsidRDefault="00DE0E18">
      <w:pPr>
        <w:pStyle w:val="Zkladntext"/>
        <w:spacing w:before="5"/>
        <w:rPr>
          <w:b/>
          <w:sz w:val="17"/>
        </w:rPr>
      </w:pPr>
    </w:p>
    <w:p w:rsidR="00DE0E18" w:rsidRDefault="00D73FE1">
      <w:pPr>
        <w:pStyle w:val="Zkladntext"/>
        <w:spacing w:before="1"/>
        <w:ind w:left="540" w:right="116"/>
        <w:jc w:val="both"/>
      </w:pPr>
      <w:r>
        <w:t xml:space="preserve">Spoločnosť </w:t>
      </w:r>
      <w:r w:rsidR="006D3F8D">
        <w:t>ne</w:t>
      </w:r>
      <w:r>
        <w:t xml:space="preserve">má v nájme </w:t>
      </w:r>
      <w:r w:rsidR="006D3F8D">
        <w:t>žiadny majetok.</w:t>
      </w:r>
    </w:p>
    <w:p w:rsidR="00DE0E18" w:rsidRDefault="00DE0E18">
      <w:pPr>
        <w:pStyle w:val="Zkladntext"/>
        <w:rPr>
          <w:sz w:val="20"/>
        </w:rPr>
      </w:pPr>
    </w:p>
    <w:p w:rsidR="00DE0E18" w:rsidRDefault="00DE0E18">
      <w:pPr>
        <w:pStyle w:val="Zkladntext"/>
        <w:spacing w:before="4"/>
        <w:rPr>
          <w:sz w:val="16"/>
        </w:rPr>
      </w:pPr>
    </w:p>
    <w:p w:rsidR="00DE0E18" w:rsidRDefault="00D73FE1">
      <w:pPr>
        <w:pStyle w:val="Odsekzoznamu"/>
        <w:numPr>
          <w:ilvl w:val="1"/>
          <w:numId w:val="4"/>
        </w:numPr>
        <w:tabs>
          <w:tab w:val="left" w:pos="832"/>
          <w:tab w:val="left" w:pos="833"/>
        </w:tabs>
        <w:spacing w:line="475" w:lineRule="auto"/>
        <w:ind w:left="540" w:right="6832" w:hanging="68"/>
        <w:rPr>
          <w:sz w:val="18"/>
        </w:rPr>
      </w:pPr>
      <w:r>
        <w:rPr>
          <w:b/>
          <w:sz w:val="18"/>
        </w:rPr>
        <w:t xml:space="preserve">Prenajatý majetok </w:t>
      </w:r>
      <w:r>
        <w:rPr>
          <w:sz w:val="18"/>
        </w:rPr>
        <w:t>Spoločnosť nič</w:t>
      </w:r>
      <w:r>
        <w:rPr>
          <w:spacing w:val="14"/>
          <w:sz w:val="18"/>
        </w:rPr>
        <w:t xml:space="preserve"> </w:t>
      </w:r>
      <w:r>
        <w:rPr>
          <w:spacing w:val="-3"/>
          <w:sz w:val="18"/>
        </w:rPr>
        <w:t>neprenajíma.</w:t>
      </w:r>
    </w:p>
    <w:p w:rsidR="00DE0E18" w:rsidRDefault="00DE0E18">
      <w:pPr>
        <w:pStyle w:val="Zkladntext"/>
        <w:spacing w:before="4"/>
        <w:rPr>
          <w:sz w:val="29"/>
        </w:rPr>
      </w:pPr>
    </w:p>
    <w:p w:rsidR="00DE0E18" w:rsidRDefault="00D73FE1">
      <w:pPr>
        <w:pStyle w:val="Nadpis2"/>
        <w:numPr>
          <w:ilvl w:val="0"/>
          <w:numId w:val="4"/>
        </w:numPr>
        <w:tabs>
          <w:tab w:val="left" w:pos="473"/>
        </w:tabs>
        <w:ind w:right="810"/>
      </w:pPr>
      <w:r>
        <w:t>INFORMÁCIE O SKUTOČNOSTIACH, KTORÉ NASTALI PO DNI, KU KTORÉMU SA ZOSTAVUJE ÚČTOVNÁ ZÁVIERKA, DO DŇA ZOSTAVENIA ÚČTOVNEJ</w:t>
      </w:r>
      <w:r>
        <w:rPr>
          <w:spacing w:val="-1"/>
        </w:rPr>
        <w:t xml:space="preserve"> </w:t>
      </w:r>
      <w:r>
        <w:t>ZÁVIERKY</w:t>
      </w:r>
    </w:p>
    <w:p w:rsidR="00DE0E18" w:rsidRDefault="00DE0E18">
      <w:pPr>
        <w:pStyle w:val="Zkladntext"/>
        <w:spacing w:before="7"/>
        <w:rPr>
          <w:b/>
          <w:sz w:val="22"/>
        </w:rPr>
      </w:pPr>
    </w:p>
    <w:p w:rsidR="00DE0E18" w:rsidRDefault="00D73FE1">
      <w:pPr>
        <w:pStyle w:val="Zkladntext"/>
        <w:spacing w:before="1"/>
        <w:ind w:left="540" w:right="118"/>
        <w:jc w:val="both"/>
      </w:pPr>
      <w:r>
        <w:t xml:space="preserve">Po 31. decembri </w:t>
      </w:r>
      <w:r w:rsidR="006D3F8D">
        <w:t>2018</w:t>
      </w:r>
      <w:r>
        <w:t xml:space="preserve"> nenastali žiadne udalosti majúce významný vplyv na verné zobrazenie skutočností, ktoré sú predmetom účtov</w:t>
      </w:r>
      <w:r>
        <w:t>níctva.</w:t>
      </w:r>
    </w:p>
    <w:sectPr w:rsidR="00DE0E18">
      <w:pgSz w:w="11910" w:h="16840"/>
      <w:pgMar w:top="1660" w:right="900" w:bottom="1080" w:left="1560" w:header="931" w:footer="89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3FE1" w:rsidRDefault="00D73FE1">
      <w:r>
        <w:separator/>
      </w:r>
    </w:p>
  </w:endnote>
  <w:endnote w:type="continuationSeparator" w:id="0">
    <w:p w:rsidR="00D73FE1" w:rsidRDefault="00D73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E18" w:rsidRDefault="00BB4783">
    <w:pPr>
      <w:pStyle w:val="Zkladntext"/>
      <w:spacing w:line="14" w:lineRule="auto"/>
      <w:rPr>
        <w:sz w:val="20"/>
      </w:rPr>
    </w:pPr>
    <w:r>
      <w:rPr>
        <w:noProof/>
        <w:lang w:eastAsia="sk-SK"/>
      </w:rPr>
      <mc:AlternateContent>
        <mc:Choice Requires="wps">
          <w:drawing>
            <wp:anchor distT="0" distB="0" distL="114300" distR="114300" simplePos="0" relativeHeight="487328768" behindDoc="1" locked="0" layoutInCell="1" allowOverlap="1">
              <wp:simplePos x="0" y="0"/>
              <wp:positionH relativeFrom="page">
                <wp:posOffset>6988810</wp:posOffset>
              </wp:positionH>
              <wp:positionV relativeFrom="page">
                <wp:posOffset>9982835</wp:posOffset>
              </wp:positionV>
              <wp:extent cx="158750" cy="20828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E0E18" w:rsidRDefault="00D73FE1">
                          <w:pPr>
                            <w:spacing w:before="8"/>
                            <w:ind w:left="60"/>
                            <w:rPr>
                              <w:sz w:val="26"/>
                            </w:rPr>
                          </w:pPr>
                          <w:r>
                            <w:fldChar w:fldCharType="begin"/>
                          </w:r>
                          <w:r>
                            <w:rPr>
                              <w:color w:val="0F243E"/>
                              <w:w w:val="99"/>
                              <w:sz w:val="26"/>
                            </w:rPr>
                            <w:instrText xml:space="preserve"> PAGE </w:instrText>
                          </w:r>
                          <w:r>
                            <w:fldChar w:fldCharType="separate"/>
                          </w:r>
                          <w:r w:rsidR="00BB4783">
                            <w:rPr>
                              <w:noProof/>
                              <w:color w:val="0F243E"/>
                              <w:w w:val="99"/>
                              <w:sz w:val="26"/>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550.3pt;margin-top:786.05pt;width:12.5pt;height:16.4pt;z-index:-15987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" filled="f" stroked="f">
              <v:textbox inset="0,0,0,0">
                <w:txbxContent>
                  <w:p w:rsidR="00DE0E18" w:rsidRDefault="00D73FE1">
                    <w:pPr>
                      <w:spacing w:before="8"/>
                      <w:ind w:left="60"/>
                      <w:rPr>
                        <w:sz w:val="26"/>
                      </w:rPr>
                    </w:pPr>
                    <w:r>
                      <w:fldChar w:fldCharType="begin"/>
                    </w:r>
                    <w:r>
                      <w:rPr>
                        <w:color w:val="0F243E"/>
                        <w:w w:val="99"/>
                        <w:sz w:val="26"/>
                      </w:rPr>
                      <w:instrText xml:space="preserve"> PAGE </w:instrText>
                    </w:r>
                    <w:r>
                      <w:fldChar w:fldCharType="separate"/>
                    </w:r>
                    <w:r w:rsidR="00BB4783">
                      <w:rPr>
                        <w:noProof/>
                        <w:color w:val="0F243E"/>
                        <w:w w:val="99"/>
                        <w:sz w:val="26"/>
                      </w:rP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3FE1" w:rsidRDefault="00D73FE1">
      <w:r>
        <w:separator/>
      </w:r>
    </w:p>
  </w:footnote>
  <w:footnote w:type="continuationSeparator" w:id="0">
    <w:p w:rsidR="00D73FE1" w:rsidRDefault="00D73F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E18" w:rsidRDefault="00BB4783">
    <w:pPr>
      <w:pStyle w:val="Zkladntext"/>
      <w:spacing w:line="14" w:lineRule="auto"/>
      <w:rPr>
        <w:sz w:val="20"/>
      </w:rPr>
    </w:pPr>
    <w:r>
      <w:rPr>
        <w:noProof/>
        <w:lang w:eastAsia="sk-SK"/>
      </w:rPr>
      <mc:AlternateContent>
        <mc:Choice Requires="wps">
          <w:drawing>
            <wp:anchor distT="0" distB="0" distL="114300" distR="114300" simplePos="0" relativeHeight="487327744" behindDoc="1" locked="0" layoutInCell="1" allowOverlap="1">
              <wp:simplePos x="0" y="0"/>
              <wp:positionH relativeFrom="page">
                <wp:posOffset>1049655</wp:posOffset>
              </wp:positionH>
              <wp:positionV relativeFrom="page">
                <wp:posOffset>578485</wp:posOffset>
              </wp:positionV>
              <wp:extent cx="1511935" cy="18097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E0E18" w:rsidRDefault="00D73FE1">
                          <w:pPr>
                            <w:spacing w:before="11"/>
                            <w:ind w:left="20"/>
                          </w:pPr>
                          <w: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82.65pt;margin-top:45.55pt;width:119.05pt;height:14.25pt;z-index:-15988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" filled="f" stroked="f">
              <v:textbox inset="0,0,0,0">
                <w:txbxContent>
                  <w:p w:rsidR="00DE0E18" w:rsidRDefault="00D73FE1">
                    <w:pPr>
                      <w:spacing w:before="11"/>
                      <w:ind w:left="20"/>
                    </w:pPr>
                    <w:r>
                      <w:t>Poznámky Úč POD 3 – 01</w:t>
                    </w:r>
                  </w:p>
                </w:txbxContent>
              </v:textbox>
              <w10:wrap anchorx="page" anchory="page"/>
            </v:shape>
          </w:pict>
        </mc:Fallback>
      </mc:AlternateContent>
    </w:r>
    <w:r>
      <w:rPr>
        <w:noProof/>
        <w:lang w:eastAsia="sk-SK"/>
      </w:rPr>
      <mc:AlternateContent>
        <mc:Choice Requires="wps">
          <w:drawing>
            <wp:anchor distT="0" distB="0" distL="114300" distR="114300" simplePos="0" relativeHeight="487328256" behindDoc="1" locked="0" layoutInCell="1" allowOverlap="1">
              <wp:simplePos x="0" y="0"/>
              <wp:positionH relativeFrom="page">
                <wp:posOffset>5051425</wp:posOffset>
              </wp:positionH>
              <wp:positionV relativeFrom="page">
                <wp:posOffset>591185</wp:posOffset>
              </wp:positionV>
              <wp:extent cx="1801495" cy="16573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149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E0E18" w:rsidRDefault="00D73FE1">
                          <w:pPr>
                            <w:spacing w:before="10"/>
                            <w:ind w:left="20"/>
                            <w:rPr>
                              <w:sz w:val="20"/>
                            </w:rPr>
                          </w:pPr>
                          <w:r>
                            <w:rPr>
                              <w:sz w:val="20"/>
                            </w:rPr>
                            <w:t>IČO: 44605447 DIČ: 2022809723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397.75pt;margin-top:46.55pt;width:141.85pt;height:13.05pt;z-index:-15988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ih6rwIAALA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" filled="f" stroked="f">
              <v:textbox inset="0,0,0,0">
                <w:txbxContent>
                  <w:p w:rsidR="00DE0E18" w:rsidRDefault="00D73FE1">
                    <w:pPr>
                      <w:spacing w:before="10"/>
                      <w:ind w:left="20"/>
                      <w:rPr>
                        <w:sz w:val="20"/>
                      </w:rPr>
                    </w:pPr>
                    <w:r>
                      <w:rPr>
                        <w:sz w:val="20"/>
                      </w:rPr>
                      <w:t>IČO: 44605447 DIČ: 2022809723</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9B6EFA"/>
    <w:multiLevelType w:val="hybridMultilevel"/>
    <w:tmpl w:val="538A25FE"/>
    <w:lvl w:ilvl="0" w:tplc="0030895C">
      <w:start w:val="1"/>
      <w:numFmt w:val="upperLetter"/>
      <w:lvlText w:val="%1."/>
      <w:lvlJc w:val="left"/>
      <w:pPr>
        <w:ind w:left="472" w:hanging="360"/>
        <w:jc w:val="left"/>
      </w:pPr>
      <w:rPr>
        <w:rFonts w:ascii="Times New Roman" w:eastAsia="Times New Roman" w:hAnsi="Times New Roman" w:cs="Times New Roman" w:hint="default"/>
        <w:b/>
        <w:bCs/>
        <w:spacing w:val="-3"/>
        <w:w w:val="100"/>
        <w:sz w:val="18"/>
        <w:szCs w:val="18"/>
        <w:lang w:val="sk-SK" w:eastAsia="en-US" w:bidi="ar-SA"/>
      </w:rPr>
    </w:lvl>
    <w:lvl w:ilvl="1" w:tplc="20A24004">
      <w:start w:val="1"/>
      <w:numFmt w:val="decimal"/>
      <w:lvlText w:val="%2."/>
      <w:lvlJc w:val="left"/>
      <w:pPr>
        <w:ind w:left="472" w:hanging="360"/>
        <w:jc w:val="left"/>
      </w:pPr>
      <w:rPr>
        <w:rFonts w:ascii="Times New Roman" w:eastAsia="Times New Roman" w:hAnsi="Times New Roman" w:cs="Times New Roman" w:hint="default"/>
        <w:b/>
        <w:bCs/>
        <w:spacing w:val="-4"/>
        <w:w w:val="100"/>
        <w:sz w:val="18"/>
        <w:szCs w:val="18"/>
        <w:lang w:val="sk-SK" w:eastAsia="en-US" w:bidi="ar-SA"/>
      </w:rPr>
    </w:lvl>
    <w:lvl w:ilvl="2" w:tplc="4A701BF4">
      <w:numFmt w:val="bullet"/>
      <w:lvlText w:val="-"/>
      <w:lvlJc w:val="left"/>
      <w:pPr>
        <w:ind w:left="587" w:hanging="116"/>
      </w:pPr>
      <w:rPr>
        <w:rFonts w:ascii="Times New Roman" w:eastAsia="Times New Roman" w:hAnsi="Times New Roman" w:cs="Times New Roman" w:hint="default"/>
        <w:w w:val="99"/>
        <w:sz w:val="20"/>
        <w:szCs w:val="20"/>
        <w:lang w:val="sk-SK" w:eastAsia="en-US" w:bidi="ar-SA"/>
      </w:rPr>
    </w:lvl>
    <w:lvl w:ilvl="3" w:tplc="D56C4A1C">
      <w:numFmt w:val="bullet"/>
      <w:lvlText w:val="•"/>
      <w:lvlJc w:val="left"/>
      <w:pPr>
        <w:ind w:left="840" w:hanging="116"/>
      </w:pPr>
      <w:rPr>
        <w:rFonts w:hint="default"/>
        <w:lang w:val="sk-SK" w:eastAsia="en-US" w:bidi="ar-SA"/>
      </w:rPr>
    </w:lvl>
    <w:lvl w:ilvl="4" w:tplc="A53A47B2">
      <w:numFmt w:val="bullet"/>
      <w:lvlText w:val="•"/>
      <w:lvlJc w:val="left"/>
      <w:pPr>
        <w:ind w:left="2069" w:hanging="116"/>
      </w:pPr>
      <w:rPr>
        <w:rFonts w:hint="default"/>
        <w:lang w:val="sk-SK" w:eastAsia="en-US" w:bidi="ar-SA"/>
      </w:rPr>
    </w:lvl>
    <w:lvl w:ilvl="5" w:tplc="F5FEB326">
      <w:numFmt w:val="bullet"/>
      <w:lvlText w:val="•"/>
      <w:lvlJc w:val="left"/>
      <w:pPr>
        <w:ind w:left="3298" w:hanging="116"/>
      </w:pPr>
      <w:rPr>
        <w:rFonts w:hint="default"/>
        <w:lang w:val="sk-SK" w:eastAsia="en-US" w:bidi="ar-SA"/>
      </w:rPr>
    </w:lvl>
    <w:lvl w:ilvl="6" w:tplc="3A9A869E">
      <w:numFmt w:val="bullet"/>
      <w:lvlText w:val="•"/>
      <w:lvlJc w:val="left"/>
      <w:pPr>
        <w:ind w:left="4528" w:hanging="116"/>
      </w:pPr>
      <w:rPr>
        <w:rFonts w:hint="default"/>
        <w:lang w:val="sk-SK" w:eastAsia="en-US" w:bidi="ar-SA"/>
      </w:rPr>
    </w:lvl>
    <w:lvl w:ilvl="7" w:tplc="CA00F966">
      <w:numFmt w:val="bullet"/>
      <w:lvlText w:val="•"/>
      <w:lvlJc w:val="left"/>
      <w:pPr>
        <w:ind w:left="5757" w:hanging="116"/>
      </w:pPr>
      <w:rPr>
        <w:rFonts w:hint="default"/>
        <w:lang w:val="sk-SK" w:eastAsia="en-US" w:bidi="ar-SA"/>
      </w:rPr>
    </w:lvl>
    <w:lvl w:ilvl="8" w:tplc="42DC6EBA">
      <w:numFmt w:val="bullet"/>
      <w:lvlText w:val="•"/>
      <w:lvlJc w:val="left"/>
      <w:pPr>
        <w:ind w:left="6986" w:hanging="116"/>
      </w:pPr>
      <w:rPr>
        <w:rFonts w:hint="default"/>
        <w:lang w:val="sk-SK" w:eastAsia="en-US" w:bidi="ar-SA"/>
      </w:rPr>
    </w:lvl>
  </w:abstractNum>
  <w:abstractNum w:abstractNumId="1" w15:restartNumberingAfterBreak="0">
    <w:nsid w:val="36396EB2"/>
    <w:multiLevelType w:val="hybridMultilevel"/>
    <w:tmpl w:val="E416A244"/>
    <w:lvl w:ilvl="0" w:tplc="B14AF08A">
      <w:numFmt w:val="bullet"/>
      <w:lvlText w:val=""/>
      <w:lvlJc w:val="left"/>
      <w:pPr>
        <w:ind w:left="878" w:hanging="339"/>
      </w:pPr>
      <w:rPr>
        <w:rFonts w:ascii="Symbol" w:eastAsia="Symbol" w:hAnsi="Symbol" w:cs="Symbol" w:hint="default"/>
        <w:w w:val="100"/>
        <w:sz w:val="22"/>
        <w:szCs w:val="22"/>
        <w:lang w:val="sk-SK" w:eastAsia="en-US" w:bidi="ar-SA"/>
      </w:rPr>
    </w:lvl>
    <w:lvl w:ilvl="1" w:tplc="9D2E6568">
      <w:numFmt w:val="bullet"/>
      <w:lvlText w:val="•"/>
      <w:lvlJc w:val="left"/>
      <w:pPr>
        <w:ind w:left="1736" w:hanging="339"/>
      </w:pPr>
      <w:rPr>
        <w:rFonts w:hint="default"/>
        <w:lang w:val="sk-SK" w:eastAsia="en-US" w:bidi="ar-SA"/>
      </w:rPr>
    </w:lvl>
    <w:lvl w:ilvl="2" w:tplc="C3201818">
      <w:numFmt w:val="bullet"/>
      <w:lvlText w:val="•"/>
      <w:lvlJc w:val="left"/>
      <w:pPr>
        <w:ind w:left="2593" w:hanging="339"/>
      </w:pPr>
      <w:rPr>
        <w:rFonts w:hint="default"/>
        <w:lang w:val="sk-SK" w:eastAsia="en-US" w:bidi="ar-SA"/>
      </w:rPr>
    </w:lvl>
    <w:lvl w:ilvl="3" w:tplc="B7CC8D16">
      <w:numFmt w:val="bullet"/>
      <w:lvlText w:val="•"/>
      <w:lvlJc w:val="left"/>
      <w:pPr>
        <w:ind w:left="3449" w:hanging="339"/>
      </w:pPr>
      <w:rPr>
        <w:rFonts w:hint="default"/>
        <w:lang w:val="sk-SK" w:eastAsia="en-US" w:bidi="ar-SA"/>
      </w:rPr>
    </w:lvl>
    <w:lvl w:ilvl="4" w:tplc="1FB02C86">
      <w:numFmt w:val="bullet"/>
      <w:lvlText w:val="•"/>
      <w:lvlJc w:val="left"/>
      <w:pPr>
        <w:ind w:left="4306" w:hanging="339"/>
      </w:pPr>
      <w:rPr>
        <w:rFonts w:hint="default"/>
        <w:lang w:val="sk-SK" w:eastAsia="en-US" w:bidi="ar-SA"/>
      </w:rPr>
    </w:lvl>
    <w:lvl w:ilvl="5" w:tplc="55AC1A56">
      <w:numFmt w:val="bullet"/>
      <w:lvlText w:val="•"/>
      <w:lvlJc w:val="left"/>
      <w:pPr>
        <w:ind w:left="5162" w:hanging="339"/>
      </w:pPr>
      <w:rPr>
        <w:rFonts w:hint="default"/>
        <w:lang w:val="sk-SK" w:eastAsia="en-US" w:bidi="ar-SA"/>
      </w:rPr>
    </w:lvl>
    <w:lvl w:ilvl="6" w:tplc="BB38F864">
      <w:numFmt w:val="bullet"/>
      <w:lvlText w:val="•"/>
      <w:lvlJc w:val="left"/>
      <w:pPr>
        <w:ind w:left="6019" w:hanging="339"/>
      </w:pPr>
      <w:rPr>
        <w:rFonts w:hint="default"/>
        <w:lang w:val="sk-SK" w:eastAsia="en-US" w:bidi="ar-SA"/>
      </w:rPr>
    </w:lvl>
    <w:lvl w:ilvl="7" w:tplc="9E42C2A2">
      <w:numFmt w:val="bullet"/>
      <w:lvlText w:val="•"/>
      <w:lvlJc w:val="left"/>
      <w:pPr>
        <w:ind w:left="6875" w:hanging="339"/>
      </w:pPr>
      <w:rPr>
        <w:rFonts w:hint="default"/>
        <w:lang w:val="sk-SK" w:eastAsia="en-US" w:bidi="ar-SA"/>
      </w:rPr>
    </w:lvl>
    <w:lvl w:ilvl="8" w:tplc="35348B82">
      <w:numFmt w:val="bullet"/>
      <w:lvlText w:val="•"/>
      <w:lvlJc w:val="left"/>
      <w:pPr>
        <w:ind w:left="7732" w:hanging="339"/>
      </w:pPr>
      <w:rPr>
        <w:rFonts w:hint="default"/>
        <w:lang w:val="sk-SK" w:eastAsia="en-US" w:bidi="ar-SA"/>
      </w:rPr>
    </w:lvl>
  </w:abstractNum>
  <w:abstractNum w:abstractNumId="2" w15:restartNumberingAfterBreak="0">
    <w:nsid w:val="4C1332E9"/>
    <w:multiLevelType w:val="hybridMultilevel"/>
    <w:tmpl w:val="B8A08898"/>
    <w:lvl w:ilvl="0" w:tplc="B47682C4">
      <w:numFmt w:val="bullet"/>
      <w:lvlText w:val=""/>
      <w:lvlJc w:val="left"/>
      <w:pPr>
        <w:ind w:left="878" w:hanging="339"/>
      </w:pPr>
      <w:rPr>
        <w:rFonts w:ascii="Symbol" w:eastAsia="Symbol" w:hAnsi="Symbol" w:cs="Symbol" w:hint="default"/>
        <w:w w:val="100"/>
        <w:sz w:val="22"/>
        <w:szCs w:val="22"/>
        <w:lang w:val="sk-SK" w:eastAsia="en-US" w:bidi="ar-SA"/>
      </w:rPr>
    </w:lvl>
    <w:lvl w:ilvl="1" w:tplc="37425720">
      <w:numFmt w:val="bullet"/>
      <w:lvlText w:val="•"/>
      <w:lvlJc w:val="left"/>
      <w:pPr>
        <w:ind w:left="1736" w:hanging="339"/>
      </w:pPr>
      <w:rPr>
        <w:rFonts w:hint="default"/>
        <w:lang w:val="sk-SK" w:eastAsia="en-US" w:bidi="ar-SA"/>
      </w:rPr>
    </w:lvl>
    <w:lvl w:ilvl="2" w:tplc="F5961548">
      <w:numFmt w:val="bullet"/>
      <w:lvlText w:val="•"/>
      <w:lvlJc w:val="left"/>
      <w:pPr>
        <w:ind w:left="2593" w:hanging="339"/>
      </w:pPr>
      <w:rPr>
        <w:rFonts w:hint="default"/>
        <w:lang w:val="sk-SK" w:eastAsia="en-US" w:bidi="ar-SA"/>
      </w:rPr>
    </w:lvl>
    <w:lvl w:ilvl="3" w:tplc="DCAC6182">
      <w:numFmt w:val="bullet"/>
      <w:lvlText w:val="•"/>
      <w:lvlJc w:val="left"/>
      <w:pPr>
        <w:ind w:left="3449" w:hanging="339"/>
      </w:pPr>
      <w:rPr>
        <w:rFonts w:hint="default"/>
        <w:lang w:val="sk-SK" w:eastAsia="en-US" w:bidi="ar-SA"/>
      </w:rPr>
    </w:lvl>
    <w:lvl w:ilvl="4" w:tplc="4A40E634">
      <w:numFmt w:val="bullet"/>
      <w:lvlText w:val="•"/>
      <w:lvlJc w:val="left"/>
      <w:pPr>
        <w:ind w:left="4306" w:hanging="339"/>
      </w:pPr>
      <w:rPr>
        <w:rFonts w:hint="default"/>
        <w:lang w:val="sk-SK" w:eastAsia="en-US" w:bidi="ar-SA"/>
      </w:rPr>
    </w:lvl>
    <w:lvl w:ilvl="5" w:tplc="F418F918">
      <w:numFmt w:val="bullet"/>
      <w:lvlText w:val="•"/>
      <w:lvlJc w:val="left"/>
      <w:pPr>
        <w:ind w:left="5162" w:hanging="339"/>
      </w:pPr>
      <w:rPr>
        <w:rFonts w:hint="default"/>
        <w:lang w:val="sk-SK" w:eastAsia="en-US" w:bidi="ar-SA"/>
      </w:rPr>
    </w:lvl>
    <w:lvl w:ilvl="6" w:tplc="A2BA3FF6">
      <w:numFmt w:val="bullet"/>
      <w:lvlText w:val="•"/>
      <w:lvlJc w:val="left"/>
      <w:pPr>
        <w:ind w:left="6019" w:hanging="339"/>
      </w:pPr>
      <w:rPr>
        <w:rFonts w:hint="default"/>
        <w:lang w:val="sk-SK" w:eastAsia="en-US" w:bidi="ar-SA"/>
      </w:rPr>
    </w:lvl>
    <w:lvl w:ilvl="7" w:tplc="4FE8EA86">
      <w:numFmt w:val="bullet"/>
      <w:lvlText w:val="•"/>
      <w:lvlJc w:val="left"/>
      <w:pPr>
        <w:ind w:left="6875" w:hanging="339"/>
      </w:pPr>
      <w:rPr>
        <w:rFonts w:hint="default"/>
        <w:lang w:val="sk-SK" w:eastAsia="en-US" w:bidi="ar-SA"/>
      </w:rPr>
    </w:lvl>
    <w:lvl w:ilvl="8" w:tplc="9334D290">
      <w:numFmt w:val="bullet"/>
      <w:lvlText w:val="•"/>
      <w:lvlJc w:val="left"/>
      <w:pPr>
        <w:ind w:left="7732" w:hanging="339"/>
      </w:pPr>
      <w:rPr>
        <w:rFonts w:hint="default"/>
        <w:lang w:val="sk-SK" w:eastAsia="en-US" w:bidi="ar-SA"/>
      </w:rPr>
    </w:lvl>
  </w:abstractNum>
  <w:abstractNum w:abstractNumId="3" w15:restartNumberingAfterBreak="0">
    <w:nsid w:val="4C272F95"/>
    <w:multiLevelType w:val="hybridMultilevel"/>
    <w:tmpl w:val="5348848E"/>
    <w:lvl w:ilvl="0" w:tplc="DBE20DAC">
      <w:start w:val="1"/>
      <w:numFmt w:val="lowerLetter"/>
      <w:lvlText w:val="%1)"/>
      <w:lvlJc w:val="left"/>
      <w:pPr>
        <w:ind w:left="1305" w:hanging="360"/>
        <w:jc w:val="left"/>
      </w:pPr>
      <w:rPr>
        <w:rFonts w:ascii="Times New Roman" w:eastAsia="Times New Roman" w:hAnsi="Times New Roman" w:cs="Times New Roman" w:hint="default"/>
        <w:spacing w:val="-4"/>
        <w:w w:val="100"/>
        <w:sz w:val="18"/>
        <w:szCs w:val="18"/>
        <w:lang w:val="sk-SK" w:eastAsia="en-US" w:bidi="ar-SA"/>
      </w:rPr>
    </w:lvl>
    <w:lvl w:ilvl="1" w:tplc="D362CC44">
      <w:numFmt w:val="bullet"/>
      <w:lvlText w:val="•"/>
      <w:lvlJc w:val="left"/>
      <w:pPr>
        <w:ind w:left="2114" w:hanging="360"/>
      </w:pPr>
      <w:rPr>
        <w:rFonts w:hint="default"/>
        <w:lang w:val="sk-SK" w:eastAsia="en-US" w:bidi="ar-SA"/>
      </w:rPr>
    </w:lvl>
    <w:lvl w:ilvl="2" w:tplc="F4DC2FF0">
      <w:numFmt w:val="bullet"/>
      <w:lvlText w:val="•"/>
      <w:lvlJc w:val="left"/>
      <w:pPr>
        <w:ind w:left="2929" w:hanging="360"/>
      </w:pPr>
      <w:rPr>
        <w:rFonts w:hint="default"/>
        <w:lang w:val="sk-SK" w:eastAsia="en-US" w:bidi="ar-SA"/>
      </w:rPr>
    </w:lvl>
    <w:lvl w:ilvl="3" w:tplc="7592D95A">
      <w:numFmt w:val="bullet"/>
      <w:lvlText w:val="•"/>
      <w:lvlJc w:val="left"/>
      <w:pPr>
        <w:ind w:left="3743" w:hanging="360"/>
      </w:pPr>
      <w:rPr>
        <w:rFonts w:hint="default"/>
        <w:lang w:val="sk-SK" w:eastAsia="en-US" w:bidi="ar-SA"/>
      </w:rPr>
    </w:lvl>
    <w:lvl w:ilvl="4" w:tplc="EFF40DBA">
      <w:numFmt w:val="bullet"/>
      <w:lvlText w:val="•"/>
      <w:lvlJc w:val="left"/>
      <w:pPr>
        <w:ind w:left="4558" w:hanging="360"/>
      </w:pPr>
      <w:rPr>
        <w:rFonts w:hint="default"/>
        <w:lang w:val="sk-SK" w:eastAsia="en-US" w:bidi="ar-SA"/>
      </w:rPr>
    </w:lvl>
    <w:lvl w:ilvl="5" w:tplc="E47C2516">
      <w:numFmt w:val="bullet"/>
      <w:lvlText w:val="•"/>
      <w:lvlJc w:val="left"/>
      <w:pPr>
        <w:ind w:left="5372" w:hanging="360"/>
      </w:pPr>
      <w:rPr>
        <w:rFonts w:hint="default"/>
        <w:lang w:val="sk-SK" w:eastAsia="en-US" w:bidi="ar-SA"/>
      </w:rPr>
    </w:lvl>
    <w:lvl w:ilvl="6" w:tplc="35E8635C">
      <w:numFmt w:val="bullet"/>
      <w:lvlText w:val="•"/>
      <w:lvlJc w:val="left"/>
      <w:pPr>
        <w:ind w:left="6187" w:hanging="360"/>
      </w:pPr>
      <w:rPr>
        <w:rFonts w:hint="default"/>
        <w:lang w:val="sk-SK" w:eastAsia="en-US" w:bidi="ar-SA"/>
      </w:rPr>
    </w:lvl>
    <w:lvl w:ilvl="7" w:tplc="435C83E2">
      <w:numFmt w:val="bullet"/>
      <w:lvlText w:val="•"/>
      <w:lvlJc w:val="left"/>
      <w:pPr>
        <w:ind w:left="7001" w:hanging="360"/>
      </w:pPr>
      <w:rPr>
        <w:rFonts w:hint="default"/>
        <w:lang w:val="sk-SK" w:eastAsia="en-US" w:bidi="ar-SA"/>
      </w:rPr>
    </w:lvl>
    <w:lvl w:ilvl="8" w:tplc="059CA714">
      <w:numFmt w:val="bullet"/>
      <w:lvlText w:val="•"/>
      <w:lvlJc w:val="left"/>
      <w:pPr>
        <w:ind w:left="7816" w:hanging="360"/>
      </w:pPr>
      <w:rPr>
        <w:rFonts w:hint="default"/>
        <w:lang w:val="sk-SK" w:eastAsia="en-US" w:bidi="ar-S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E18"/>
    <w:rsid w:val="006D3F8D"/>
    <w:rsid w:val="00BB4783"/>
    <w:rsid w:val="00D73FE1"/>
    <w:rsid w:val="00DE0E1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86A19B8-32FF-440B-AC31-DE05E8D9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Times New Roman" w:eastAsia="Times New Roman" w:hAnsi="Times New Roman" w:cs="Times New Roman"/>
      <w:lang w:val="sk-SK"/>
    </w:rPr>
  </w:style>
  <w:style w:type="paragraph" w:styleId="Nadpis1">
    <w:name w:val="heading 1"/>
    <w:basedOn w:val="Normlny"/>
    <w:uiPriority w:val="1"/>
    <w:qFormat/>
    <w:pPr>
      <w:ind w:left="472"/>
      <w:outlineLvl w:val="0"/>
    </w:pPr>
    <w:rPr>
      <w:sz w:val="20"/>
      <w:szCs w:val="20"/>
    </w:rPr>
  </w:style>
  <w:style w:type="paragraph" w:styleId="Nadpis2">
    <w:name w:val="heading 2"/>
    <w:basedOn w:val="Normlny"/>
    <w:uiPriority w:val="1"/>
    <w:qFormat/>
    <w:pPr>
      <w:ind w:left="472" w:hanging="361"/>
      <w:outlineLvl w:val="1"/>
    </w:pPr>
    <w:rPr>
      <w:b/>
      <w:bCs/>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18"/>
      <w:szCs w:val="18"/>
    </w:rPr>
  </w:style>
  <w:style w:type="paragraph" w:styleId="Nzov">
    <w:name w:val="Title"/>
    <w:basedOn w:val="Normlny"/>
    <w:uiPriority w:val="1"/>
    <w:qFormat/>
    <w:pPr>
      <w:spacing w:before="8"/>
      <w:ind w:left="60"/>
    </w:pPr>
    <w:rPr>
      <w:sz w:val="26"/>
      <w:szCs w:val="26"/>
    </w:rPr>
  </w:style>
  <w:style w:type="paragraph" w:styleId="Odsekzoznamu">
    <w:name w:val="List Paragraph"/>
    <w:basedOn w:val="Normlny"/>
    <w:uiPriority w:val="1"/>
    <w:qFormat/>
    <w:pPr>
      <w:ind w:left="472" w:hanging="361"/>
    </w:pPr>
  </w:style>
  <w:style w:type="paragraph" w:customStyle="1" w:styleId="TableParagraph">
    <w:name w:val="Table Paragraph"/>
    <w:basedOn w:val="Normlny"/>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2277</Words>
  <Characters>12985</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Smado</dc:creator>
  <cp:lastModifiedBy>Smado Adam</cp:lastModifiedBy>
  <cp:revision>3</cp:revision>
  <dcterms:created xsi:type="dcterms:W3CDTF">2019-12-27T12:01:00Z</dcterms:created>
  <dcterms:modified xsi:type="dcterms:W3CDTF">2019-12-27T12:01:00Z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2018-04-27T00:00:00Z</vt:filetime>
  </property>
  <property fmtid="{D5CDD505-2E9C-101B-9397-08002B2CF9AE}" pid="3" name="LastSaved">
    <vt:filetime>2019-12-27T00:00:00Z</vt:filetime>
  </property>
</Properties>
</file>