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zov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ČARO - RV s.r.o. Rožňava</w:t>
      </w:r>
    </w:p>
    <w:p>
      <w:pPr>
        <w:pStyle w:val="Podnadpis"/>
        <w:rPr>
          <w:rFonts w:ascii="Arial" w:hAnsi="Arial" w:cs="Arial"/>
        </w:rPr>
      </w:pPr>
      <w:r>
        <w:rPr>
          <w:rFonts w:cs="Arial" w:ascii="Arial" w:hAnsi="Arial"/>
        </w:rPr>
        <w:t>POZNÁMKY K ÚČTOVNEJ ZÁVIERKE</w:t>
      </w:r>
    </w:p>
    <w:p>
      <w:pPr>
        <w:pStyle w:val="Normal"/>
        <w:jc w:val="center"/>
        <w:rPr/>
      </w:pPr>
      <w:r>
        <w:rPr>
          <w:rFonts w:cs="Arial" w:ascii="Arial" w:hAnsi="Arial"/>
          <w:sz w:val="28"/>
        </w:rPr>
        <w:t>k 31.12.201</w:t>
      </w:r>
      <w:r>
        <w:rPr>
          <w:rFonts w:cs="Arial" w:ascii="Arial" w:hAnsi="Arial"/>
          <w:sz w:val="28"/>
        </w:rPr>
        <w:t>9</w:t>
      </w:r>
    </w:p>
    <w:p>
      <w:pPr>
        <w:pStyle w:val="Normal"/>
        <w:ind w:left="405" w:hanging="0"/>
        <w:jc w:val="center"/>
        <w:rPr>
          <w:sz w:val="24"/>
          <w:szCs w:val="24"/>
          <w:lang w:val="en-US"/>
        </w:rPr>
      </w:pPr>
      <w:r>
        <w:rPr>
          <w:rFonts w:cs="Arial" w:ascii="Arial" w:hAnsi="Arial"/>
        </w:rPr>
        <w:t xml:space="preserve">(Údaje sú uvádzané v celých </w:t>
      </w:r>
      <w:r>
        <w:rPr>
          <w:rFonts w:cs="Arial" w:ascii="Arial" w:hAnsi="Arial"/>
          <w:b/>
          <w:bCs/>
        </w:rPr>
        <w:t>€</w:t>
      </w:r>
      <w:r>
        <w:rPr>
          <w:rFonts w:cs="Arial" w:ascii="Arial" w:hAnsi="Arial"/>
        </w:rPr>
        <w:t xml:space="preserve"> )</w:t>
      </w:r>
    </w:p>
    <w:p>
      <w:pPr>
        <w:pStyle w:val="Normal"/>
        <w:jc w:val="center"/>
        <w:rPr>
          <w:rFonts w:ascii="Arial" w:hAnsi="Arial" w:cs="Arial"/>
          <w:sz w:val="28"/>
        </w:rPr>
      </w:pPr>
      <w:r>
        <w:rPr>
          <w:rFonts w:cs="Arial" w:ascii="Arial" w:hAnsi="Arial"/>
          <w:sz w:val="28"/>
        </w:rPr>
      </w:r>
    </w:p>
    <w:p>
      <w:pPr>
        <w:pStyle w:val="Normal"/>
        <w:rPr>
          <w:rFonts w:ascii="Arial" w:hAnsi="Arial" w:cs="Arial"/>
          <w:b/>
          <w:b/>
          <w:i/>
          <w:i/>
          <w:sz w:val="24"/>
          <w:u w:val="single"/>
        </w:rPr>
      </w:pPr>
      <w:r>
        <w:rPr>
          <w:rFonts w:cs="Arial" w:ascii="Arial" w:hAnsi="Arial"/>
          <w:b/>
          <w:i/>
          <w:sz w:val="24"/>
          <w:u w:val="single"/>
        </w:rPr>
        <w:t>Čl.I. Všeobecné údaje:</w:t>
      </w:r>
    </w:p>
    <w:p>
      <w:pPr>
        <w:pStyle w:val="Normal"/>
        <w:rPr>
          <w:rFonts w:ascii="Arial" w:hAnsi="Arial" w:cs="Arial"/>
          <w:i/>
          <w:i/>
          <w:u w:val="single"/>
        </w:rPr>
      </w:pPr>
      <w:r>
        <w:rPr>
          <w:rFonts w:cs="Arial" w:ascii="Arial" w:hAnsi="Arial"/>
          <w:i/>
          <w:u w:val="single"/>
        </w:rPr>
      </w:r>
    </w:p>
    <w:p>
      <w:pPr>
        <w:pStyle w:val="Normal"/>
        <w:numPr>
          <w:ilvl w:val="0"/>
          <w:numId w:val="2"/>
        </w:numPr>
        <w:rPr>
          <w:rFonts w:ascii="Arial" w:hAnsi="Arial" w:cs="Arial"/>
          <w:i/>
          <w:i/>
        </w:rPr>
      </w:pPr>
      <w:r>
        <w:rPr>
          <w:rFonts w:cs="Arial" w:ascii="Arial" w:hAnsi="Arial"/>
        </w:rPr>
        <w:t>ZÁKLADNÉ ÚDAJE O SPOLOČNOSTI</w:t>
      </w:r>
    </w:p>
    <w:p>
      <w:pPr>
        <w:pStyle w:val="Normal"/>
        <w:rPr>
          <w:rFonts w:ascii="Arial" w:hAnsi="Arial" w:cs="Arial"/>
          <w:b/>
          <w:b/>
          <w:i/>
          <w:i/>
        </w:rPr>
      </w:pPr>
      <w:r>
        <w:rPr>
          <w:rFonts w:cs="Arial" w:ascii="Arial" w:hAnsi="Arial"/>
          <w:b/>
          <w:i/>
        </w:rPr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Účtovná jednotka</w:t>
      </w:r>
      <w:r>
        <w:rPr>
          <w:rFonts w:cs="Arial" w:ascii="Arial" w:hAnsi="Arial"/>
          <w:color w:val="800000"/>
          <w:sz w:val="20"/>
        </w:rPr>
        <w:t xml:space="preserve"> </w:t>
      </w:r>
      <w:r>
        <w:rPr>
          <w:rFonts w:cs="Arial" w:ascii="Arial" w:hAnsi="Arial"/>
          <w:b/>
          <w:sz w:val="20"/>
        </w:rPr>
        <w:t>ČARO - RV s.r.o.</w:t>
      </w:r>
      <w:r>
        <w:rPr>
          <w:rFonts w:cs="Arial" w:ascii="Arial" w:hAnsi="Arial"/>
          <w:color w:val="000000"/>
          <w:sz w:val="20"/>
        </w:rPr>
        <w:t xml:space="preserve"> </w:t>
      </w:r>
      <w:r>
        <w:rPr>
          <w:rFonts w:cs="Arial" w:ascii="Arial" w:hAnsi="Arial"/>
          <w:sz w:val="20"/>
        </w:rPr>
        <w:t>(ďalej len „spoločnosť“) je</w:t>
      </w:r>
      <w:r>
        <w:rPr>
          <w:rFonts w:cs="Arial" w:ascii="Arial" w:hAnsi="Arial"/>
          <w:color w:val="0000FF"/>
          <w:sz w:val="20"/>
        </w:rPr>
        <w:t xml:space="preserve"> </w:t>
      </w:r>
      <w:r>
        <w:rPr>
          <w:rFonts w:cs="Arial" w:ascii="Arial" w:hAnsi="Arial"/>
          <w:color w:val="000000"/>
          <w:sz w:val="20"/>
        </w:rPr>
        <w:t>spoločnosť s ručením obmedzeným</w:t>
      </w:r>
      <w:r>
        <w:rPr>
          <w:rFonts w:cs="Arial" w:ascii="Arial" w:hAnsi="Arial"/>
          <w:sz w:val="20"/>
        </w:rPr>
        <w:t xml:space="preserve"> so sídlom v Rožňave, Zakarpatská 13. Založená bola dňa 04.10.2013.</w:t>
      </w:r>
      <w:r>
        <w:rPr>
          <w:rFonts w:cs="Arial" w:ascii="Arial" w:hAnsi="Arial"/>
          <w:color w:val="000000"/>
          <w:sz w:val="20"/>
        </w:rPr>
        <w:t xml:space="preserve"> 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2"/>
        </w:numPr>
        <w:rPr>
          <w:rFonts w:ascii="Arial" w:hAnsi="Arial" w:cs="Arial"/>
          <w:i/>
          <w:i/>
        </w:rPr>
      </w:pPr>
      <w:r>
        <w:rPr>
          <w:rFonts w:cs="Arial" w:ascii="Arial" w:hAnsi="Arial"/>
        </w:rPr>
        <w:t>HLAVNÉ ČINNOSTI SPOLOČNOSTI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rPr>
          <w:rFonts w:ascii="Arial" w:hAnsi="Arial" w:cs="Arial"/>
          <w:color w:val="000000"/>
          <w:sz w:val="20"/>
        </w:rPr>
      </w:pPr>
      <w:r>
        <w:rPr>
          <w:rFonts w:cs="Arial" w:ascii="Arial" w:hAnsi="Arial"/>
          <w:sz w:val="20"/>
        </w:rPr>
        <w:t>Hlavným predmetom činnosti spoločnosti je:</w:t>
      </w:r>
    </w:p>
    <w:p>
      <w:pPr>
        <w:pStyle w:val="Normal"/>
        <w:numPr>
          <w:ilvl w:val="0"/>
          <w:numId w:val="9"/>
        </w:numPr>
        <w:rPr>
          <w:rFonts w:ascii="Arial" w:hAnsi="Arial"/>
          <w:b w:val="false"/>
          <w:b w:val="false"/>
          <w:bCs w:val="false"/>
          <w:sz w:val="20"/>
          <w:szCs w:val="20"/>
        </w:rPr>
      </w:pPr>
      <w:r>
        <w:rPr>
          <w:rFonts w:cs="Arial" w:ascii="Arial" w:hAnsi="Arial"/>
          <w:b w:val="false"/>
          <w:bCs w:val="false"/>
          <w:color w:val="000000"/>
          <w:sz w:val="20"/>
          <w:szCs w:val="20"/>
        </w:rPr>
        <w:t>Nákladná cestná doprava do 3,5 t</w:t>
      </w:r>
    </w:p>
    <w:p>
      <w:pPr>
        <w:pStyle w:val="Normal"/>
        <w:numPr>
          <w:ilvl w:val="0"/>
          <w:numId w:val="9"/>
        </w:numPr>
        <w:rPr>
          <w:rFonts w:ascii="Arial" w:hAnsi="Arial" w:cs="Arial"/>
          <w:color w:val="000000"/>
        </w:rPr>
      </w:pPr>
      <w:r>
        <w:rPr>
          <w:rFonts w:cs="Arial" w:ascii="Arial" w:hAnsi="Arial"/>
          <w:b/>
          <w:bCs/>
          <w:i w:val="false"/>
          <w:caps w:val="false"/>
          <w:smallCaps w:val="false"/>
          <w:color w:val="807A7A"/>
          <w:spacing w:val="0"/>
          <w:sz w:val="20"/>
          <w:szCs w:val="20"/>
        </w:rPr>
        <w:t>Dokončovacie stavebné práce pri realizácii exteriérov a interiérov</w:t>
      </w:r>
      <w:r>
        <w:rPr>
          <w:rFonts w:cs="Arial" w:ascii="Arial" w:hAnsi="Arial"/>
          <w:b/>
          <w:bCs/>
          <w:color w:val="000000"/>
          <w:sz w:val="20"/>
          <w:szCs w:val="20"/>
        </w:rPr>
        <w:t xml:space="preserve"> 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2"/>
        </w:numPr>
        <w:rPr>
          <w:rFonts w:ascii="Arial" w:hAnsi="Arial" w:cs="Arial"/>
          <w:i/>
          <w:i/>
        </w:rPr>
      </w:pPr>
      <w:r>
        <w:rPr>
          <w:rFonts w:cs="Arial" w:ascii="Arial" w:hAnsi="Arial"/>
        </w:rPr>
        <w:t>ZOZNAM ČLENOV ORGÁNOV SPOLOČNOSTI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Členovia orgánov spoločnosti podľa výpisu z obchodného registra sú:</w:t>
      </w:r>
    </w:p>
    <w:p>
      <w:pPr>
        <w:pStyle w:val="Normal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Konateľ:</w:t>
        <w:tab/>
        <w:tab/>
        <w:t>Robert Čabai</w:t>
      </w:r>
    </w:p>
    <w:p>
      <w:pPr>
        <w:pStyle w:val="Normal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                                      </w:t>
      </w:r>
    </w:p>
    <w:p>
      <w:pPr>
        <w:pStyle w:val="Normal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                                            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  <w:color w:val="000000"/>
        </w:rPr>
        <w:tab/>
        <w:tab/>
        <w:tab/>
        <w:tab/>
        <w:tab/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Písomnosti zakladajúce práva a povinnosti spoločnosti podpisuje  konateľ samostatne a to tak, že k obchodnému menu spoločnosti pripojí svoj vlastnoručný podpis.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2"/>
        </w:numPr>
        <w:rPr>
          <w:rFonts w:ascii="Arial" w:hAnsi="Arial" w:cs="Arial"/>
          <w:i/>
          <w:i/>
        </w:rPr>
      </w:pPr>
      <w:r>
        <w:rPr>
          <w:rFonts w:cs="Arial" w:ascii="Arial" w:hAnsi="Arial"/>
        </w:rPr>
        <w:t xml:space="preserve">ŠTRUKTÚRA </w:t>
      </w:r>
      <w:r>
        <w:rPr>
          <w:rFonts w:cs="Arial" w:ascii="Arial" w:hAnsi="Arial"/>
          <w:color w:val="000000"/>
        </w:rPr>
        <w:t>SPOLOČNÍKOV</w:t>
      </w:r>
    </w:p>
    <w:p>
      <w:pPr>
        <w:pStyle w:val="Normal"/>
        <w:rPr>
          <w:rFonts w:ascii="Arial" w:hAnsi="Arial" w:cs="Arial"/>
          <w:i/>
          <w:i/>
        </w:rPr>
      </w:pPr>
      <w:r>
        <w:rPr>
          <w:rFonts w:cs="Arial" w:ascii="Arial" w:hAnsi="Arial"/>
          <w:i/>
        </w:rPr>
      </w:r>
    </w:p>
    <w:tbl>
      <w:tblPr>
        <w:tblW w:w="8933" w:type="dxa"/>
        <w:jc w:val="left"/>
        <w:tblInd w:w="71" w:type="dxa"/>
        <w:tblCellMar>
          <w:top w:w="0" w:type="dxa"/>
          <w:left w:w="71" w:type="dxa"/>
          <w:bottom w:w="0" w:type="dxa"/>
          <w:right w:w="71" w:type="dxa"/>
        </w:tblCellMar>
        <w:tblLook w:val="0000"/>
      </w:tblPr>
      <w:tblGrid>
        <w:gridCol w:w="3543"/>
        <w:gridCol w:w="1843"/>
        <w:gridCol w:w="1701"/>
        <w:gridCol w:w="1845"/>
      </w:tblGrid>
      <w:tr>
        <w:trPr>
          <w:trHeight w:val="233" w:hRule="atLeast"/>
          <w:cantSplit w:val="true"/>
        </w:trPr>
        <w:tc>
          <w:tcPr>
            <w:tcW w:w="354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800000"/>
              </w:rPr>
            </w:pPr>
            <w:r>
              <w:rPr>
                <w:rFonts w:cs="Arial" w:ascii="Arial" w:hAnsi="Arial"/>
                <w:i/>
              </w:rPr>
              <w:t xml:space="preserve">Meno </w:t>
            </w:r>
            <w:r>
              <w:rPr>
                <w:rFonts w:cs="Arial" w:ascii="Arial" w:hAnsi="Arial"/>
                <w:i/>
                <w:color w:val="000000"/>
              </w:rPr>
              <w:t>spoločníka</w:t>
            </w:r>
            <w:r>
              <w:rPr>
                <w:rFonts w:cs="Arial" w:ascii="Arial" w:hAnsi="Arial"/>
                <w:i/>
                <w:color w:val="0000FF"/>
              </w:rPr>
              <w:t xml:space="preserve"> </w:t>
            </w:r>
          </w:p>
        </w:tc>
        <w:tc>
          <w:tcPr>
            <w:tcW w:w="35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Podiel na základnom imaní</w:t>
            </w:r>
          </w:p>
        </w:tc>
        <w:tc>
          <w:tcPr>
            <w:tcW w:w="184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Výška hlasovacích práv</w:t>
            </w:r>
          </w:p>
        </w:tc>
      </w:tr>
      <w:tr>
        <w:trPr>
          <w:trHeight w:val="232" w:hRule="atLeast"/>
          <w:cantSplit w:val="true"/>
        </w:trPr>
        <w:tc>
          <w:tcPr>
            <w:tcW w:w="354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v absolútnej výške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v percentuálnej výške</w:t>
            </w:r>
          </w:p>
        </w:tc>
        <w:tc>
          <w:tcPr>
            <w:tcW w:w="1845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603" w:hRule="atLeast"/>
        </w:trPr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Hlavika"/>
              <w:tabs>
                <w:tab w:val="clear" w:pos="4536"/>
                <w:tab w:val="clear" w:pos="9072"/>
              </w:tabs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  <w:p>
            <w:pPr>
              <w:pStyle w:val="Hlavika"/>
              <w:tabs>
                <w:tab w:val="clear" w:pos="4536"/>
                <w:tab w:val="clear" w:pos="9072"/>
              </w:tabs>
              <w:jc w:val="lef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</w:rPr>
              <w:t>Robert Čabai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5 000</w:t>
            </w:r>
          </w:p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100 %</w:t>
            </w:r>
          </w:p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100%</w:t>
            </w:r>
          </w:p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/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5 000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100 %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100 %</w:t>
            </w:r>
          </w:p>
        </w:tc>
      </w:tr>
    </w:tbl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9"/>
        </w:numPr>
        <w:rPr>
          <w:rFonts w:ascii="Arial" w:hAnsi="Arial" w:cs="Arial"/>
        </w:rPr>
      </w:pPr>
      <w:r>
        <w:rPr>
          <w:rFonts w:cs="Arial" w:ascii="Arial" w:hAnsi="Arial"/>
        </w:rPr>
        <w:t>DCÉRSKE PODNIKY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ind w:left="360" w:hanging="0"/>
        <w:rPr>
          <w:rFonts w:ascii="Arial" w:hAnsi="Arial" w:cs="Arial"/>
        </w:rPr>
      </w:pPr>
      <w:r>
        <w:rPr>
          <w:rFonts w:cs="Arial" w:ascii="Arial" w:hAnsi="Arial"/>
        </w:rPr>
        <w:t>Netýka sa</w:t>
      </w:r>
    </w:p>
    <w:p>
      <w:pPr>
        <w:pStyle w:val="Normal"/>
        <w:ind w:left="36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ind w:left="360" w:hanging="0"/>
        <w:rPr>
          <w:rFonts w:ascii="Arial" w:hAnsi="Arial" w:cs="Arial"/>
          <w:color w:val="800000"/>
        </w:rPr>
      </w:pPr>
      <w:r>
        <w:rPr>
          <w:rFonts w:cs="Arial" w:ascii="Arial" w:hAnsi="Arial"/>
          <w:color w:val="800000"/>
        </w:rPr>
        <w:t xml:space="preserve"> </w:t>
      </w:r>
    </w:p>
    <w:p>
      <w:pPr>
        <w:pStyle w:val="Normal"/>
        <w:numPr>
          <w:ilvl w:val="0"/>
          <w:numId w:val="19"/>
        </w:numPr>
        <w:rPr>
          <w:rFonts w:ascii="Arial" w:hAnsi="Arial" w:cs="Arial"/>
        </w:rPr>
      </w:pPr>
      <w:r>
        <w:rPr>
          <w:rFonts w:cs="Arial" w:ascii="Arial" w:hAnsi="Arial"/>
        </w:rPr>
        <w:t>POČET PRACOVNÍKOV</w:t>
      </w:r>
    </w:p>
    <w:p>
      <w:pPr>
        <w:pStyle w:val="Normal"/>
        <w:ind w:left="36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rPr/>
      </w:pPr>
      <w:r>
        <w:rPr>
          <w:rFonts w:cs="Arial" w:ascii="Arial" w:hAnsi="Arial"/>
          <w:sz w:val="20"/>
        </w:rPr>
        <w:t xml:space="preserve">Počet zamestnancov spoločnosti ku dňu, ku ktorému sa účtovná závierka zostavuje je </w:t>
      </w:r>
      <w:r>
        <w:rPr>
          <w:rFonts w:cs="Arial" w:ascii="Arial" w:hAnsi="Arial"/>
          <w:sz w:val="20"/>
        </w:rPr>
        <w:t>2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9"/>
        </w:numPr>
        <w:rPr>
          <w:rFonts w:ascii="Arial" w:hAnsi="Arial" w:cs="Arial"/>
        </w:rPr>
      </w:pPr>
      <w:r>
        <w:rPr>
          <w:rFonts w:cs="Arial" w:ascii="Arial" w:hAnsi="Arial"/>
        </w:rPr>
        <w:t>DÔVOD ZOSTAVENIA ÚČTOVNEJ ZÁVIERKY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Spoločnosť zostavuje túto účtovnú závierku podľa § 17 Zákona 431/2002 Z.z. o účtovníctve v znení neskorších predpisov ako riadnu účtovnú závierku k poslednému dňu účtovného obdobia. Účtovná závierka spoločnosti bola zostavená za predpokladu nepretržitého trvania účtovnej jednotky.</w:t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19"/>
        </w:numPr>
        <w:rPr>
          <w:rFonts w:ascii="Arial" w:hAnsi="Arial" w:cs="Arial"/>
        </w:rPr>
      </w:pPr>
      <w:r>
        <w:rPr>
          <w:rFonts w:cs="Arial" w:ascii="Arial" w:hAnsi="Arial"/>
        </w:rPr>
        <w:t>DÁTUM SCHVÁLENIA ÚČTOVNEJ ZÁVIERKY ZA PREDCHÁDZAJÚCE ÚČTOVNÉ OBDOBIE</w:t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Telotextu"/>
        <w:spacing w:lineRule="auto" w:line="360"/>
        <w:rPr>
          <w:rFonts w:ascii="Arial" w:hAnsi="Arial" w:cs="Arial"/>
          <w:color w:val="0000FF"/>
          <w:sz w:val="20"/>
        </w:rPr>
      </w:pPr>
      <w:r>
        <w:rPr>
          <w:rFonts w:cs="Arial" w:ascii="Arial" w:hAnsi="Arial"/>
          <w:sz w:val="20"/>
        </w:rPr>
        <w:t>Účtovná závierka zostavená za predchádzajúce účtovné obdobie bola schválená Valným zhromaždením v súlade s Obchodným zákonníkom</w:t>
      </w:r>
      <w:r>
        <w:rPr>
          <w:rFonts w:cs="Arial" w:ascii="Arial" w:hAnsi="Arial"/>
          <w:color w:val="0000FF"/>
          <w:sz w:val="20"/>
        </w:rPr>
        <w:t>.</w:t>
      </w:r>
    </w:p>
    <w:p>
      <w:pPr>
        <w:pStyle w:val="Telotextu"/>
        <w:spacing w:lineRule="auto" w:line="360"/>
        <w:rPr>
          <w:rFonts w:ascii="Arial" w:hAnsi="Arial" w:cs="Arial"/>
          <w:i/>
          <w:i/>
          <w:color w:val="0000FF"/>
          <w:sz w:val="20"/>
        </w:rPr>
      </w:pPr>
      <w:r>
        <w:rPr>
          <w:rFonts w:cs="Arial" w:ascii="Arial" w:hAnsi="Arial"/>
          <w:i/>
          <w:color w:val="0000FF"/>
          <w:sz w:val="20"/>
        </w:rPr>
      </w:r>
    </w:p>
    <w:p>
      <w:pPr>
        <w:pStyle w:val="Telotextu"/>
        <w:spacing w:lineRule="auto" w:line="360"/>
        <w:rPr>
          <w:rFonts w:ascii="Arial" w:hAnsi="Arial" w:cs="Arial"/>
          <w:i/>
          <w:i/>
          <w:color w:val="0000FF"/>
          <w:sz w:val="20"/>
        </w:rPr>
      </w:pPr>
      <w:r>
        <w:rPr>
          <w:rFonts w:cs="Arial" w:ascii="Arial" w:hAnsi="Arial"/>
          <w:i/>
          <w:color w:val="0000FF"/>
          <w:sz w:val="20"/>
        </w:rPr>
      </w:r>
    </w:p>
    <w:p>
      <w:pPr>
        <w:pStyle w:val="Normal"/>
        <w:spacing w:lineRule="auto" w:line="360"/>
        <w:rPr>
          <w:rFonts w:ascii="Arial" w:hAnsi="Arial" w:cs="Arial"/>
          <w:b/>
          <w:b/>
          <w:i/>
          <w:i/>
          <w:sz w:val="24"/>
          <w:u w:val="single"/>
        </w:rPr>
      </w:pPr>
      <w:r>
        <w:rPr>
          <w:rFonts w:cs="Arial" w:ascii="Arial" w:hAnsi="Arial"/>
          <w:b/>
          <w:i/>
          <w:sz w:val="24"/>
          <w:u w:val="single"/>
        </w:rPr>
        <w:t>Čl.II. Účtovné metódy a zásady:</w:t>
      </w:r>
    </w:p>
    <w:p>
      <w:pPr>
        <w:pStyle w:val="Normal"/>
        <w:rPr>
          <w:rFonts w:ascii="Arial" w:hAnsi="Arial" w:cs="Arial"/>
          <w:i/>
          <w:i/>
          <w:u w:val="single"/>
        </w:rPr>
      </w:pPr>
      <w:r>
        <w:rPr>
          <w:rFonts w:cs="Arial" w:ascii="Arial" w:hAnsi="Arial"/>
          <w:i/>
          <w:u w:val="single"/>
        </w:rPr>
      </w:r>
    </w:p>
    <w:p>
      <w:pPr>
        <w:pStyle w:val="Normal"/>
        <w:rPr>
          <w:rFonts w:ascii="Arial" w:hAnsi="Arial" w:cs="Arial"/>
          <w:i/>
          <w:i/>
          <w:u w:val="single"/>
        </w:rPr>
      </w:pPr>
      <w:r>
        <w:rPr>
          <w:rFonts w:cs="Arial" w:ascii="Arial" w:hAnsi="Arial"/>
          <w:i/>
          <w:u w:val="single"/>
        </w:rPr>
      </w:r>
    </w:p>
    <w:p>
      <w:pPr>
        <w:pStyle w:val="Normal"/>
        <w:rPr>
          <w:rFonts w:ascii="Arial" w:hAnsi="Arial" w:cs="Arial"/>
          <w:i/>
          <w:i/>
        </w:rPr>
      </w:pPr>
      <w:r>
        <w:rPr>
          <w:rFonts w:cs="Arial" w:ascii="Arial" w:hAnsi="Arial"/>
          <w:i/>
        </w:rPr>
        <w:t>ZÁSADY A METÓDY PRE VYPRACOVANIE ÚČTOVNEJ ZÁVIERKY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/>
      </w:pPr>
      <w:r>
        <w:rPr>
          <w:rFonts w:cs="Arial" w:ascii="Arial" w:hAnsi="Arial"/>
        </w:rPr>
        <w:t>Účtovná závierka spoločnosti pozostávajúca zo súvahy, výkazu ziskov a strát a poznámok k účtovnej závierke k 31.12.201</w:t>
      </w:r>
      <w:r>
        <w:rPr>
          <w:rFonts w:cs="Arial" w:ascii="Arial" w:hAnsi="Arial"/>
        </w:rPr>
        <w:t>9</w:t>
      </w:r>
      <w:r>
        <w:rPr>
          <w:rFonts w:cs="Arial" w:ascii="Arial" w:hAnsi="Arial"/>
        </w:rPr>
        <w:t xml:space="preserve"> bola pripravená v súlade s účtovnými predpismi platnými v Slovenskej republike a údaje v účtovnej závierke správne a verne zobrazujú stav majetku a záväzkov, vlastné imanie predstavujúce súhrn vlastných zdrojov krytia majetku, finančnú situáciu a hospodársky výsledok.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Všeobecné zásady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"/>
        </w:numPr>
        <w:rPr>
          <w:rFonts w:ascii="Arial" w:hAnsi="Arial" w:cs="Arial"/>
        </w:rPr>
      </w:pPr>
      <w:r>
        <w:rPr>
          <w:rFonts w:cs="Arial" w:ascii="Arial" w:hAnsi="Arial"/>
        </w:rPr>
        <w:t>Pri účtovaní o výsledku hospodárenia účtovnej jednotky spoločnosť berie za základ všetky náklady a výnosy, ktoré sa vzťahujú na účtovné obdobie bez ohľadu na dátum ich platenia.</w:t>
      </w:r>
    </w:p>
    <w:p>
      <w:pPr>
        <w:pStyle w:val="Normal"/>
        <w:numPr>
          <w:ilvl w:val="0"/>
          <w:numId w:val="1"/>
        </w:numPr>
        <w:rPr>
          <w:rFonts w:ascii="Arial" w:hAnsi="Arial" w:cs="Arial"/>
        </w:rPr>
      </w:pPr>
      <w:r>
        <w:rPr>
          <w:rFonts w:cs="Arial" w:ascii="Arial" w:hAnsi="Arial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>
      <w:pPr>
        <w:pStyle w:val="Normal"/>
        <w:numPr>
          <w:ilvl w:val="0"/>
          <w:numId w:val="1"/>
        </w:numPr>
        <w:rPr>
          <w:rFonts w:ascii="Arial" w:hAnsi="Arial" w:cs="Arial"/>
        </w:rPr>
      </w:pPr>
      <w:r>
        <w:rPr>
          <w:rFonts w:cs="Arial" w:ascii="Arial" w:hAnsi="Arial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>
      <w:pPr>
        <w:pStyle w:val="Normal"/>
        <w:numPr>
          <w:ilvl w:val="0"/>
          <w:numId w:val="1"/>
        </w:numPr>
        <w:rPr>
          <w:rFonts w:ascii="Arial" w:hAnsi="Arial" w:cs="Arial"/>
        </w:rPr>
      </w:pPr>
      <w:r>
        <w:rPr>
          <w:rFonts w:cs="Arial" w:ascii="Arial" w:hAnsi="Arial"/>
        </w:rPr>
        <w:t xml:space="preserve">Spoločnosť účtuje o skutočnostiach, ktoré sú predmetom účtovníctva do obdobia, s ktorým tieto skutočnosti časovo a vecne súvisia, ak túto zásadu nemožno dodržať, môže účtovať aj v účtovnom období, v ktorom uvedené skutočnosti zistila. </w:t>
      </w:r>
    </w:p>
    <w:p>
      <w:pPr>
        <w:pStyle w:val="Normal"/>
        <w:numPr>
          <w:ilvl w:val="0"/>
          <w:numId w:val="1"/>
        </w:numPr>
        <w:rPr>
          <w:rFonts w:ascii="Arial" w:hAnsi="Arial" w:cs="Arial"/>
        </w:rPr>
      </w:pPr>
      <w:r>
        <w:rPr>
          <w:rFonts w:cs="Arial" w:ascii="Arial" w:hAnsi="Arial"/>
        </w:rPr>
        <w:t>Majetok a záväzky sú vykazované v historických cenách, ak nie je v článku II. bode 1. (Spôsob ocenenia jednotlivých položiek) uvedené inak.</w:t>
      </w:r>
    </w:p>
    <w:p>
      <w:pPr>
        <w:pStyle w:val="Normal"/>
        <w:numPr>
          <w:ilvl w:val="0"/>
          <w:numId w:val="1"/>
        </w:numPr>
        <w:rPr>
          <w:rFonts w:ascii="Arial" w:hAnsi="Arial" w:cs="Arial"/>
        </w:rPr>
      </w:pPr>
      <w:r>
        <w:rPr>
          <w:rFonts w:cs="Arial" w:ascii="Arial" w:hAnsi="Arial"/>
        </w:rPr>
        <w:t>Spoločnosť vykonala ku dňu účtovnej závierky inventarizáciu majetku a záväzkov v súlade so zákonom o účtovníctve.</w:t>
      </w:r>
    </w:p>
    <w:p>
      <w:pPr>
        <w:pStyle w:val="Normal"/>
        <w:numPr>
          <w:ilvl w:val="0"/>
          <w:numId w:val="1"/>
        </w:numPr>
        <w:rPr>
          <w:rFonts w:ascii="Arial" w:hAnsi="Arial" w:cs="Arial"/>
        </w:rPr>
      </w:pPr>
      <w:r>
        <w:rPr>
          <w:rFonts w:cs="Arial" w:ascii="Arial" w:hAnsi="Arial"/>
        </w:rPr>
        <w:t xml:space="preserve">Zostatky účtov, ktoré obsahuje súvaha, a ktorými sa účtovné obdobie začína, nadväzuje na zostatky účtov, ktorými sa predchádzajúce účtovné obdobie uzavrelo. </w:t>
      </w:r>
    </w:p>
    <w:p>
      <w:pPr>
        <w:pStyle w:val="Normal"/>
        <w:numPr>
          <w:ilvl w:val="0"/>
          <w:numId w:val="1"/>
        </w:numPr>
        <w:rPr>
          <w:rFonts w:ascii="Arial" w:hAnsi="Arial" w:cs="Arial"/>
        </w:rPr>
      </w:pPr>
      <w:r>
        <w:rPr>
          <w:rFonts w:cs="Arial" w:ascii="Arial" w:hAnsi="Arial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6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SPÔSOB OCENENIA JEDNOTLIVÝCH POLOŽIEK</w:t>
      </w:r>
    </w:p>
    <w:p>
      <w:pPr>
        <w:pStyle w:val="Normal"/>
        <w:rPr>
          <w:rFonts w:ascii="Arial" w:hAnsi="Arial" w:cs="Arial"/>
          <w:i/>
          <w:i/>
        </w:rPr>
      </w:pPr>
      <w:r>
        <w:rPr>
          <w:rFonts w:cs="Arial" w:ascii="Arial" w:hAnsi="Arial"/>
          <w:i/>
        </w:rPr>
      </w:r>
    </w:p>
    <w:p>
      <w:pPr>
        <w:pStyle w:val="Normal"/>
        <w:rPr>
          <w:rFonts w:ascii="Arial" w:hAnsi="Arial" w:cs="Arial"/>
          <w:i/>
          <w:i/>
        </w:rPr>
      </w:pPr>
      <w:r>
        <w:rPr>
          <w:rFonts w:cs="Arial" w:ascii="Arial" w:hAnsi="Arial"/>
          <w:i/>
        </w:rPr>
      </w:r>
    </w:p>
    <w:p>
      <w:pPr>
        <w:pStyle w:val="Normal"/>
        <w:rPr>
          <w:rFonts w:ascii="Arial" w:hAnsi="Arial" w:cs="Arial"/>
          <w:i/>
          <w:i/>
        </w:rPr>
      </w:pPr>
      <w:r>
        <w:rPr>
          <w:rFonts w:cs="Arial" w:ascii="Arial" w:hAnsi="Arial"/>
          <w:i/>
        </w:rPr>
      </w:r>
    </w:p>
    <w:p>
      <w:pPr>
        <w:pStyle w:val="Normal"/>
        <w:numPr>
          <w:ilvl w:val="0"/>
          <w:numId w:val="11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Dlhodobý nehmotný majetok obstaraný kúpou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Dlhodobý nehmotný majetok obstaraný kúpou bol v účtovníctve ocenený v obstarávacej cene.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Drobný dlhodobý nehmotný majetok do výšky 2 400</w:t>
      </w:r>
      <w:r>
        <w:rPr>
          <w:rFonts w:cs="Arial" w:ascii="Arial" w:hAnsi="Arial"/>
          <w:color w:val="FF0000"/>
        </w:rPr>
        <w:t xml:space="preserve"> </w:t>
      </w:r>
      <w:r>
        <w:rPr>
          <w:rFonts w:cs="Arial" w:ascii="Arial" w:hAnsi="Arial"/>
          <w:bCs/>
        </w:rPr>
        <w:t>€/ks</w:t>
      </w:r>
      <w:r>
        <w:rPr>
          <w:rFonts w:cs="Arial" w:ascii="Arial" w:hAnsi="Arial"/>
        </w:rPr>
        <w:t xml:space="preserve"> je jednorázovo odpísaný do nákladov spoločnosti v roku jeho obstarania.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neobstarala dlhodobý nehmotný majetok kúpou.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1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Dlhodobý nehmotný majetok obstaraný vlastnou činnosťou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nevytvára v súčasnosti dlhodobý nehmotný</w:t>
      </w:r>
      <w:r>
        <w:rPr>
          <w:rFonts w:cs="Arial" w:ascii="Arial" w:hAnsi="Arial"/>
          <w:b/>
        </w:rPr>
        <w:t xml:space="preserve"> </w:t>
      </w:r>
      <w:r>
        <w:rPr>
          <w:rFonts w:cs="Arial" w:ascii="Arial" w:hAnsi="Arial"/>
        </w:rPr>
        <w:t>majetok vlastnou činnosťou.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1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Dlhodobý nehmotný majetok obstaraný iným spôsobom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neeviduje dlhodobý nehmotný</w:t>
      </w:r>
      <w:r>
        <w:rPr>
          <w:rFonts w:cs="Arial" w:ascii="Arial" w:hAnsi="Arial"/>
          <w:b/>
        </w:rPr>
        <w:t xml:space="preserve"> </w:t>
      </w:r>
      <w:r>
        <w:rPr>
          <w:rFonts w:cs="Arial" w:ascii="Arial" w:hAnsi="Arial"/>
        </w:rPr>
        <w:t>majetok obstaraný iným spôsobom.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ind w:firstLine="45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1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Dlhodobý hmotný majetok obstaraný kúpou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Dlhodobý hmotný majetok je v účtovníctve ocenený v obstarávacej cene. Obstarávacia cena obsahuje cenu obstarania majetku a náklady súvisiace s obstaraním, ako napríklad náklady na dopravu, poštovné, clo, províziu. 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Náklady na rozšírenie, modernizáciu a rekonštrukciu, vedúce k zvýšeniu výkonnosti, kapacity alebo účinnosti v úhrnnej hodnote viac ako 1 700</w:t>
      </w:r>
      <w:r>
        <w:rPr>
          <w:rFonts w:cs="Arial" w:ascii="Arial" w:hAnsi="Arial"/>
          <w:color w:val="FF0000"/>
        </w:rPr>
        <w:t xml:space="preserve"> </w:t>
      </w:r>
      <w:r>
        <w:rPr>
          <w:rFonts w:cs="Arial" w:ascii="Arial" w:hAnsi="Arial"/>
          <w:b/>
          <w:bCs/>
        </w:rPr>
        <w:t>€</w:t>
      </w:r>
      <w:r>
        <w:rPr>
          <w:rFonts w:cs="Arial" w:ascii="Arial" w:hAnsi="Arial"/>
        </w:rPr>
        <w:t xml:space="preserve"> pri jednotlivom majetku za bežné účtovné obdobie, zvyšujú obstarávaciu cenu dlhodobého hmotného majetku. Náklady na technické zhodnotenie v úhrnnej hodnote 1 700</w:t>
      </w:r>
      <w:r>
        <w:rPr>
          <w:rFonts w:cs="Arial" w:ascii="Arial" w:hAnsi="Arial"/>
          <w:color w:val="FF0000"/>
        </w:rPr>
        <w:t xml:space="preserve"> </w:t>
      </w:r>
      <w:r>
        <w:rPr>
          <w:rFonts w:cs="Arial" w:ascii="Arial" w:hAnsi="Arial"/>
          <w:b/>
          <w:bCs/>
        </w:rPr>
        <w:t>€</w:t>
      </w:r>
      <w:r>
        <w:rPr>
          <w:rFonts w:cs="Arial" w:ascii="Arial" w:hAnsi="Arial"/>
        </w:rPr>
        <w:t xml:space="preserve"> a menej  pri jednotlivom majetku za bežné účtovné obdobie a náklady na prevádzku, údržbu a opravy sa účtujú do nákladov bežného účtovného obdobia.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Dlhodobý hmotný majetok do výšky 1 700</w:t>
      </w:r>
      <w:r>
        <w:rPr>
          <w:rFonts w:cs="Arial" w:ascii="Arial" w:hAnsi="Arial"/>
          <w:color w:val="FF0000"/>
        </w:rPr>
        <w:t xml:space="preserve"> </w:t>
      </w:r>
      <w:r>
        <w:rPr>
          <w:rFonts w:cs="Arial" w:ascii="Arial" w:hAnsi="Arial"/>
          <w:b/>
          <w:bCs/>
        </w:rPr>
        <w:t>€</w:t>
      </w:r>
      <w:r>
        <w:rPr>
          <w:rFonts w:cs="Arial" w:ascii="Arial" w:hAnsi="Arial"/>
        </w:rPr>
        <w:t xml:space="preserve"> /ks je jednorázovo odpísaný do nákladov spoločnosti v roku jeho obstarania.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  <w:t>Spoločnosť neobstarala  v účtovnom období  dlhodobý nehmotný majetok kúpou.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Dlhodobý hmotný majetok obstaraný vlastnou činnosťou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nevytvára dlhodobý hmotný majetok vlastnou činnosťou.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Dlhodobý hmotný majetok obstaraný iným spôsobom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neeviduje dlhodobý hmotný</w:t>
      </w:r>
      <w:r>
        <w:rPr>
          <w:rFonts w:cs="Arial" w:ascii="Arial" w:hAnsi="Arial"/>
          <w:b/>
        </w:rPr>
        <w:t xml:space="preserve"> </w:t>
      </w:r>
      <w:r>
        <w:rPr>
          <w:rFonts w:cs="Arial" w:ascii="Arial" w:hAnsi="Arial"/>
        </w:rPr>
        <w:t>majetok obstaraný iným spôsobom.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 xml:space="preserve">Dlhodobý finančný majetok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Finančný majetok je klasifikovaný ako dlhodobý finančný majetok, ak je jeho doba splatnosti alebo vyrovnania iným spôsobom dlhšia ako 1 rok. Dlhodobý finančný majetok, ktorý predstavuje podiel na základnom imaní vo výške viac než 50 %, je klasifikovaný ako podielové cenné papiere a podiely v ovládanej osobe, pokiaľ ide o podiel väčší ako 20 % ako podielové cenné papiere a podiely v spoločnosti s podstatným vplyvom. Ostatné podielové cenné papiere a podiely a dlhové cenné papiere, ktoré nie sú cennými papiermi držanými do splatnosti, sú klasifikované ako realizovateľné cenné papiere a podiely. </w:t>
      </w:r>
    </w:p>
    <w:p>
      <w:pPr>
        <w:pStyle w:val="Normal"/>
        <w:rPr>
          <w:rFonts w:ascii="Arial" w:hAnsi="Arial" w:cs="Arial"/>
          <w:color w:val="0000FF"/>
        </w:rPr>
      </w:pPr>
      <w:r>
        <w:rPr>
          <w:rFonts w:cs="Arial" w:ascii="Arial" w:hAnsi="Arial"/>
          <w:color w:val="0000FF"/>
        </w:rPr>
      </w:r>
    </w:p>
    <w:p>
      <w:pPr>
        <w:pStyle w:val="Normal"/>
        <w:rPr>
          <w:rFonts w:ascii="Arial" w:hAnsi="Arial" w:cs="Arial"/>
          <w:color w:val="0000FF"/>
        </w:rPr>
      </w:pPr>
      <w:r>
        <w:rPr>
          <w:rFonts w:cs="Arial" w:ascii="Arial" w:hAnsi="Arial"/>
        </w:rPr>
        <w:t xml:space="preserve">Dlhodobý finančný majetok je evidovaný v obstarávacej cene. Obstarávacia cena obsahuje cenu obstarania majetku a náklady súvisiace s obstaraním. 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Zásoby obstarané kúpou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Zásoby spoločnosti sú ocenené obstarávacími cenami, ktorých súčasťou je cena obstarania a náklady súvisiace s obstaraním. Náklady súvisiace s obstaraním predstavovali prepravné, clo, balné, a pod.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sz w:val="20"/>
        </w:rPr>
        <w:t>Spoločnosť účtuje o obstaraní a úbytku zásob podľa spôsobu B.</w:t>
      </w:r>
      <w:r>
        <w:rPr>
          <w:rFonts w:cs="Arial" w:ascii="Arial" w:hAnsi="Arial"/>
          <w:b/>
          <w:sz w:val="20"/>
        </w:rPr>
        <w:t xml:space="preserve">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Účtovná jednotka </w:t>
      </w:r>
      <w:r>
        <w:rPr>
          <w:rFonts w:cs="Arial" w:ascii="Arial" w:hAnsi="Arial"/>
          <w:color w:val="000000"/>
        </w:rPr>
        <w:t>nemá</w:t>
      </w:r>
      <w:r>
        <w:rPr>
          <w:rFonts w:cs="Arial" w:ascii="Arial" w:hAnsi="Arial"/>
        </w:rPr>
        <w:t xml:space="preserve"> určené predpisom pre účtovné obdobie normy prirodzených úbytkov zásob.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V priebehu účtovného obdobia spoločnosť neúčtovala o zásobách.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Zásoby vytvorené vlastnou činnosťou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nevytvára zásoby vlastnou činnosťou.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Zásoby obstarané iným spôsobom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Spoločnosť neeviduje zásoby obstarané iným spôsobom.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Zákazková výroba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neúčtuje o zákazkovej výrobe.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 xml:space="preserve"> </w:t>
      </w:r>
      <w:r>
        <w:rPr>
          <w:rFonts w:cs="Arial" w:ascii="Arial" w:hAnsi="Arial"/>
          <w:b/>
        </w:rPr>
        <w:t>Pohľadávky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Pohľadávky sú v účtovníctve ocenené ich menovitou hodnotou. V prípade pochybných a sporných pohľadávok spoločnosť vytvára adekvátnu</w:t>
      </w:r>
      <w:r>
        <w:rPr>
          <w:rFonts w:cs="Arial" w:ascii="Arial" w:hAnsi="Arial"/>
          <w:b/>
        </w:rPr>
        <w:t xml:space="preserve"> </w:t>
      </w:r>
      <w:r>
        <w:rPr>
          <w:rFonts w:cs="Arial" w:ascii="Arial" w:hAnsi="Arial"/>
        </w:rPr>
        <w:t>opravnú položku k pohľadávkam.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Pri dlhodobých pohľadávkach je opravnou položkou upravená hodnota pohľadávky na jej hodnotu v čase účtovania a vykazovania (súčasná hodnota).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Krátkodobý finančný majetok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Peňažné prostriedky a ceniny sú ocenené v ich menovitej hodnote. 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Časové rozlíšenie na strane aktív súvahy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Rezervy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  <w:color w:val="FF0000"/>
        </w:rPr>
      </w:pPr>
      <w:r>
        <w:rPr>
          <w:rFonts w:cs="Arial" w:ascii="Arial" w:hAnsi="Arial"/>
        </w:rPr>
        <w:t xml:space="preserve">Spoločnosť netvorila rezervy (§26 Zákona 431/2002 Z.z. o účtovníctve) na predpokladané riziká, straty a zníženia hodnoty súvisiace so záväzkami s neurčitým časovým vymedzením alebo výškou. 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Záväzky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Záväzky (vrátanie úverov a výpomocí) sú ocenené v ich menovitej hodnote. Ak sa pri inventarizácií záväzkov zistí, že suma záväzkov je iná ako ich výška v účtovníctve, uvedú sa záväzky v účtovníctve aj v účtovnom závierke v tomto zistenom ocenení.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Časové rozlíšenie na strane pasív súvahy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</w:t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Deriváty, majetok a záväzky zabezpečené derivátmi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neúčtovala v priebehu účtovného obdobia o derivátoch a tiež nemá derivátmi zabezpečený majetok alebo záväzky.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Prenajatý majetok a majetok obstaraný na základe zmluvy o kúpe prenajatej veci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/>
      </w:pPr>
      <w:r>
        <w:rPr>
          <w:rFonts w:cs="Arial" w:ascii="Arial" w:hAnsi="Arial"/>
        </w:rPr>
        <w:t xml:space="preserve">Spoločnosť neúčtovala v priebehu účtovného obdobia o prenajatom majetku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Daň z príjmov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Splatná daň z príjmov sa vypočíta zo základu dane z príjmov a sadzby ustanovenej Zákonom o daniach z príjmov.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12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Spôsob ocenenia majetku nadobudnutého privatizáciou alebo kúpou cez FNM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nenadobudla majetok privatizáciou ani kúpou cez FNM.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5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PLÁN ODPISOVANIA DLHODOBÉHO MAJETKU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Spoločnosť má zostavený odpisový plán ako podklad pre vyčíslenie oprávok odpisovaného majetku v priebehu jeho používania. Účtovné odpisy sú vypočítané z ceny, v ktorom je majetok ocenený v účtovníctve, a to do jej výšky. 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odpisuje dlhodobý nehmotný majetok metódou rovnomerného odpisovania na základe odpisových sadzieb odvodených od ekonomickej doby životnosti majetku, a to maximálne po dobu 5 rokov. Daňové odpisy dlhodobého nehmotného majetku sú v zmysle zákona č. 595/2003 Z.z. o daniach z príjmov rovnaké ako účtovné odpisy.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Dlhodobý hmotný majetok spoločnosť odpisuje metódou rovnomerného odpisovania po dobu stanovenej životnosti odpisovaného majetku. Sadzby a doby odpisovania sú zhodné so sadzbami a dobami pre daňové účely. 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Pre daňové účely spoločnosť odpisuje svoj dlhodobý hmotný majetok v zmysle § 22 – 29 zákona č. 595/2003 Z.z. o daniach z príjmov. Vplyvom prijatia nového zákona o daniach z príjmov boli zmenené doby odpisovania majetku nasledovne: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6096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700"/>
        <w:gridCol w:w="1560"/>
        <w:gridCol w:w="1274"/>
        <w:gridCol w:w="1561"/>
      </w:tblGrid>
      <w:tr>
        <w:trPr>
          <w:cantSplit w:val="true"/>
        </w:trPr>
        <w:tc>
          <w:tcPr>
            <w:tcW w:w="1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Odpisová skupina</w:t>
            </w:r>
          </w:p>
        </w:tc>
        <w:tc>
          <w:tcPr>
            <w:tcW w:w="439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Doba odpisovania (v rokoch)</w:t>
            </w:r>
          </w:p>
        </w:tc>
      </w:tr>
      <w:tr>
        <w:trPr>
          <w:cantSplit w:val="true"/>
        </w:trPr>
        <w:tc>
          <w:tcPr>
            <w:tcW w:w="170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do 31.12.2003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od 1.1.2004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Od 1.1.2015</w:t>
            </w:r>
          </w:p>
        </w:tc>
      </w:tr>
      <w:tr>
        <w:trPr/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</w:t>
            </w:r>
          </w:p>
        </w:tc>
      </w:tr>
      <w:tr>
        <w:trPr/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6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6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6</w:t>
            </w:r>
          </w:p>
        </w:tc>
      </w:tr>
      <w:tr>
        <w:trPr/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12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12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8</w:t>
            </w:r>
          </w:p>
        </w:tc>
      </w:tr>
      <w:tr>
        <w:trPr/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12</w:t>
            </w:r>
          </w:p>
        </w:tc>
      </w:tr>
      <w:tr>
        <w:trPr/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zrušená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20</w:t>
            </w:r>
          </w:p>
        </w:tc>
      </w:tr>
      <w:tr>
        <w:trPr/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40</w:t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5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ZÁSADY PRE TVORBU OPRAVNÝCH POLOŽIEK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a) Zásady pre tvorbu opravných položiek k zásobám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netvorí opravnú položku k zásobám.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b) Zásady pre tvorbu opravných položiek k pohľadávkam</w:t>
      </w:r>
    </w:p>
    <w:p>
      <w:pPr>
        <w:pStyle w:val="Normal"/>
        <w:rPr>
          <w:rFonts w:ascii="Arial" w:hAnsi="Arial" w:cs="Arial"/>
          <w:i/>
          <w:i/>
        </w:rPr>
      </w:pPr>
      <w:r>
        <w:rPr>
          <w:rFonts w:cs="Arial" w:ascii="Arial" w:hAnsi="Arial"/>
          <w:i/>
        </w:rPr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Spoločnosť netvorí opravnú položku k pohľadávkam </w:t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5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PREPOČET ÚDAJOV V CUDZÍCH MENÁCH NA SLOVENSKÚ MENU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V účtovníctve sa majetok a záväzky vyjadrené v cudzej mene prepočítavajú na slovenskú menu kurzom určeným v kurzovom lístku Európskej centrálnej banky ECB ku dňu uskutočnenia účtovného prípadu.</w:t>
      </w:r>
    </w:p>
    <w:p>
      <w:pPr>
        <w:pStyle w:val="Normal"/>
        <w:rPr>
          <w:rFonts w:ascii="Arial" w:hAnsi="Arial" w:cs="Arial"/>
          <w:lang w:val="is-IS"/>
        </w:rPr>
      </w:pPr>
      <w:r>
        <w:rPr>
          <w:rFonts w:cs="Arial" w:ascii="Arial" w:hAnsi="Arial"/>
          <w:lang w:val="is-IS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  <w:lang w:val="is-IS"/>
        </w:rPr>
        <w:t xml:space="preserve">V účtovnej závierke sa majetok a záväzky vyjadrené v cudzej mene prepočítajú na slovenskú menu kurzom určeným v kurzovom lístku </w:t>
      </w:r>
      <w:r>
        <w:rPr>
          <w:rFonts w:cs="Arial" w:ascii="Arial" w:hAnsi="Arial"/>
        </w:rPr>
        <w:t xml:space="preserve">Európskej centrálnej banky </w:t>
      </w:r>
      <w:r>
        <w:rPr>
          <w:rFonts w:cs="Arial" w:ascii="Arial" w:hAnsi="Arial"/>
          <w:lang w:val="is-IS"/>
        </w:rPr>
        <w:t>ku</w:t>
      </w:r>
      <w:r>
        <w:rPr>
          <w:rFonts w:cs="Arial" w:ascii="Arial" w:hAnsi="Arial"/>
        </w:rPr>
        <w:t xml:space="preserve"> dňu jej zostavenia.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Kurzové rozdiely vzniknuté počas roka ako aj kurzové rozdiely vzniknuté pri prepočte majetku a záväzkov ku dňu zostavenia účtovnej závierky ovplyvňujú hospodársky výsledok bežného účtovného obdobia.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5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ZMENY SPÔSOBOV OCEŇOVANIA, ODPISOVANIA, POSTUPOV ÚČTOVANIA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Spoločnosť v priebehu účtovného obdobia nemenila spôsoby oceňovania, postupy odpisovania, postupy účtovania, usporiadanie položiek účtovnej závierky, obsahové vymedzenie týchto položiek a postupy na vykonanie účtovnej závierky, ak nie je uvedené inak.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  <w:b/>
          <w:b/>
          <w:i/>
          <w:i/>
          <w:sz w:val="24"/>
          <w:u w:val="single"/>
        </w:rPr>
      </w:pPr>
      <w:r>
        <w:rPr>
          <w:rFonts w:cs="Arial" w:ascii="Arial" w:hAnsi="Arial"/>
          <w:b/>
          <w:i/>
          <w:sz w:val="24"/>
          <w:u w:val="single"/>
        </w:rPr>
        <w:t>Čl.III. Doplňujúce informácie k súvahe a k výkazu ziskov a strát:</w:t>
      </w:r>
    </w:p>
    <w:p>
      <w:pPr>
        <w:pStyle w:val="Normal"/>
        <w:rPr>
          <w:rFonts w:ascii="Arial" w:hAnsi="Arial" w:cs="Arial"/>
          <w:b/>
          <w:b/>
          <w:i/>
          <w:i/>
          <w:u w:val="single"/>
        </w:rPr>
      </w:pPr>
      <w:r>
        <w:rPr>
          <w:rFonts w:cs="Arial" w:ascii="Arial" w:hAnsi="Arial"/>
          <w:b/>
          <w:i/>
          <w:u w:val="single"/>
        </w:rPr>
      </w:r>
    </w:p>
    <w:p>
      <w:pPr>
        <w:pStyle w:val="Normal"/>
        <w:numPr>
          <w:ilvl w:val="0"/>
          <w:numId w:val="17"/>
        </w:numPr>
        <w:shd w:val="pct37" w:color="000000" w:fill="FFFFFF"/>
        <w:rPr>
          <w:rFonts w:ascii="Arial" w:hAnsi="Arial" w:cs="Arial"/>
          <w:i/>
          <w:i/>
        </w:rPr>
      </w:pPr>
      <w:r>
        <w:rPr>
          <w:rFonts w:cs="Arial" w:ascii="Arial" w:hAnsi="Arial"/>
        </w:rPr>
        <w:t>DLHODOBÝ NEHMOTNÝ A HMOTNÝ MAJETOK (Súvaha)</w:t>
      </w:r>
    </w:p>
    <w:p>
      <w:pPr>
        <w:pStyle w:val="Normal"/>
        <w:numPr>
          <w:ilvl w:val="0"/>
          <w:numId w:val="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0"/>
        </w:numPr>
        <w:rPr/>
      </w:pPr>
      <w:r>
        <w:rPr>
          <w:rFonts w:cs="Arial" w:ascii="Arial" w:hAnsi="Arial"/>
        </w:rPr>
        <w:t>Pohyby dlhodobého nehmotného a hmotného majetku (DN a HM) za rok 201</w:t>
      </w:r>
      <w:r>
        <w:rPr>
          <w:rFonts w:cs="Arial" w:ascii="Arial" w:hAnsi="Arial"/>
        </w:rPr>
        <w:t>9</w:t>
      </w:r>
      <w:r>
        <w:rPr>
          <w:rFonts w:cs="Arial" w:ascii="Arial" w:hAnsi="Arial"/>
        </w:rPr>
        <w:t xml:space="preserve"> sú zhrnuté nasledovne:</w:t>
      </w:r>
    </w:p>
    <w:p>
      <w:pPr>
        <w:pStyle w:val="Normal"/>
        <w:numPr>
          <w:ilvl w:val="0"/>
          <w:numId w:val="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3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Pohyb obstarávacích cien</w:t>
      </w:r>
    </w:p>
    <w:p>
      <w:pPr>
        <w:pStyle w:val="Normal"/>
        <w:numPr>
          <w:ilvl w:val="0"/>
          <w:numId w:val="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9102" w:type="dxa"/>
        <w:jc w:val="left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000"/>
      </w:tblPr>
      <w:tblGrid>
        <w:gridCol w:w="4349"/>
        <w:gridCol w:w="1209"/>
        <w:gridCol w:w="849"/>
        <w:gridCol w:w="730"/>
        <w:gridCol w:w="900"/>
        <w:gridCol w:w="1064"/>
      </w:tblGrid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b/>
                <w:i/>
              </w:rPr>
              <w:t xml:space="preserve"> </w:t>
            </w:r>
            <w:r>
              <w:rPr>
                <w:rFonts w:cs="Arial" w:ascii="Arial" w:hAnsi="Arial"/>
                <w:b/>
                <w:i/>
              </w:rPr>
              <w:t>Obstarávacia cena DNaHM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Začiatočný zostatok </w:t>
            </w:r>
          </w:p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 01.01.201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Prírastky </w:t>
            </w:r>
          </w:p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+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Úbytky   -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Presuny +/-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</w:rPr>
              <w:t xml:space="preserve">Konečný zostatok  k </w:t>
            </w:r>
            <w:r>
              <w:rPr>
                <w:rFonts w:cs="Arial" w:ascii="Arial" w:hAnsi="Arial"/>
                <w:i/>
                <w:sz w:val="18"/>
                <w:szCs w:val="18"/>
              </w:rPr>
              <w:t>31.12.201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Softvér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Ostatný dlhodobý nehmotný majetok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Budovy, haly, stavby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Samostatné hnuteľné veci a súbory hnuteľ. vecí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- v tom: stroje, prístroje, zariadenia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center" w:pos="501" w:leader="none"/>
                <w:tab w:val="right" w:pos="1002" w:leader="none"/>
              </w:tabs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ab/>
              <w:tab/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- v tom: dopravné prostriedky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9 217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1 345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7 872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- v tom: inventár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doub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Pozemky</w:t>
            </w:r>
          </w:p>
        </w:tc>
        <w:tc>
          <w:tcPr>
            <w:tcW w:w="1209" w:type="dxa"/>
            <w:tcBorders>
              <w:top w:val="doub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doub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doub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doub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doub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Umelecké diela a 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Obstarávaný dlhodobý hmotný majetok 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97" w:hRule="atLeast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  <w:i/>
              </w:rPr>
              <w:t>Obstarávacia cena celkom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9 217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 xml:space="preserve">1 345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7 872</w:t>
            </w:r>
          </w:p>
        </w:tc>
      </w:tr>
    </w:tbl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3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 xml:space="preserve">Pohyb oprávok </w:t>
      </w:r>
    </w:p>
    <w:p>
      <w:pPr>
        <w:pStyle w:val="Normal"/>
        <w:tabs>
          <w:tab w:val="clear" w:pos="708"/>
          <w:tab w:val="left" w:pos="3007" w:leader="none"/>
          <w:tab w:val="left" w:pos="4141" w:leader="none"/>
          <w:tab w:val="left" w:pos="5133" w:leader="none"/>
          <w:tab w:val="left" w:pos="6126" w:leader="none"/>
          <w:tab w:val="left" w:pos="6976" w:leader="none"/>
          <w:tab w:val="left" w:pos="8110" w:leader="none"/>
        </w:tabs>
        <w:jc w:val="left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ab/>
      </w:r>
    </w:p>
    <w:tbl>
      <w:tblPr>
        <w:tblW w:w="9102" w:type="dxa"/>
        <w:jc w:val="left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000"/>
      </w:tblPr>
      <w:tblGrid>
        <w:gridCol w:w="4349"/>
        <w:gridCol w:w="1209"/>
        <w:gridCol w:w="849"/>
        <w:gridCol w:w="730"/>
        <w:gridCol w:w="900"/>
        <w:gridCol w:w="1064"/>
      </w:tblGrid>
      <w:tr>
        <w:trPr>
          <w:trHeight w:val="256" w:hRule="atLeast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  <w:i/>
              </w:rPr>
              <w:t xml:space="preserve"> </w:t>
            </w:r>
            <w:r>
              <w:rPr>
                <w:rFonts w:cs="Arial" w:ascii="Arial" w:hAnsi="Arial"/>
                <w:b/>
                <w:i/>
              </w:rPr>
              <w:t>Oprávky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Začiatočný zostatok </w:t>
            </w:r>
          </w:p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 1.1.201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Prírastky </w:t>
            </w:r>
          </w:p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+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Úbytky  -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Presuny +/-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</w:rPr>
              <w:t xml:space="preserve">Konečný zostatok  k </w:t>
            </w:r>
            <w:r>
              <w:rPr>
                <w:rFonts w:cs="Arial" w:ascii="Arial" w:hAnsi="Arial"/>
                <w:i/>
                <w:sz w:val="18"/>
                <w:szCs w:val="18"/>
              </w:rPr>
              <w:t>31.12.201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Softvér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Ostatný dlhodobý nehmotný majetok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Budovy, haly, stavby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Samostatné hnuteľné veci a súbory hnuteľ. vecí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- v tom: stroje, prístroje, zariadenia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- v tom: dopravné prostriedky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1 3</w:t>
            </w:r>
            <w:r>
              <w:rPr>
                <w:rFonts w:cs="Arial" w:ascii="Arial" w:hAnsi="Arial"/>
              </w:rPr>
              <w:t>45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1 345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- v tom: inventár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  <w:i/>
              </w:rPr>
              <w:t>Oprávky celkom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1 345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1 345</w:t>
            </w:r>
          </w:p>
        </w:tc>
      </w:tr>
    </w:tbl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3"/>
        <w:numPr>
          <w:ilvl w:val="0"/>
          <w:numId w:val="8"/>
        </w:numPr>
        <w:rPr>
          <w:rFonts w:ascii="Arial" w:hAnsi="Arial" w:cs="Arial"/>
        </w:rPr>
      </w:pPr>
      <w:r>
        <w:rPr>
          <w:rFonts w:cs="Arial" w:ascii="Arial" w:hAnsi="Arial"/>
        </w:rPr>
        <w:t xml:space="preserve">Čistá účtovná hodnota </w:t>
      </w:r>
    </w:p>
    <w:p>
      <w:pPr>
        <w:pStyle w:val="Normal"/>
        <w:numPr>
          <w:ilvl w:val="0"/>
          <w:numId w:val="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9120" w:type="dxa"/>
        <w:jc w:val="left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000"/>
      </w:tblPr>
      <w:tblGrid>
        <w:gridCol w:w="4349"/>
        <w:gridCol w:w="2520"/>
        <w:gridCol w:w="2251"/>
      </w:tblGrid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b/>
                <w:i/>
              </w:rPr>
              <w:t xml:space="preserve"> </w:t>
            </w:r>
            <w:r>
              <w:rPr>
                <w:rFonts w:cs="Arial" w:ascii="Arial" w:hAnsi="Arial"/>
                <w:b/>
                <w:i/>
              </w:rPr>
              <w:t>Čistá účtovná hodnota DNaHM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Začiatočný zostatok </w:t>
            </w:r>
          </w:p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 1.1.201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  <w:sz w:val="18"/>
                <w:szCs w:val="18"/>
              </w:rPr>
            </w:pPr>
            <w:r>
              <w:rPr>
                <w:rFonts w:cs="Arial" w:ascii="Arial" w:hAnsi="Arial"/>
                <w:i/>
                <w:sz w:val="18"/>
                <w:szCs w:val="18"/>
              </w:rPr>
              <w:t xml:space="preserve">Konečný zostatok </w:t>
            </w:r>
          </w:p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 xml:space="preserve">  </w:t>
            </w:r>
            <w:r>
              <w:rPr>
                <w:rFonts w:cs="Arial" w:ascii="Arial" w:hAnsi="Arial"/>
                <w:i/>
                <w:sz w:val="18"/>
                <w:szCs w:val="18"/>
              </w:rPr>
              <w:t>k 31.12.201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Softvér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Ostatný dlhodobý nehmotný majetok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Budovy, haly, stavby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Samostatné hnuteľné veci a súbory hnuteľ. vecí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- v tom: stroje, prístroje, zariadenia</w:t>
            </w:r>
          </w:p>
        </w:tc>
        <w:tc>
          <w:tcPr>
            <w:tcW w:w="252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2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- v tom: dopravné prostriedky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7872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- v tom: inventár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Pozemky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Umelecké diela a zbierky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Obstarávaný dlhodobý hmotný majetok 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  <w:i/>
              </w:rPr>
              <w:t>Čistá účtovná hodnota celkom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  <w:bCs/>
              </w:rPr>
              <w:t>7872</w:t>
            </w:r>
          </w:p>
        </w:tc>
      </w:tr>
    </w:tbl>
    <w:p>
      <w:pPr>
        <w:pStyle w:val="Nadpis3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3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3"/>
        <w:rPr>
          <w:rFonts w:ascii="Arial" w:hAnsi="Arial" w:cs="Arial"/>
        </w:rPr>
      </w:pPr>
      <w:r>
        <w:rPr>
          <w:rFonts w:cs="Arial" w:ascii="Arial" w:hAnsi="Arial"/>
        </w:rPr>
        <w:t>Spôsob a výška poistenia dlhodobého nehmotného a hmotného majetku</w:t>
      </w:r>
    </w:p>
    <w:p>
      <w:pPr>
        <w:pStyle w:val="Normal"/>
        <w:rPr/>
      </w:pPr>
      <w:r>
        <w:rPr/>
      </w:r>
    </w:p>
    <w:p>
      <w:pPr>
        <w:pStyle w:val="Normal"/>
        <w:ind w:left="360" w:hanging="0"/>
        <w:rPr>
          <w:rFonts w:ascii="Arial" w:hAnsi="Arial" w:cs="Arial"/>
        </w:rPr>
      </w:pPr>
      <w:r>
        <w:rPr>
          <w:rFonts w:cs="Arial" w:ascii="Arial" w:hAnsi="Arial"/>
        </w:rPr>
        <w:t>Netýka sa</w:t>
      </w:r>
    </w:p>
    <w:p>
      <w:pPr>
        <w:pStyle w:val="Normal"/>
        <w:ind w:left="36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ind w:left="36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3"/>
        <w:numPr>
          <w:ilvl w:val="0"/>
          <w:numId w:val="8"/>
        </w:numPr>
        <w:rPr>
          <w:rFonts w:ascii="Arial" w:hAnsi="Arial" w:cs="Arial"/>
        </w:rPr>
      </w:pPr>
      <w:r>
        <w:rPr>
          <w:rFonts w:cs="Arial" w:ascii="Arial" w:hAnsi="Arial"/>
        </w:rPr>
        <w:t>Dlhodobý nehmotný a hmotný majetok, na ktorý je zriadené záložné právo a dlhodobý majetok, pri ktorom má účtovná jednotka obmedzené právo s ním nakladať.</w:t>
      </w:r>
    </w:p>
    <w:p>
      <w:pPr>
        <w:pStyle w:val="BodyTextIndent3"/>
        <w:ind w:left="0" w:hanging="0"/>
        <w:rPr>
          <w:rFonts w:ascii="Arial" w:hAnsi="Arial" w:cs="Arial"/>
          <w:color w:val="auto"/>
        </w:rPr>
      </w:pPr>
      <w:r>
        <w:rPr>
          <w:rFonts w:cs="Arial" w:ascii="Arial" w:hAnsi="Arial"/>
          <w:color w:val="auto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Záložné právo nie je zriadené na žiaden dlhodobý nehmotný a hmotný majetok, ktorý je vo vlastníctve spoločnosti.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  <w:i/>
          <w:i/>
        </w:rPr>
      </w:pPr>
      <w:r>
        <w:rPr>
          <w:rFonts w:cs="Arial" w:ascii="Arial" w:hAnsi="Arial"/>
          <w:i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DLHODOBÝ FINANČNÝ MAJETOK (Súvaha)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  <w:t>Netýka sa</w:t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  <w:t xml:space="preserve"> </w:t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 xml:space="preserve">ÚDAJE O ZÁSOBÁCH (Súvaha) </w:t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  <w:bCs/>
        </w:rPr>
      </w:pPr>
      <w:r>
        <w:rPr>
          <w:rFonts w:cs="Arial" w:ascii="Arial" w:hAnsi="Arial"/>
          <w:bCs/>
        </w:rPr>
      </w:r>
    </w:p>
    <w:p>
      <w:pPr>
        <w:pStyle w:val="Normal"/>
        <w:rPr/>
      </w:pPr>
      <w:r>
        <w:rPr>
          <w:rFonts w:cs="Arial" w:ascii="Arial" w:hAnsi="Arial"/>
          <w:bCs/>
        </w:rPr>
        <w:t>Spoločnosť v roku 201</w:t>
      </w:r>
      <w:r>
        <w:rPr>
          <w:rFonts w:cs="Arial" w:ascii="Arial" w:hAnsi="Arial"/>
          <w:bCs/>
        </w:rPr>
        <w:t>9</w:t>
      </w:r>
      <w:r>
        <w:rPr>
          <w:rFonts w:cs="Arial" w:ascii="Arial" w:hAnsi="Arial"/>
          <w:bCs/>
        </w:rPr>
        <w:t xml:space="preserve"> účtovala o zásobách spôsobom B. Hodnota zásob k 31.12.201</w:t>
      </w:r>
      <w:r>
        <w:rPr>
          <w:rFonts w:cs="Arial" w:ascii="Arial" w:hAnsi="Arial"/>
          <w:bCs/>
        </w:rPr>
        <w:t>9</w:t>
      </w:r>
      <w:r>
        <w:rPr>
          <w:rFonts w:cs="Arial" w:ascii="Arial" w:hAnsi="Arial"/>
          <w:bCs/>
        </w:rPr>
        <w:t xml:space="preserve"> je 0 </w:t>
      </w:r>
      <w:r>
        <w:rPr>
          <w:rFonts w:cs="Arial" w:ascii="Arial" w:hAnsi="Arial"/>
          <w:b/>
          <w:bCs/>
        </w:rPr>
        <w:t xml:space="preserve">€ , </w:t>
      </w:r>
      <w:r>
        <w:rPr>
          <w:rFonts w:cs="Arial" w:ascii="Arial" w:hAnsi="Arial"/>
          <w:bCs/>
        </w:rPr>
        <w:t>v tom tovar 0 €.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ÚDAJE O POHĽADÁVKACH (Súvaha)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/>
      </w:pPr>
      <w:r>
        <w:rPr>
          <w:rFonts w:cs="Arial" w:ascii="Arial" w:hAnsi="Arial"/>
        </w:rPr>
        <w:t>Spoločnosť vykazuje k 31.12.201</w:t>
      </w:r>
      <w:r>
        <w:rPr>
          <w:rFonts w:cs="Arial" w:ascii="Arial" w:hAnsi="Arial"/>
        </w:rPr>
        <w:t>9</w:t>
      </w:r>
      <w:r>
        <w:rPr>
          <w:rFonts w:cs="Arial" w:ascii="Arial" w:hAnsi="Arial"/>
        </w:rPr>
        <w:t xml:space="preserve"> nasledovné pohľadávky: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102" w:type="dxa"/>
        <w:jc w:val="left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000"/>
      </w:tblPr>
      <w:tblGrid>
        <w:gridCol w:w="880"/>
        <w:gridCol w:w="4393"/>
        <w:gridCol w:w="1"/>
        <w:gridCol w:w="1983"/>
        <w:gridCol w:w="1"/>
        <w:gridCol w:w="1843"/>
      </w:tblGrid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 </w:t>
            </w:r>
            <w:r>
              <w:rPr>
                <w:rFonts w:cs="Arial" w:ascii="Arial" w:hAnsi="Arial"/>
                <w:i/>
              </w:rPr>
              <w:t>Účet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 </w:t>
            </w:r>
            <w:r>
              <w:rPr>
                <w:rFonts w:cs="Arial" w:ascii="Arial" w:hAnsi="Arial"/>
                <w:i/>
              </w:rPr>
              <w:t>Popis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Začiatočný zostatok </w:t>
            </w:r>
          </w:p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 1.1.201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Konečný zostatok  k 31.12.201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</w:tr>
      <w:tr>
        <w:trPr>
          <w:trHeight w:val="256" w:hRule="atLeast"/>
          <w:cantSplit w:val="true"/>
        </w:trPr>
        <w:tc>
          <w:tcPr>
            <w:tcW w:w="9101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i/>
              </w:rPr>
              <w:t>Krátkodobé pohľadávky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311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Odberatelia 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867</w:t>
            </w:r>
            <w:r>
              <w:rPr>
                <w:rFonts w:cs="Arial" w:ascii="Arial" w:hAnsi="Arial"/>
              </w:rPr>
              <w:t>8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9621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314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Poskytnuté prevádzkové preddavky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400</w:t>
            </w: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335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Pohľadávky voči zamestnancom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341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Ostatné  priame dane 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315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pohľadávky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/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355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pohľadávky voči spoločníkom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546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749</w:t>
            </w:r>
          </w:p>
        </w:tc>
      </w:tr>
      <w:tr>
        <w:trPr>
          <w:trHeight w:val="256" w:hRule="atLeast"/>
          <w:cantSplit w:val="true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</w:rPr>
              <w:t>Spolu krátkodobé pohľadávky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9224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14 370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391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Opravná položka ku krátkodobým pohľadávkam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  <w:cantSplit w:val="true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</w:rPr>
              <w:t>Netto krátkodobé pohľadávky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9224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14</w:t>
            </w:r>
            <w:r>
              <w:rPr>
                <w:rFonts w:cs="Arial" w:ascii="Arial" w:hAnsi="Arial"/>
                <w:b/>
              </w:rPr>
              <w:t xml:space="preserve"> </w:t>
            </w:r>
            <w:r>
              <w:rPr>
                <w:rFonts w:cs="Arial" w:ascii="Arial" w:hAnsi="Arial"/>
                <w:b/>
              </w:rPr>
              <w:t>370</w:t>
            </w:r>
          </w:p>
        </w:tc>
      </w:tr>
      <w:tr>
        <w:trPr>
          <w:trHeight w:val="256" w:hRule="atLeast"/>
          <w:cantSplit w:val="true"/>
        </w:trPr>
        <w:tc>
          <w:tcPr>
            <w:tcW w:w="9101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  <w:i/>
              </w:rPr>
              <w:t>Dlhodobé pohľadávky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314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Poskytnuté prevádzkové preddavky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315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pohľadávky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0 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378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Iné pohľadávky 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94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 xml:space="preserve">Netto dlhodobé pohľadávky 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</w:tr>
      <w:tr>
        <w:trPr>
          <w:trHeight w:val="256" w:hRule="atLeast"/>
          <w:cantSplit w:val="true"/>
        </w:trPr>
        <w:tc>
          <w:tcPr>
            <w:tcW w:w="52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adpis8"/>
              <w:rPr>
                <w:rFonts w:ascii="Arial" w:hAnsi="Arial" w:cs="Arial"/>
                <w:b/>
                <w:b/>
                <w:color w:val="auto"/>
                <w:sz w:val="20"/>
              </w:rPr>
            </w:pPr>
            <w:r>
              <w:rPr>
                <w:rFonts w:cs="Arial" w:ascii="Arial" w:hAnsi="Arial"/>
                <w:b/>
                <w:color w:val="auto"/>
                <w:sz w:val="20"/>
              </w:rPr>
              <w:t xml:space="preserve"> </w:t>
            </w:r>
            <w:r>
              <w:rPr>
                <w:rFonts w:cs="Arial" w:ascii="Arial" w:hAnsi="Arial"/>
                <w:b/>
                <w:color w:val="auto"/>
                <w:sz w:val="20"/>
              </w:rPr>
              <w:t>SPOLU NETTO POHĽADÁVKY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adpis8"/>
              <w:jc w:val="right"/>
              <w:rPr/>
            </w:pPr>
            <w:r>
              <w:rPr>
                <w:rFonts w:cs="Arial" w:ascii="Arial" w:hAnsi="Arial"/>
                <w:b/>
                <w:color w:val="auto"/>
                <w:sz w:val="20"/>
              </w:rPr>
              <w:t>9224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14 370</w:t>
            </w:r>
          </w:p>
        </w:tc>
      </w:tr>
    </w:tbl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8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Veková štruktúra pohľadávok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9133" w:type="dxa"/>
        <w:jc w:val="left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000"/>
      </w:tblPr>
      <w:tblGrid>
        <w:gridCol w:w="596"/>
        <w:gridCol w:w="2268"/>
        <w:gridCol w:w="850"/>
        <w:gridCol w:w="992"/>
        <w:gridCol w:w="992"/>
        <w:gridCol w:w="1133"/>
        <w:gridCol w:w="1133"/>
        <w:gridCol w:w="1168"/>
      </w:tblGrid>
      <w:tr>
        <w:trPr>
          <w:trHeight w:val="233" w:hRule="atLeast"/>
          <w:cantSplit w:val="true"/>
        </w:trPr>
        <w:tc>
          <w:tcPr>
            <w:tcW w:w="59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Účet</w:t>
            </w:r>
          </w:p>
        </w:tc>
        <w:tc>
          <w:tcPr>
            <w:tcW w:w="2268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Popis</w:t>
            </w:r>
          </w:p>
        </w:tc>
        <w:tc>
          <w:tcPr>
            <w:tcW w:w="85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Spolu</w:t>
            </w:r>
          </w:p>
        </w:tc>
        <w:tc>
          <w:tcPr>
            <w:tcW w:w="99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V lehote splatnosti</w:t>
            </w:r>
          </w:p>
        </w:tc>
        <w:tc>
          <w:tcPr>
            <w:tcW w:w="442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Po lehote splatnosti</w:t>
            </w:r>
          </w:p>
        </w:tc>
      </w:tr>
      <w:tr>
        <w:trPr>
          <w:trHeight w:val="232" w:hRule="atLeast"/>
          <w:cantSplit w:val="true"/>
        </w:trPr>
        <w:tc>
          <w:tcPr>
            <w:tcW w:w="596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</w:r>
          </w:p>
        </w:tc>
        <w:tc>
          <w:tcPr>
            <w:tcW w:w="2268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</w:r>
          </w:p>
        </w:tc>
        <w:tc>
          <w:tcPr>
            <w:tcW w:w="850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</w:r>
          </w:p>
        </w:tc>
        <w:tc>
          <w:tcPr>
            <w:tcW w:w="992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do 90 dní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90-180 dní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180-360 dní</w:t>
            </w:r>
          </w:p>
        </w:tc>
        <w:tc>
          <w:tcPr>
            <w:tcW w:w="1168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nad 360 dní</w:t>
            </w:r>
          </w:p>
        </w:tc>
      </w:tr>
      <w:tr>
        <w:trPr>
          <w:trHeight w:val="256" w:hRule="atLeast"/>
          <w:cantSplit w:val="true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311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Odberatelia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9 621</w:t>
            </w:r>
          </w:p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1 573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center" w:pos="466" w:leader="none"/>
                <w:tab w:val="right" w:pos="932" w:leader="none"/>
              </w:tabs>
              <w:jc w:val="left"/>
              <w:rPr/>
            </w:pPr>
            <w:r>
              <w:rPr>
                <w:rFonts w:cs="Arial" w:ascii="Arial" w:hAnsi="Arial"/>
              </w:rPr>
              <w:tab/>
            </w:r>
            <w:r>
              <w:rPr>
                <w:rFonts w:cs="Arial" w:ascii="Arial" w:hAnsi="Arial"/>
              </w:rPr>
              <w:t>2 932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2</w:t>
            </w:r>
            <w:r>
              <w:rPr>
                <w:rFonts w:cs="Arial" w:ascii="Arial" w:hAnsi="Arial"/>
              </w:rPr>
              <w:t>85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center" w:pos="537" w:leader="none"/>
                <w:tab w:val="right" w:pos="1074" w:leader="none"/>
              </w:tabs>
              <w:jc w:val="left"/>
              <w:rPr/>
            </w:pPr>
            <w:r>
              <w:rPr>
                <w:rFonts w:cs="Arial" w:ascii="Arial" w:hAnsi="Arial"/>
              </w:rPr>
              <w:tab/>
              <w:tab/>
            </w:r>
            <w:r>
              <w:rPr>
                <w:rFonts w:cs="Arial" w:ascii="Arial" w:hAnsi="Arial"/>
              </w:rPr>
              <w:t>233</w:t>
            </w:r>
          </w:p>
        </w:tc>
        <w:tc>
          <w:tcPr>
            <w:tcW w:w="11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iCs/>
              </w:rPr>
              <w:t>4 598</w:t>
            </w:r>
          </w:p>
        </w:tc>
      </w:tr>
      <w:tr>
        <w:trPr>
          <w:trHeight w:val="256" w:hRule="atLeast"/>
          <w:cantSplit w:val="true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314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Poskytnuté prevádzkové preddavky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4 000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400</w:t>
            </w:r>
            <w:r>
              <w:rPr>
                <w:rFonts w:cs="Arial" w:ascii="Arial" w:hAnsi="Arial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  <w:cantSplit w:val="true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315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pohľadávky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  <w:cantSplit w:val="true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341-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Ostatné  priame dane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  <w:cantSplit w:val="true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355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Ostatné pohľadávky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749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749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  <w:cantSplit w:val="true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14 370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6 322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2 932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285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233</w:t>
            </w:r>
          </w:p>
        </w:tc>
        <w:tc>
          <w:tcPr>
            <w:tcW w:w="11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4 598</w:t>
            </w:r>
          </w:p>
        </w:tc>
      </w:tr>
    </w:tbl>
    <w:p>
      <w:pPr>
        <w:pStyle w:val="BodyText2"/>
        <w:tabs>
          <w:tab w:val="clear" w:pos="708"/>
          <w:tab w:val="left" w:pos="915" w:leader="none"/>
        </w:tabs>
        <w:rPr>
          <w:rFonts w:ascii="Arial" w:hAnsi="Arial" w:cs="Arial"/>
          <w:i/>
          <w:i/>
          <w:color w:val="00FF00"/>
          <w:sz w:val="20"/>
        </w:rPr>
      </w:pPr>
      <w:r>
        <w:rPr>
          <w:rFonts w:cs="Arial" w:ascii="Arial" w:hAnsi="Arial"/>
          <w:i/>
          <w:color w:val="00FF00"/>
          <w:sz w:val="20"/>
        </w:rPr>
        <w:tab/>
      </w:r>
    </w:p>
    <w:p>
      <w:pPr>
        <w:pStyle w:val="Normal"/>
        <w:numPr>
          <w:ilvl w:val="0"/>
          <w:numId w:val="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Telotextu"/>
        <w:numPr>
          <w:ilvl w:val="0"/>
          <w:numId w:val="0"/>
        </w:numPr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  <w:i/>
          <w:i/>
        </w:rPr>
      </w:pPr>
      <w:r>
        <w:rPr>
          <w:rFonts w:cs="Arial" w:ascii="Arial" w:hAnsi="Arial"/>
        </w:rPr>
        <w:t>ÚDAJE O KRÁTKODOBOM FINANČNOM MAJETKU (Finančné účty - Súvaha )</w:t>
      </w:r>
    </w:p>
    <w:p>
      <w:pPr>
        <w:pStyle w:val="Normal"/>
        <w:rPr>
          <w:rFonts w:ascii="Arial" w:hAnsi="Arial" w:cs="Arial"/>
          <w:b/>
          <w:b/>
          <w:i/>
          <w:i/>
        </w:rPr>
      </w:pPr>
      <w:r>
        <w:rPr>
          <w:rFonts w:cs="Arial" w:ascii="Arial" w:hAnsi="Arial"/>
          <w:b/>
          <w:i/>
        </w:rPr>
      </w:r>
    </w:p>
    <w:p>
      <w:pPr>
        <w:pStyle w:val="Normal"/>
        <w:rPr/>
      </w:pPr>
      <w:r>
        <w:rPr>
          <w:rFonts w:cs="Arial" w:ascii="Arial" w:hAnsi="Arial"/>
        </w:rPr>
        <w:t>Štruktúra krátkodobého finančného majetku k 31.12. 201</w:t>
      </w:r>
      <w:r>
        <w:rPr>
          <w:rFonts w:cs="Arial" w:ascii="Arial" w:hAnsi="Arial"/>
        </w:rPr>
        <w:t>9</w:t>
      </w:r>
      <w:r>
        <w:rPr>
          <w:rFonts w:cs="Arial" w:ascii="Arial" w:hAnsi="Arial"/>
        </w:rPr>
        <w:t xml:space="preserve"> je nasledovná: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120" w:type="dxa"/>
        <w:jc w:val="left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000"/>
      </w:tblPr>
      <w:tblGrid>
        <w:gridCol w:w="880"/>
        <w:gridCol w:w="2834"/>
        <w:gridCol w:w="2794"/>
        <w:gridCol w:w="2611"/>
      </w:tblGrid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Účet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Popis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Začiatočný zostatok </w:t>
            </w:r>
          </w:p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 01.01.201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2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</w:rPr>
              <w:t xml:space="preserve">Konečný zostatok                      </w:t>
            </w:r>
            <w:r>
              <w:rPr>
                <w:rFonts w:cs="Arial" w:ascii="Arial" w:hAnsi="Arial"/>
                <w:i/>
                <w:sz w:val="18"/>
                <w:szCs w:val="18"/>
              </w:rPr>
              <w:t>k 31.12.201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211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Peniaze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13 866</w:t>
            </w:r>
          </w:p>
        </w:tc>
        <w:tc>
          <w:tcPr>
            <w:tcW w:w="2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24 984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213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Ceniny 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117</w:t>
            </w:r>
          </w:p>
        </w:tc>
        <w:tc>
          <w:tcPr>
            <w:tcW w:w="2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117</w:t>
            </w:r>
          </w:p>
        </w:tc>
      </w:tr>
      <w:tr>
        <w:trPr>
          <w:trHeight w:val="221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221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Bankové účty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2 273</w:t>
            </w:r>
          </w:p>
        </w:tc>
        <w:tc>
          <w:tcPr>
            <w:tcW w:w="2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526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16 256</w:t>
            </w:r>
          </w:p>
        </w:tc>
        <w:tc>
          <w:tcPr>
            <w:tcW w:w="2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25 627</w:t>
            </w:r>
          </w:p>
        </w:tc>
      </w:tr>
    </w:tbl>
    <w:p>
      <w:pPr>
        <w:pStyle w:val="Nadpis3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  <w:t>Spoločnosť nemá žiadne obmedzenia týkajúce sa použitia finančného majetku k 31.12.2018.</w:t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ÚDAJE O  ÚČTOCH ČASOVÉHO ROZLÍŠENIA (Súvaha)</w:t>
      </w:r>
    </w:p>
    <w:p>
      <w:pPr>
        <w:pStyle w:val="Normal"/>
        <w:rPr>
          <w:rFonts w:ascii="Arial" w:hAnsi="Arial" w:cs="Arial"/>
          <w:b/>
          <w:b/>
          <w:i/>
          <w:i/>
        </w:rPr>
      </w:pPr>
      <w:r>
        <w:rPr>
          <w:rFonts w:cs="Arial" w:ascii="Arial" w:hAnsi="Arial"/>
          <w:b/>
          <w:i/>
        </w:rPr>
      </w:r>
    </w:p>
    <w:tbl>
      <w:tblPr>
        <w:tblW w:w="9120" w:type="dxa"/>
        <w:jc w:val="left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000"/>
      </w:tblPr>
      <w:tblGrid>
        <w:gridCol w:w="880"/>
        <w:gridCol w:w="2976"/>
        <w:gridCol w:w="2742"/>
        <w:gridCol w:w="2521"/>
      </w:tblGrid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Účet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Popis</w:t>
            </w:r>
          </w:p>
        </w:tc>
        <w:tc>
          <w:tcPr>
            <w:tcW w:w="2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Začiatočný zostatok </w:t>
            </w:r>
          </w:p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 01.01.201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2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</w:rPr>
              <w:t xml:space="preserve">Konečný zostatok                      </w:t>
            </w:r>
            <w:r>
              <w:rPr>
                <w:rFonts w:cs="Arial" w:ascii="Arial" w:hAnsi="Arial"/>
                <w:i/>
                <w:sz w:val="18"/>
                <w:szCs w:val="18"/>
              </w:rPr>
              <w:t>k 31.12.201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381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Náklady budúcich období</w:t>
            </w:r>
          </w:p>
        </w:tc>
        <w:tc>
          <w:tcPr>
            <w:tcW w:w="2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385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Príjmy budúcich období</w:t>
            </w:r>
          </w:p>
        </w:tc>
        <w:tc>
          <w:tcPr>
            <w:tcW w:w="2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</w:t>
            </w:r>
          </w:p>
        </w:tc>
        <w:tc>
          <w:tcPr>
            <w:tcW w:w="2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tabs>
          <w:tab w:val="clear" w:pos="708"/>
          <w:tab w:val="left" w:pos="5400" w:leader="none"/>
        </w:tabs>
        <w:rPr>
          <w:rFonts w:ascii="Arial" w:hAnsi="Arial" w:cs="Arial"/>
        </w:rPr>
      </w:pPr>
      <w:r>
        <w:rPr>
          <w:rFonts w:cs="Arial" w:ascii="Arial" w:hAnsi="Arial"/>
        </w:rPr>
        <w:tab/>
      </w:r>
    </w:p>
    <w:p>
      <w:pPr>
        <w:pStyle w:val="Normal"/>
        <w:tabs>
          <w:tab w:val="clear" w:pos="708"/>
          <w:tab w:val="left" w:pos="5400" w:leader="none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4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Popis významných položiek časového rozlíšenia</w:t>
      </w:r>
    </w:p>
    <w:p>
      <w:pPr>
        <w:pStyle w:val="Normal"/>
        <w:numPr>
          <w:ilvl w:val="0"/>
          <w:numId w:val="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4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Účty časového rozlíšenia týkajúce sa spriaznených osôb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Netýka sa.</w:t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ÚDAJE O VLASTNOM IMANÍ (Súvaha)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účtuje o zmenách a vykazuje stav základného imania, kapitálových fondoch, fondov zo zisku a hospodárskeho výsledku v súlade so zákonnými predpismi.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5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Popis základného imania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Výška upísaného základného imania podľa výpisu z OR je 5 000</w:t>
      </w:r>
      <w:r>
        <w:rPr>
          <w:rFonts w:cs="Arial" w:ascii="Arial" w:hAnsi="Arial"/>
          <w:b/>
          <w:bCs/>
        </w:rPr>
        <w:t xml:space="preserve"> </w:t>
      </w:r>
      <w:r>
        <w:rPr>
          <w:rFonts w:cs="Arial" w:ascii="Arial" w:hAnsi="Arial"/>
          <w:bCs/>
        </w:rPr>
        <w:t>€</w:t>
      </w:r>
      <w:r>
        <w:rPr>
          <w:rFonts w:cs="Arial" w:ascii="Arial" w:hAnsi="Arial"/>
        </w:rPr>
        <w:t xml:space="preserve">. Základné imanie spoločnosti je tvorené </w:t>
      </w:r>
      <w:r>
        <w:rPr>
          <w:rFonts w:cs="Arial" w:ascii="Arial" w:hAnsi="Arial"/>
          <w:color w:val="000000"/>
        </w:rPr>
        <w:t>peňažným</w:t>
      </w:r>
      <w:r>
        <w:rPr>
          <w:rFonts w:cs="Arial" w:ascii="Arial" w:hAnsi="Arial"/>
        </w:rPr>
        <w:t xml:space="preserve"> vkladom vo výške 5 000</w:t>
      </w:r>
      <w:r>
        <w:rPr>
          <w:rFonts w:cs="Arial" w:ascii="Arial" w:hAnsi="Arial"/>
          <w:b/>
          <w:bCs/>
        </w:rPr>
        <w:t xml:space="preserve"> </w:t>
      </w:r>
      <w:r>
        <w:rPr>
          <w:rFonts w:cs="Arial" w:ascii="Arial" w:hAnsi="Arial"/>
          <w:bCs/>
        </w:rPr>
        <w:t>€</w:t>
      </w:r>
      <w:r>
        <w:rPr>
          <w:rFonts w:cs="Arial" w:ascii="Arial" w:hAnsi="Arial"/>
        </w:rPr>
        <w:t>.. Celé základné imanie je splatené.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5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 xml:space="preserve">Popis a výška zmien vlastného imania </w:t>
      </w:r>
    </w:p>
    <w:p>
      <w:pPr>
        <w:pStyle w:val="Normal"/>
        <w:ind w:left="360" w:hanging="0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ind w:left="45" w:hanging="0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Telotextu"/>
        <w:rPr/>
      </w:pPr>
      <w:r>
        <w:rPr>
          <w:rFonts w:cs="Arial" w:ascii="Arial" w:hAnsi="Arial"/>
          <w:sz w:val="20"/>
        </w:rPr>
        <w:t>Pohyby vlastného imania v roku 201</w:t>
      </w:r>
      <w:r>
        <w:rPr>
          <w:rFonts w:cs="Arial" w:ascii="Arial" w:hAnsi="Arial"/>
          <w:sz w:val="20"/>
        </w:rPr>
        <w:t>9</w:t>
      </w:r>
      <w:r>
        <w:rPr>
          <w:rFonts w:cs="Arial" w:ascii="Arial" w:hAnsi="Arial"/>
          <w:sz w:val="20"/>
        </w:rPr>
        <w:t xml:space="preserve"> sú zhrnuté v nasledujúcej tabuľke: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9101" w:type="dxa"/>
        <w:jc w:val="left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000"/>
      </w:tblPr>
      <w:tblGrid>
        <w:gridCol w:w="596"/>
        <w:gridCol w:w="2835"/>
        <w:gridCol w:w="1700"/>
        <w:gridCol w:w="850"/>
        <w:gridCol w:w="849"/>
        <w:gridCol w:w="1049"/>
        <w:gridCol w:w="1221"/>
      </w:tblGrid>
      <w:tr>
        <w:trPr>
          <w:trHeight w:val="256" w:hRule="atLeast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Účet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 </w:t>
            </w:r>
            <w:r>
              <w:rPr>
                <w:rFonts w:cs="Arial" w:ascii="Arial" w:hAnsi="Arial"/>
                <w:i/>
              </w:rPr>
              <w:t>Popis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</w:rPr>
              <w:t xml:space="preserve">Začiatočný zostatok k  </w:t>
            </w:r>
            <w:r>
              <w:rPr>
                <w:rFonts w:cs="Arial" w:ascii="Arial" w:hAnsi="Arial"/>
                <w:i/>
                <w:sz w:val="18"/>
                <w:szCs w:val="18"/>
              </w:rPr>
              <w:t>01.01.201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Prírastky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 </w:t>
            </w:r>
            <w:r>
              <w:rPr>
                <w:rFonts w:cs="Arial" w:ascii="Arial" w:hAnsi="Arial"/>
                <w:i/>
              </w:rPr>
              <w:t>Úbytky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Presuny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Konečný zostatok </w:t>
            </w:r>
          </w:p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 31.12.201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</w:tr>
      <w:tr>
        <w:trPr>
          <w:trHeight w:val="256" w:hRule="atLeast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411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Základné imanie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5 000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5000</w:t>
            </w:r>
          </w:p>
        </w:tc>
      </w:tr>
      <w:tr>
        <w:trPr>
          <w:trHeight w:val="256" w:hRule="atLeast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419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Zmena základného imania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421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Zákonný rezervný fond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364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500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864</w:t>
            </w:r>
          </w:p>
        </w:tc>
      </w:tr>
      <w:tr>
        <w:trPr>
          <w:trHeight w:val="256" w:hRule="atLeast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423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Štatutárne fondy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428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Nerozdelený zisk. min. rokov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4 040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10 887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14 927</w:t>
            </w:r>
          </w:p>
        </w:tc>
      </w:tr>
      <w:tr>
        <w:trPr>
          <w:trHeight w:val="256" w:hRule="atLeast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429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Neuhradená strata min. rokov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0 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xxx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Výsledok hospodárenia za účtovné obdobie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11 387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</w:t>
            </w:r>
            <w:r>
              <w:rPr>
                <w:rFonts w:cs="Arial" w:ascii="Arial" w:hAnsi="Arial"/>
              </w:rPr>
              <w:t>1 164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 xml:space="preserve">     </w:t>
            </w:r>
            <w:r>
              <w:rPr>
                <w:rFonts w:cs="Arial" w:ascii="Arial" w:hAnsi="Arial"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2</w:t>
            </w:r>
            <w:r>
              <w:rPr>
                <w:rFonts w:cs="Arial" w:ascii="Arial" w:hAnsi="Arial"/>
              </w:rPr>
              <w:t>2551</w:t>
            </w:r>
          </w:p>
        </w:tc>
      </w:tr>
      <w:tr>
        <w:trPr>
          <w:trHeight w:val="256" w:hRule="atLeast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20 791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2</w:t>
            </w:r>
            <w:r>
              <w:rPr>
                <w:rFonts w:cs="Arial" w:ascii="Arial" w:hAnsi="Arial"/>
                <w:b/>
              </w:rPr>
              <w:t>2 551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center" w:pos="579" w:leader="none"/>
                <w:tab w:val="right" w:pos="1158" w:leader="none"/>
              </w:tabs>
              <w:jc w:val="left"/>
              <w:rPr/>
            </w:pPr>
            <w:r>
              <w:rPr>
                <w:rFonts w:cs="Arial" w:ascii="Arial" w:hAnsi="Arial"/>
                <w:b/>
              </w:rPr>
              <w:tab/>
              <w:t xml:space="preserve">         </w:t>
            </w:r>
            <w:r>
              <w:rPr>
                <w:rFonts w:cs="Arial" w:ascii="Arial" w:hAnsi="Arial"/>
                <w:b/>
              </w:rPr>
              <w:t>4</w:t>
            </w:r>
            <w:r>
              <w:rPr>
                <w:rFonts w:cs="Arial" w:ascii="Arial" w:hAnsi="Arial"/>
                <w:b/>
              </w:rPr>
              <w:t>3</w:t>
            </w:r>
            <w:r>
              <w:rPr>
                <w:rFonts w:cs="Arial" w:ascii="Arial" w:hAnsi="Arial"/>
                <w:b/>
              </w:rPr>
              <w:t xml:space="preserve"> </w:t>
            </w:r>
            <w:r>
              <w:rPr>
                <w:rFonts w:cs="Arial" w:ascii="Arial" w:hAnsi="Arial"/>
                <w:b/>
              </w:rPr>
              <w:t>342</w:t>
            </w:r>
          </w:p>
        </w:tc>
      </w:tr>
    </w:tbl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5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Rozdelenie výsledku hospodárenia za minulé účtovné obdobie</w:t>
      </w:r>
    </w:p>
    <w:p>
      <w:pPr>
        <w:pStyle w:val="Telotextu"/>
        <w:numPr>
          <w:ilvl w:val="0"/>
          <w:numId w:val="0"/>
        </w:numPr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Telotextu"/>
        <w:numPr>
          <w:ilvl w:val="0"/>
          <w:numId w:val="0"/>
        </w:numPr>
        <w:rPr/>
      </w:pPr>
      <w:r>
        <w:rPr>
          <w:rFonts w:cs="Arial" w:ascii="Arial" w:hAnsi="Arial"/>
          <w:sz w:val="20"/>
        </w:rPr>
        <w:t>Hospodársky výsledok za rok 201</w:t>
      </w:r>
      <w:r>
        <w:rPr>
          <w:rFonts w:cs="Arial" w:ascii="Arial" w:hAnsi="Arial"/>
          <w:sz w:val="20"/>
        </w:rPr>
        <w:t>8</w:t>
      </w:r>
      <w:r>
        <w:rPr>
          <w:rFonts w:cs="Arial" w:ascii="Arial" w:hAnsi="Arial"/>
          <w:sz w:val="20"/>
        </w:rPr>
        <w:t xml:space="preserve"> bol rozhodnutím valného zhromaždenia zo dňa </w:t>
      </w:r>
      <w:r>
        <w:rPr>
          <w:rFonts w:cs="Arial" w:ascii="Arial" w:hAnsi="Arial"/>
          <w:sz w:val="20"/>
        </w:rPr>
        <w:t>31</w:t>
      </w:r>
      <w:r>
        <w:rPr>
          <w:rFonts w:cs="Arial" w:ascii="Arial" w:hAnsi="Arial"/>
          <w:sz w:val="20"/>
        </w:rPr>
        <w:t>.</w:t>
      </w:r>
      <w:r>
        <w:rPr>
          <w:rFonts w:cs="Arial" w:ascii="Arial" w:hAnsi="Arial"/>
          <w:sz w:val="20"/>
        </w:rPr>
        <w:t>5</w:t>
      </w:r>
      <w:r>
        <w:rPr>
          <w:rFonts w:cs="Arial" w:ascii="Arial" w:hAnsi="Arial"/>
          <w:sz w:val="20"/>
        </w:rPr>
        <w:t>.201</w:t>
      </w:r>
      <w:r>
        <w:rPr>
          <w:rFonts w:cs="Arial" w:ascii="Arial" w:hAnsi="Arial"/>
          <w:sz w:val="20"/>
        </w:rPr>
        <w:t>9</w:t>
      </w:r>
      <w:r>
        <w:rPr>
          <w:rFonts w:cs="Arial" w:ascii="Arial" w:hAnsi="Arial"/>
          <w:sz w:val="20"/>
        </w:rPr>
        <w:t xml:space="preserve"> preúčtovaný na účet 429 – neuhradená strata  minulých období.</w:t>
      </w:r>
    </w:p>
    <w:p>
      <w:pPr>
        <w:pStyle w:val="Telotextu"/>
        <w:numPr>
          <w:ilvl w:val="0"/>
          <w:numId w:val="0"/>
        </w:numPr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14"/>
        </w:numPr>
        <w:shd w:val="pct30" w:color="000000" w:fill="FFFFFF"/>
        <w:rPr>
          <w:rFonts w:ascii="Arial" w:hAnsi="Arial" w:cs="Arial"/>
        </w:rPr>
      </w:pPr>
      <w:r>
        <w:rPr>
          <w:rFonts w:cs="Arial" w:ascii="Arial" w:hAnsi="Arial"/>
        </w:rPr>
        <w:t xml:space="preserve">ÚDAJE O REZERVÁCH (Súvaha) 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6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Popis jednotlivých rezerv</w:t>
      </w:r>
    </w:p>
    <w:p>
      <w:pPr>
        <w:pStyle w:val="Normal"/>
        <w:ind w:left="360" w:hanging="0"/>
        <w:rPr>
          <w:rFonts w:ascii="Arial" w:hAnsi="Arial" w:cs="Arial"/>
        </w:rPr>
      </w:pPr>
      <w:r>
        <w:rPr>
          <w:rFonts w:cs="Arial" w:ascii="Arial" w:hAnsi="Arial"/>
        </w:rPr>
        <w:t>Rozpustená rezerva na čerpanie dovoleniek zamestnancov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9091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900"/>
        <w:gridCol w:w="2360"/>
        <w:gridCol w:w="1275"/>
        <w:gridCol w:w="851"/>
        <w:gridCol w:w="1275"/>
        <w:gridCol w:w="1275"/>
        <w:gridCol w:w="1154"/>
      </w:tblGrid>
      <w:tr>
        <w:trPr/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Účet</w:t>
            </w:r>
          </w:p>
        </w:tc>
        <w:tc>
          <w:tcPr>
            <w:tcW w:w="2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Druh rezervy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</w:rPr>
              <w:t xml:space="preserve">Začiatočný zostatok </w:t>
            </w:r>
            <w:r>
              <w:rPr>
                <w:rFonts w:cs="Arial" w:ascii="Arial" w:hAnsi="Arial"/>
                <w:i/>
                <w:sz w:val="18"/>
                <w:szCs w:val="18"/>
              </w:rPr>
              <w:t>k 1.1.201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Tvorba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Čerpanie/</w:t>
            </w:r>
          </w:p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Rozpustenie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</w:rPr>
              <w:t xml:space="preserve">Konečný zostatok k </w:t>
            </w:r>
            <w:r>
              <w:rPr>
                <w:rFonts w:cs="Arial" w:ascii="Arial" w:hAnsi="Arial"/>
                <w:i/>
                <w:sz w:val="18"/>
                <w:szCs w:val="18"/>
              </w:rPr>
              <w:t>31.12.201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1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Predpokl. rok použitia</w:t>
            </w:r>
          </w:p>
        </w:tc>
      </w:tr>
      <w:tr>
        <w:trPr/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323</w:t>
            </w:r>
          </w:p>
        </w:tc>
        <w:tc>
          <w:tcPr>
            <w:tcW w:w="2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Krátkodobé rezervy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center" w:pos="567" w:leader="none"/>
                <w:tab w:val="right" w:pos="1135" w:leader="none"/>
              </w:tabs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ab/>
              <w:tab/>
              <w:t>0</w:t>
            </w:r>
          </w:p>
        </w:tc>
        <w:tc>
          <w:tcPr>
            <w:tcW w:w="1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/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  <w:tc>
          <w:tcPr>
            <w:tcW w:w="2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  <w:i/>
          <w:i/>
          <w:color w:val="0000FF"/>
        </w:rPr>
      </w:pPr>
      <w:r>
        <w:rPr>
          <w:rFonts w:cs="Arial" w:ascii="Arial" w:hAnsi="Arial"/>
          <w:i/>
          <w:color w:val="0000FF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ÚDAJE O ZÁVÄZKOCH (Súvaha)</w:t>
      </w:r>
    </w:p>
    <w:p>
      <w:pPr>
        <w:pStyle w:val="Normal"/>
        <w:rPr>
          <w:rFonts w:ascii="Arial" w:hAnsi="Arial" w:cs="Arial"/>
          <w:b/>
          <w:b/>
          <w:i/>
          <w:i/>
        </w:rPr>
      </w:pPr>
      <w:r>
        <w:rPr>
          <w:rFonts w:cs="Arial" w:ascii="Arial" w:hAnsi="Arial"/>
          <w:b/>
          <w:i/>
        </w:rPr>
      </w:r>
    </w:p>
    <w:p>
      <w:pPr>
        <w:pStyle w:val="Nadpis4"/>
        <w:numPr>
          <w:ilvl w:val="0"/>
          <w:numId w:val="7"/>
        </w:numPr>
        <w:rPr/>
      </w:pPr>
      <w:r>
        <w:rPr>
          <w:rFonts w:cs="Arial" w:ascii="Arial" w:hAnsi="Arial"/>
          <w:i w:val="false"/>
          <w:sz w:val="20"/>
        </w:rPr>
        <w:t>Štruktúra záväzkov k 31.12.201</w:t>
      </w:r>
      <w:r>
        <w:rPr>
          <w:rFonts w:cs="Arial" w:ascii="Arial" w:hAnsi="Arial"/>
          <w:i w:val="false"/>
          <w:sz w:val="20"/>
        </w:rPr>
        <w:t>9</w:t>
      </w:r>
      <w:r>
        <w:rPr>
          <w:rFonts w:cs="Arial" w:ascii="Arial" w:hAnsi="Arial"/>
          <w:i w:val="false"/>
          <w:sz w:val="20"/>
        </w:rPr>
        <w:t xml:space="preserve"> je nasledovná: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072" w:type="dxa"/>
        <w:jc w:val="left"/>
        <w:tblInd w:w="30" w:type="dxa"/>
        <w:tblCellMar>
          <w:top w:w="0" w:type="dxa"/>
          <w:left w:w="30" w:type="dxa"/>
          <w:bottom w:w="0" w:type="dxa"/>
          <w:right w:w="30" w:type="dxa"/>
        </w:tblCellMar>
        <w:tblLook w:val="0000"/>
      </w:tblPr>
      <w:tblGrid>
        <w:gridCol w:w="850"/>
        <w:gridCol w:w="4111"/>
        <w:gridCol w:w="2126"/>
        <w:gridCol w:w="1984"/>
      </w:tblGrid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Účet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Popis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Začiatočný zostatok </w:t>
            </w:r>
          </w:p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 01.01.201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 xml:space="preserve">Konečný zostatok </w:t>
            </w:r>
          </w:p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 31.12.201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</w:tr>
      <w:tr>
        <w:trPr>
          <w:trHeight w:val="256" w:hRule="atLeast"/>
          <w:cantSplit w:val="true"/>
        </w:trPr>
        <w:tc>
          <w:tcPr>
            <w:tcW w:w="49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left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  <w:i/>
              </w:rPr>
              <w:t>Krátkodobé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321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Dodávatelia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1 112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164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324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Prijaté preddavky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442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325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339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326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Nevyfakturované dodávky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-</w:t>
            </w:r>
            <w:r>
              <w:rPr>
                <w:rFonts w:cs="Arial" w:ascii="Arial" w:hAnsi="Arial"/>
              </w:rPr>
              <w:t>604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-</w:t>
            </w:r>
            <w:r>
              <w:rPr>
                <w:rFonts w:cs="Arial" w:ascii="Arial" w:hAnsi="Arial"/>
              </w:rPr>
              <w:t>2</w:t>
            </w:r>
            <w:r>
              <w:rPr>
                <w:rFonts w:cs="Arial" w:ascii="Arial" w:hAnsi="Arial"/>
              </w:rPr>
              <w:t>04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331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Zamestnanci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43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145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333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záväzky voči zamestnancom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336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Zúčtovanie s inštitúciami soc. zabezpečenia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36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81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341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Daň z príjmov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3 371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3</w:t>
            </w: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161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342,345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priame dane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632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color w:val="000000"/>
              </w:rPr>
              <w:t>6</w:t>
            </w:r>
            <w:r>
              <w:rPr>
                <w:rFonts w:cs="Arial" w:ascii="Arial" w:hAnsi="Arial"/>
                <w:color w:val="000000"/>
              </w:rPr>
              <w:t>69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343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DPH 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366,365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Záväzky voči spoločníkom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379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Iné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</w:t>
            </w:r>
            <w:r>
              <w:rPr>
                <w:rFonts w:cs="Arial" w:ascii="Arial" w:hAnsi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 krátkodobé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 xml:space="preserve">4 </w:t>
            </w:r>
            <w:r>
              <w:rPr>
                <w:rFonts w:cs="Arial" w:ascii="Arial" w:hAnsi="Arial"/>
                <w:b/>
              </w:rPr>
              <w:t>62</w:t>
            </w: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4</w:t>
            </w:r>
            <w:r>
              <w:rPr>
                <w:rFonts w:cs="Arial" w:ascii="Arial" w:hAnsi="Arial"/>
                <w:b/>
              </w:rPr>
              <w:t xml:space="preserve"> </w:t>
            </w:r>
            <w:r>
              <w:rPr>
                <w:rFonts w:cs="Arial" w:ascii="Arial" w:hAnsi="Arial"/>
                <w:b/>
              </w:rPr>
              <w:t>458</w:t>
            </w:r>
          </w:p>
        </w:tc>
      </w:tr>
      <w:tr>
        <w:trPr>
          <w:trHeight w:val="256" w:hRule="atLeast"/>
          <w:cantSplit w:val="true"/>
        </w:trPr>
        <w:tc>
          <w:tcPr>
            <w:tcW w:w="49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  <w:i/>
              </w:rPr>
              <w:t>Dlhodobé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472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Záväzky zo sociálneho fondu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69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69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479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dlhodobé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481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Odložený daňový záväzok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 dlhodobé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46</w:t>
            </w:r>
            <w:r>
              <w:rPr>
                <w:rFonts w:cs="Arial" w:ascii="Arial" w:hAnsi="Arial"/>
                <w:b/>
              </w:rPr>
              <w:t>8</w:t>
            </w:r>
            <w:r>
              <w:rPr>
                <w:rFonts w:cs="Arial" w:ascii="Arial" w:hAnsi="Arial"/>
                <w:b/>
              </w:rPr>
              <w:t>9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 xml:space="preserve">4 </w:t>
            </w:r>
            <w:r>
              <w:rPr>
                <w:rFonts w:cs="Arial" w:ascii="Arial" w:hAnsi="Arial"/>
                <w:b/>
              </w:rPr>
              <w:t>527</w:t>
            </w:r>
          </w:p>
        </w:tc>
      </w:tr>
    </w:tbl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Telotextu"/>
        <w:rPr>
          <w:rFonts w:ascii="Arial" w:hAnsi="Arial" w:cs="Arial"/>
          <w:color w:val="FF0000"/>
          <w:sz w:val="20"/>
        </w:rPr>
      </w:pPr>
      <w:r>
        <w:rPr>
          <w:rFonts w:cs="Arial" w:ascii="Arial" w:hAnsi="Arial"/>
          <w:color w:val="FF0000"/>
          <w:sz w:val="20"/>
        </w:rPr>
      </w:r>
    </w:p>
    <w:p>
      <w:pPr>
        <w:pStyle w:val="Normal"/>
        <w:numPr>
          <w:ilvl w:val="0"/>
          <w:numId w:val="7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Štruktúra krátkodobých záväzkov v lehote a po lehote splatnosti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6947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6"/>
        <w:gridCol w:w="1985"/>
        <w:gridCol w:w="1986"/>
      </w:tblGrid>
      <w:tr>
        <w:trPr/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elotextu"/>
              <w:rPr>
                <w:rFonts w:ascii="Arial" w:hAnsi="Arial" w:cs="Arial"/>
                <w:i/>
                <w:i/>
                <w:sz w:val="20"/>
              </w:rPr>
            </w:pPr>
            <w:r>
              <w:rPr>
                <w:rFonts w:cs="Arial" w:ascii="Arial" w:hAnsi="Arial"/>
                <w:i/>
                <w:sz w:val="20"/>
              </w:rPr>
              <w:t>Záväzky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elotextu"/>
              <w:jc w:val="center"/>
              <w:rPr>
                <w:rFonts w:ascii="Arial" w:hAnsi="Arial" w:cs="Arial"/>
                <w:i/>
                <w:i/>
                <w:sz w:val="20"/>
              </w:rPr>
            </w:pPr>
            <w:r>
              <w:rPr>
                <w:rFonts w:cs="Arial" w:ascii="Arial" w:hAnsi="Arial"/>
                <w:i/>
                <w:sz w:val="20"/>
              </w:rPr>
              <w:t xml:space="preserve">Minulé obdobie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elotextu"/>
              <w:jc w:val="center"/>
              <w:rPr>
                <w:rFonts w:ascii="Arial" w:hAnsi="Arial" w:cs="Arial"/>
                <w:i/>
                <w:i/>
                <w:sz w:val="20"/>
              </w:rPr>
            </w:pPr>
            <w:r>
              <w:rPr>
                <w:rFonts w:cs="Arial" w:ascii="Arial" w:hAnsi="Arial"/>
                <w:i/>
                <w:sz w:val="20"/>
              </w:rPr>
              <w:t xml:space="preserve">Bežné obdobie </w:t>
            </w:r>
          </w:p>
        </w:tc>
      </w:tr>
      <w:tr>
        <w:trPr>
          <w:trHeight w:val="86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elotextu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V lehote splatnosti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elotextu"/>
              <w:jc w:val="right"/>
              <w:rPr/>
            </w:pPr>
            <w:r>
              <w:rPr>
                <w:rFonts w:cs="Arial" w:ascii="Arial" w:hAnsi="Arial"/>
                <w:sz w:val="20"/>
              </w:rPr>
              <w:t>0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elotextu"/>
              <w:jc w:val="right"/>
              <w:rPr/>
            </w:pPr>
            <w:r>
              <w:rPr>
                <w:rFonts w:cs="Arial" w:ascii="Arial" w:hAnsi="Arial"/>
                <w:sz w:val="20"/>
              </w:rPr>
              <w:t>164</w:t>
            </w:r>
          </w:p>
        </w:tc>
      </w:tr>
      <w:tr>
        <w:trPr/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elotextu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Po lehote splatnosti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elotextu"/>
              <w:jc w:val="right"/>
              <w:rPr/>
            </w:pPr>
            <w:r>
              <w:rPr>
                <w:rFonts w:cs="Arial" w:ascii="Arial" w:hAnsi="Arial"/>
                <w:sz w:val="20"/>
              </w:rPr>
              <w:t>1 107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elotextu"/>
              <w:jc w:val="right"/>
              <w:rPr/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/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elotextu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elotextu"/>
              <w:jc w:val="right"/>
              <w:rPr/>
            </w:pPr>
            <w:r>
              <w:rPr>
                <w:rFonts w:cs="Arial" w:ascii="Arial" w:hAnsi="Arial"/>
                <w:b/>
                <w:sz w:val="20"/>
              </w:rPr>
              <w:t xml:space="preserve">1 </w:t>
            </w:r>
            <w:r>
              <w:rPr>
                <w:rFonts w:cs="Arial" w:ascii="Arial" w:hAnsi="Arial"/>
                <w:b/>
                <w:sz w:val="20"/>
              </w:rPr>
              <w:t>107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elotextu"/>
              <w:jc w:val="right"/>
              <w:rPr/>
            </w:pPr>
            <w:r>
              <w:rPr>
                <w:rFonts w:cs="Arial" w:ascii="Arial" w:hAnsi="Arial"/>
                <w:b/>
                <w:sz w:val="20"/>
              </w:rPr>
              <w:t>164</w:t>
            </w:r>
          </w:p>
        </w:tc>
      </w:tr>
    </w:tbl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numPr>
          <w:ilvl w:val="0"/>
          <w:numId w:val="7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Štruktúra záväzkov podľa zostatkovej doby splatnosti</w:t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072" w:type="dxa"/>
        <w:jc w:val="left"/>
        <w:tblInd w:w="30" w:type="dxa"/>
        <w:tblCellMar>
          <w:top w:w="0" w:type="dxa"/>
          <w:left w:w="30" w:type="dxa"/>
          <w:bottom w:w="0" w:type="dxa"/>
          <w:right w:w="30" w:type="dxa"/>
        </w:tblCellMar>
        <w:tblLook w:val="0000"/>
      </w:tblPr>
      <w:tblGrid>
        <w:gridCol w:w="708"/>
        <w:gridCol w:w="4111"/>
        <w:gridCol w:w="1558"/>
        <w:gridCol w:w="1133"/>
        <w:gridCol w:w="1562"/>
      </w:tblGrid>
      <w:tr>
        <w:trPr>
          <w:trHeight w:val="256" w:hRule="atLeast"/>
          <w:cantSplit w:val="true"/>
        </w:trPr>
        <w:tc>
          <w:tcPr>
            <w:tcW w:w="708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riadok súvahy</w:t>
            </w:r>
          </w:p>
        </w:tc>
        <w:tc>
          <w:tcPr>
            <w:tcW w:w="411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</w:r>
          </w:p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Popis</w:t>
            </w:r>
          </w:p>
        </w:tc>
        <w:tc>
          <w:tcPr>
            <w:tcW w:w="425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Zostatková doba splatnosti</w:t>
            </w:r>
          </w:p>
        </w:tc>
      </w:tr>
      <w:tr>
        <w:trPr>
          <w:trHeight w:val="256" w:hRule="atLeast"/>
          <w:cantSplit w:val="true"/>
        </w:trPr>
        <w:tc>
          <w:tcPr>
            <w:tcW w:w="708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4111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menej ako 1 rok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1-5 rokov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viac ako 5 rokov</w:t>
            </w:r>
          </w:p>
        </w:tc>
      </w:tr>
      <w:tr>
        <w:trPr>
          <w:trHeight w:val="256" w:hRule="atLeast"/>
        </w:trPr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102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Dlhodobé záväzky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iCs/>
              </w:rPr>
            </w:pPr>
            <w:r>
              <w:rPr/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69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/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69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</w:tr>
    </w:tbl>
    <w:p>
      <w:pPr>
        <w:pStyle w:val="Normal"/>
        <w:rPr>
          <w:rFonts w:ascii="Arial" w:hAnsi="Arial" w:cs="Arial"/>
          <w:i/>
          <w:i/>
          <w:color w:val="0000FF"/>
        </w:rPr>
      </w:pPr>
      <w:r>
        <w:rPr>
          <w:rFonts w:cs="Arial" w:ascii="Arial" w:hAnsi="Arial"/>
          <w:i/>
          <w:color w:val="0000FF"/>
        </w:rPr>
      </w:r>
    </w:p>
    <w:p>
      <w:pPr>
        <w:pStyle w:val="Telotextu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.</w:t>
      </w:r>
    </w:p>
    <w:p>
      <w:pPr>
        <w:pStyle w:val="Telotextu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</w:r>
    </w:p>
    <w:p>
      <w:pPr>
        <w:pStyle w:val="Telotextu"/>
        <w:numPr>
          <w:ilvl w:val="0"/>
          <w:numId w:val="7"/>
        </w:numPr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  <w:t>Tvorba a čerpanie sociálneho fondu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4962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b7"/>
      </w:tblPr>
      <w:tblGrid>
        <w:gridCol w:w="3401"/>
        <w:gridCol w:w="1560"/>
      </w:tblGrid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adpis4"/>
              <w:jc w:val="center"/>
              <w:rPr>
                <w:rFonts w:ascii="Arial" w:hAnsi="Arial" w:cs="Arial"/>
                <w:b w:val="false"/>
                <w:b w:val="false"/>
                <w:sz w:val="20"/>
              </w:rPr>
            </w:pPr>
            <w:r>
              <w:rPr>
                <w:rFonts w:cs="Arial" w:ascii="Arial" w:hAnsi="Arial"/>
                <w:b w:val="false"/>
                <w:sz w:val="20"/>
              </w:rPr>
              <w:t>Text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i/>
              </w:rPr>
              <w:t xml:space="preserve">Suma </w:t>
            </w:r>
          </w:p>
        </w:tc>
      </w:tr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/>
            </w:pPr>
            <w:r>
              <w:rPr>
                <w:rFonts w:cs="Arial" w:ascii="Arial" w:hAnsi="Arial"/>
              </w:rPr>
              <w:t>Začiatočný zostatok k 01.01.201</w:t>
            </w:r>
            <w:r>
              <w:rPr>
                <w:rFonts w:cs="Arial" w:ascii="Arial" w:hAnsi="Arial"/>
              </w:rPr>
              <w:t>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69</w:t>
            </w:r>
          </w:p>
        </w:tc>
      </w:tr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Tvorba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/>
            </w:r>
          </w:p>
        </w:tc>
      </w:tr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Čerpanie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/>
            </w:pPr>
            <w:r>
              <w:rPr>
                <w:rFonts w:cs="Arial" w:ascii="Arial" w:hAnsi="Arial"/>
                <w:b/>
              </w:rPr>
              <w:t>Konečný zostatok k 31.12.201</w:t>
            </w:r>
            <w:r>
              <w:rPr>
                <w:rFonts w:cs="Arial" w:ascii="Arial" w:hAnsi="Arial"/>
                <w:b/>
              </w:rPr>
              <w:t>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69</w:t>
            </w:r>
          </w:p>
        </w:tc>
      </w:tr>
    </w:tbl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jc w:val="left"/>
        <w:rPr>
          <w:rFonts w:ascii="Arial" w:hAnsi="Arial" w:cs="Arial"/>
          <w:i/>
          <w:i/>
        </w:rPr>
      </w:pPr>
      <w:r>
        <w:rPr>
          <w:rFonts w:cs="Arial" w:ascii="Arial" w:hAnsi="Arial"/>
          <w:i/>
        </w:rPr>
      </w:r>
    </w:p>
    <w:p>
      <w:pPr>
        <w:pStyle w:val="Normal"/>
        <w:numPr>
          <w:ilvl w:val="0"/>
          <w:numId w:val="14"/>
        </w:numPr>
        <w:shd w:val="pct37" w:color="000000" w:fill="FFFFFF"/>
        <w:jc w:val="left"/>
        <w:rPr>
          <w:rFonts w:ascii="Arial" w:hAnsi="Arial" w:cs="Arial"/>
          <w:i/>
          <w:i/>
        </w:rPr>
      </w:pPr>
      <w:r>
        <w:rPr>
          <w:rFonts w:cs="Arial" w:ascii="Arial" w:hAnsi="Arial"/>
        </w:rPr>
        <w:t>ÚDAJE O BANKOVÝCH ÚVEROCH A VÝPOMOCIACH (Súvaha)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  <w:t>Netýka sa</w:t>
      </w:r>
    </w:p>
    <w:p>
      <w:pPr>
        <w:pStyle w:val="Hlavika"/>
        <w:numPr>
          <w:ilvl w:val="0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jc w:val="left"/>
        <w:rPr>
          <w:rFonts w:ascii="Arial" w:hAnsi="Arial" w:cs="Arial"/>
          <w:i/>
          <w:i/>
        </w:rPr>
      </w:pPr>
      <w:r>
        <w:rPr>
          <w:rFonts w:cs="Arial" w:ascii="Arial" w:hAnsi="Arial"/>
        </w:rPr>
        <w:t>ÚDAJE O ÚČTOCH ČASOVÉHO ROZLÍŠENIA NA STRANE PASÍV (Súvaha )</w:t>
      </w:r>
    </w:p>
    <w:p>
      <w:pPr>
        <w:pStyle w:val="Normal"/>
        <w:numPr>
          <w:ilvl w:val="0"/>
          <w:numId w:val="0"/>
        </w:numPr>
        <w:rPr>
          <w:rFonts w:ascii="Arial" w:hAnsi="Arial" w:cs="Arial"/>
          <w:b/>
          <w:b/>
          <w:i/>
          <w:i/>
        </w:rPr>
      </w:pPr>
      <w:r>
        <w:rPr>
          <w:rFonts w:cs="Arial" w:ascii="Arial" w:hAnsi="Arial"/>
          <w:b/>
          <w:i/>
        </w:rPr>
      </w:r>
    </w:p>
    <w:tbl>
      <w:tblPr>
        <w:tblW w:w="9090" w:type="dxa"/>
        <w:jc w:val="left"/>
        <w:tblInd w:w="30" w:type="dxa"/>
        <w:tblCellMar>
          <w:top w:w="0" w:type="dxa"/>
          <w:left w:w="30" w:type="dxa"/>
          <w:bottom w:w="0" w:type="dxa"/>
          <w:right w:w="30" w:type="dxa"/>
        </w:tblCellMar>
        <w:tblLook w:val="0000"/>
      </w:tblPr>
      <w:tblGrid>
        <w:gridCol w:w="850"/>
        <w:gridCol w:w="3288"/>
        <w:gridCol w:w="2610"/>
        <w:gridCol w:w="2341"/>
      </w:tblGrid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Účet</w:t>
            </w:r>
          </w:p>
        </w:tc>
        <w:tc>
          <w:tcPr>
            <w:tcW w:w="3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Popis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  <w:sz w:val="18"/>
                <w:szCs w:val="18"/>
              </w:rPr>
            </w:pPr>
            <w:r>
              <w:rPr>
                <w:rFonts w:cs="Arial" w:ascii="Arial" w:hAnsi="Arial"/>
                <w:i/>
                <w:sz w:val="18"/>
                <w:szCs w:val="18"/>
              </w:rPr>
              <w:t xml:space="preserve">Začiatočný zostatok </w:t>
            </w:r>
          </w:p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 1.1.201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2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Konečný zostatok                k 31.12.201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384</w:t>
            </w:r>
          </w:p>
        </w:tc>
        <w:tc>
          <w:tcPr>
            <w:tcW w:w="3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Výnosy budúcich období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6" w:hRule="atLeast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  <w:tc>
          <w:tcPr>
            <w:tcW w:w="3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2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</w:tr>
    </w:tbl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jc w:val="left"/>
        <w:rPr>
          <w:rFonts w:ascii="Arial" w:hAnsi="Arial" w:cs="Arial"/>
        </w:rPr>
      </w:pPr>
      <w:r>
        <w:rPr>
          <w:rFonts w:cs="Arial" w:ascii="Arial" w:hAnsi="Arial"/>
        </w:rPr>
        <w:t>DERIVÁTY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Netýka sa.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VÝNOSY, NÁKLADY A VÝSLEDOK HOSPODÁRENIA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3"/>
        <w:numPr>
          <w:ilvl w:val="0"/>
          <w:numId w:val="13"/>
        </w:numPr>
        <w:rPr/>
      </w:pPr>
      <w:r>
        <w:rPr>
          <w:rFonts w:cs="Arial" w:ascii="Arial" w:hAnsi="Arial"/>
        </w:rPr>
        <w:t>Rekapitulácia výsledku hospodárenia za rok 201</w:t>
      </w:r>
      <w:r>
        <w:rPr>
          <w:rFonts w:cs="Arial" w:ascii="Arial" w:hAnsi="Arial"/>
        </w:rPr>
        <w:t>9</w:t>
      </w:r>
      <w:r>
        <w:rPr>
          <w:rFonts w:cs="Arial" w:ascii="Arial" w:hAnsi="Arial"/>
        </w:rPr>
        <w:t xml:space="preserve"> pred zdanením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072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244"/>
        <w:gridCol w:w="1559"/>
        <w:gridCol w:w="1133"/>
        <w:gridCol w:w="1135"/>
      </w:tblGrid>
      <w:tr>
        <w:trPr/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Riadok výkazu ziskov a strát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Bežné obdobie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Minulé obdobie</w:t>
            </w:r>
          </w:p>
        </w:tc>
      </w:tr>
      <w:tr>
        <w:trPr/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Výsledok hospodárenia z hospodárskej činnosti (zisk)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18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29 034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14 872</w:t>
            </w:r>
          </w:p>
        </w:tc>
      </w:tr>
      <w:tr>
        <w:trPr/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Výsledok hospodárenia z finančnej činnosti (zisk)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Výsledok hospodárenia z mimoriadnej činnosti (zisk)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80" w:hRule="atLeast"/>
        </w:trPr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 xml:space="preserve">Výsledok hospodárenia pred zdanením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xxx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29 034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center" w:pos="497" w:leader="none"/>
                <w:tab w:val="right" w:pos="994" w:leader="none"/>
              </w:tabs>
              <w:jc w:val="left"/>
              <w:rPr/>
            </w:pPr>
            <w:r>
              <w:rPr>
                <w:rFonts w:cs="Arial" w:ascii="Arial" w:hAnsi="Arial"/>
                <w:b/>
              </w:rPr>
              <w:tab/>
              <w:t xml:space="preserve">     </w:t>
            </w:r>
            <w:r>
              <w:rPr>
                <w:rFonts w:cs="Arial" w:ascii="Arial" w:hAnsi="Arial"/>
                <w:b/>
              </w:rPr>
              <w:t>14 872</w:t>
            </w:r>
          </w:p>
        </w:tc>
      </w:tr>
    </w:tbl>
    <w:p>
      <w:pPr>
        <w:pStyle w:val="Nadpis3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3"/>
        <w:numPr>
          <w:ilvl w:val="0"/>
          <w:numId w:val="13"/>
        </w:numPr>
        <w:rPr>
          <w:rFonts w:ascii="Arial" w:hAnsi="Arial" w:cs="Arial"/>
        </w:rPr>
      </w:pPr>
      <w:r>
        <w:rPr>
          <w:rFonts w:cs="Arial" w:ascii="Arial" w:hAnsi="Arial"/>
        </w:rPr>
        <w:t>Údaje o tržbách za vlastné výkony a tovar</w:t>
      </w:r>
      <w:r>
        <w:rPr>
          <w:rFonts w:cs="Arial" w:ascii="Arial" w:hAnsi="Arial"/>
          <w:b w:val="false"/>
        </w:rPr>
        <w:t xml:space="preserve"> (Výkaz ziskov a strát )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9214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b7"/>
      </w:tblPr>
      <w:tblGrid>
        <w:gridCol w:w="2551"/>
        <w:gridCol w:w="1133"/>
        <w:gridCol w:w="1134"/>
        <w:gridCol w:w="1133"/>
        <w:gridCol w:w="1276"/>
        <w:gridCol w:w="1"/>
        <w:gridCol w:w="990"/>
        <w:gridCol w:w="995"/>
      </w:tblGrid>
      <w:tr>
        <w:trPr>
          <w:trHeight w:val="588" w:hRule="atLeast"/>
          <w:cantSplit w:val="true"/>
        </w:trPr>
        <w:tc>
          <w:tcPr>
            <w:tcW w:w="255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adpis4"/>
              <w:jc w:val="center"/>
              <w:rPr>
                <w:rFonts w:ascii="Arial" w:hAnsi="Arial" w:cs="Arial"/>
                <w:b w:val="false"/>
                <w:b w:val="false"/>
                <w:sz w:val="20"/>
              </w:rPr>
            </w:pPr>
            <w:r>
              <w:rPr>
                <w:rFonts w:cs="Arial" w:ascii="Arial" w:hAnsi="Arial"/>
                <w:b w:val="false"/>
                <w:sz w:val="20"/>
              </w:rPr>
              <w:t>Druh tovarov, výrobkov, poskytovaných služieb</w:t>
            </w:r>
          </w:p>
        </w:tc>
        <w:tc>
          <w:tcPr>
            <w:tcW w:w="226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i/>
              </w:rPr>
              <w:t>Hodnota tuzemsko</w:t>
            </w:r>
          </w:p>
        </w:tc>
        <w:tc>
          <w:tcPr>
            <w:tcW w:w="241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i/>
              </w:rPr>
              <w:t>Hodnota   zahraničie</w:t>
            </w:r>
          </w:p>
        </w:tc>
        <w:tc>
          <w:tcPr>
            <w:tcW w:w="19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Spolu</w:t>
            </w:r>
          </w:p>
        </w:tc>
      </w:tr>
      <w:tr>
        <w:trPr>
          <w:cantSplit w:val="true"/>
        </w:trPr>
        <w:tc>
          <w:tcPr>
            <w:tcW w:w="2551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201</w:t>
            </w:r>
            <w:r>
              <w:rPr>
                <w:rFonts w:cs="Arial" w:ascii="Arial" w:hAnsi="Arial"/>
              </w:rPr>
              <w:t>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201</w:t>
            </w:r>
            <w:r>
              <w:rPr>
                <w:rFonts w:cs="Arial" w:ascii="Arial" w:hAnsi="Arial"/>
              </w:rPr>
              <w:t>9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201</w:t>
            </w:r>
            <w:r>
              <w:rPr>
                <w:rFonts w:cs="Arial" w:ascii="Arial" w:hAnsi="Arial"/>
              </w:rPr>
              <w:t>8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201</w:t>
            </w:r>
            <w:r>
              <w:rPr>
                <w:rFonts w:cs="Arial" w:ascii="Arial" w:hAnsi="Arial"/>
              </w:rPr>
              <w:t>9</w:t>
            </w:r>
          </w:p>
        </w:tc>
        <w:tc>
          <w:tcPr>
            <w:tcW w:w="99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201</w:t>
            </w:r>
            <w:r>
              <w:rPr>
                <w:rFonts w:cs="Arial" w:ascii="Arial" w:hAnsi="Arial"/>
              </w:rPr>
              <w:t>8</w:t>
            </w:r>
          </w:p>
        </w:tc>
        <w:tc>
          <w:tcPr>
            <w:tcW w:w="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201</w:t>
            </w:r>
            <w:r>
              <w:rPr>
                <w:rFonts w:cs="Arial" w:ascii="Arial" w:hAnsi="Arial"/>
              </w:rPr>
              <w:t>9</w:t>
            </w:r>
          </w:p>
        </w:tc>
      </w:tr>
      <w:tr>
        <w:trPr/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Predaný tovar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center" w:pos="497" w:leader="none"/>
                <w:tab w:val="right" w:pos="994" w:leader="none"/>
              </w:tabs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ab/>
              <w:tab/>
              <w:t>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Cs/>
              </w:rPr>
            </w:pPr>
            <w:r>
              <w:rPr>
                <w:rFonts w:cs="Arial" w:ascii="Arial" w:hAnsi="Arial"/>
                <w:bCs/>
              </w:rPr>
              <w:t>0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Cs/>
              </w:rPr>
            </w:pPr>
            <w:r>
              <w:rPr>
                <w:rFonts w:cs="Arial" w:ascii="Arial" w:hAnsi="Arial"/>
                <w:bCs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Poskytnuté služby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center" w:pos="497" w:leader="none"/>
                <w:tab w:val="right" w:pos="994" w:leader="none"/>
              </w:tabs>
              <w:jc w:val="right"/>
              <w:rPr/>
            </w:pPr>
            <w:r>
              <w:rPr>
                <w:rFonts w:cs="Arial" w:ascii="Arial" w:hAnsi="Arial"/>
              </w:rPr>
              <w:tab/>
            </w:r>
            <w:r>
              <w:rPr>
                <w:rFonts w:cs="Arial" w:ascii="Arial" w:hAnsi="Arial"/>
              </w:rPr>
              <w:t>48 5</w:t>
            </w:r>
            <w:r>
              <w:rPr>
                <w:rFonts w:cs="Arial" w:ascii="Arial" w:hAnsi="Arial"/>
              </w:rPr>
              <w:t>3</w:t>
            </w:r>
            <w:r>
              <w:rPr>
                <w:rFonts w:cs="Arial" w:ascii="Arial" w:hAnsi="Arial"/>
              </w:rPr>
              <w:t>9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84 414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center" w:pos="426" w:leader="none"/>
                <w:tab w:val="right" w:pos="852" w:leader="none"/>
              </w:tabs>
              <w:jc w:val="left"/>
              <w:rPr/>
            </w:pPr>
            <w:r>
              <w:rPr>
                <w:rFonts w:cs="Arial" w:ascii="Arial" w:hAnsi="Arial"/>
              </w:rPr>
              <w:t xml:space="preserve">    </w:t>
            </w:r>
            <w:r>
              <w:rPr>
                <w:rFonts w:cs="Arial" w:ascii="Arial" w:hAnsi="Arial"/>
              </w:rPr>
              <w:t>48 5</w:t>
            </w:r>
            <w:r>
              <w:rPr>
                <w:rFonts w:cs="Arial" w:ascii="Arial" w:hAnsi="Arial"/>
              </w:rPr>
              <w:t>3</w:t>
            </w:r>
            <w:r>
              <w:rPr>
                <w:rFonts w:cs="Arial" w:ascii="Arial" w:hAnsi="Arial"/>
              </w:rPr>
              <w:t>9</w:t>
            </w:r>
          </w:p>
        </w:tc>
        <w:tc>
          <w:tcPr>
            <w:tcW w:w="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</w:rPr>
              <w:t>84</w:t>
            </w: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414</w:t>
            </w:r>
          </w:p>
        </w:tc>
      </w:tr>
      <w:tr>
        <w:trPr/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</w:rPr>
              <w:t>Spolu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48 5</w:t>
            </w:r>
            <w:r>
              <w:rPr>
                <w:rFonts w:cs="Arial" w:ascii="Arial" w:hAnsi="Arial"/>
                <w:b/>
              </w:rPr>
              <w:t>3</w:t>
            </w:r>
            <w:r>
              <w:rPr>
                <w:rFonts w:cs="Arial" w:ascii="Arial" w:hAnsi="Arial"/>
                <w:b/>
              </w:rPr>
              <w:t>9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84 414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48</w:t>
            </w:r>
            <w:r>
              <w:rPr>
                <w:rFonts w:cs="Arial" w:ascii="Arial" w:hAnsi="Arial"/>
                <w:b/>
              </w:rPr>
              <w:t xml:space="preserve"> </w:t>
            </w:r>
            <w:r>
              <w:rPr>
                <w:rFonts w:cs="Arial" w:ascii="Arial" w:hAnsi="Arial"/>
                <w:b/>
              </w:rPr>
              <w:t>539</w:t>
            </w:r>
          </w:p>
        </w:tc>
        <w:tc>
          <w:tcPr>
            <w:tcW w:w="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cs="Arial" w:ascii="Arial" w:hAnsi="Arial"/>
                <w:b/>
              </w:rPr>
              <w:t>84 414</w:t>
            </w:r>
          </w:p>
        </w:tc>
      </w:tr>
    </w:tbl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3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Iné významné položky výnosov z hospodárskej činnosti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9072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19"/>
        <w:gridCol w:w="840"/>
        <w:gridCol w:w="4536"/>
        <w:gridCol w:w="1416"/>
        <w:gridCol w:w="1561"/>
      </w:tblGrid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Účet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r. VZaS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Popis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</w:rPr>
              <w:t>Bežné obdobie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</w:rPr>
              <w:t>Minulé obdobie</w:t>
            </w:r>
          </w:p>
        </w:tc>
      </w:tr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641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19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Tržby z predaja dlhodobého majetku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644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22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Zmluvné pokuty a úroky z omeškania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648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22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prevádzkové výnosy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1 377</w:t>
            </w:r>
          </w:p>
        </w:tc>
      </w:tr>
    </w:tbl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3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Údaje o kurzových ziskoch a stratách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9142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b7"/>
      </w:tblPr>
      <w:tblGrid>
        <w:gridCol w:w="1486"/>
        <w:gridCol w:w="764"/>
        <w:gridCol w:w="1114"/>
        <w:gridCol w:w="1169"/>
        <w:gridCol w:w="1073"/>
        <w:gridCol w:w="1106"/>
        <w:gridCol w:w="1144"/>
        <w:gridCol w:w="1285"/>
      </w:tblGrid>
      <w:tr>
        <w:trPr>
          <w:cantSplit w:val="true"/>
        </w:trPr>
        <w:tc>
          <w:tcPr>
            <w:tcW w:w="1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adpis4"/>
              <w:jc w:val="center"/>
              <w:rPr>
                <w:rFonts w:ascii="Arial" w:hAnsi="Arial" w:cs="Arial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cs="Arial" w:ascii="Arial" w:hAnsi="Arial"/>
                <w:b w:val="false"/>
                <w:i w:val="false"/>
                <w:sz w:val="20"/>
              </w:rPr>
            </w:r>
          </w:p>
        </w:tc>
        <w:tc>
          <w:tcPr>
            <w:tcW w:w="7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  <w:i/>
              </w:rPr>
              <w:t>r. VZaS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Počas r.201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116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 31.12.201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107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Spolu 201</w:t>
            </w:r>
            <w:r>
              <w:rPr>
                <w:rFonts w:cs="Arial" w:ascii="Arial" w:hAnsi="Arial"/>
                <w:i/>
                <w:sz w:val="18"/>
                <w:szCs w:val="18"/>
              </w:rPr>
              <w:t>9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Počas 201</w:t>
            </w:r>
            <w:r>
              <w:rPr>
                <w:rFonts w:cs="Arial" w:ascii="Arial" w:hAnsi="Arial"/>
                <w:i/>
                <w:sz w:val="18"/>
                <w:szCs w:val="18"/>
              </w:rPr>
              <w:t>8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k 1.12.201</w:t>
            </w:r>
            <w:r>
              <w:rPr>
                <w:rFonts w:cs="Arial" w:ascii="Arial" w:hAnsi="Arial"/>
                <w:i/>
                <w:sz w:val="18"/>
                <w:szCs w:val="18"/>
              </w:rPr>
              <w:t>8</w:t>
            </w:r>
          </w:p>
        </w:tc>
        <w:tc>
          <w:tcPr>
            <w:tcW w:w="1285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" w:ascii="Arial" w:hAnsi="Arial"/>
                <w:i/>
                <w:sz w:val="18"/>
                <w:szCs w:val="18"/>
              </w:rPr>
              <w:t>Spolu 201</w:t>
            </w:r>
            <w:r>
              <w:rPr>
                <w:rFonts w:cs="Arial" w:ascii="Arial" w:hAnsi="Arial"/>
                <w:i/>
                <w:sz w:val="18"/>
                <w:szCs w:val="18"/>
              </w:rPr>
              <w:t>8</w:t>
            </w:r>
          </w:p>
        </w:tc>
      </w:tr>
      <w:tr>
        <w:trPr/>
        <w:tc>
          <w:tcPr>
            <w:tcW w:w="1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Kurzové zisky</w:t>
            </w:r>
          </w:p>
        </w:tc>
        <w:tc>
          <w:tcPr>
            <w:tcW w:w="7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40</w:t>
            </w:r>
          </w:p>
        </w:tc>
        <w:tc>
          <w:tcPr>
            <w:tcW w:w="111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1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Kurzové straty</w:t>
            </w:r>
          </w:p>
        </w:tc>
        <w:tc>
          <w:tcPr>
            <w:tcW w:w="7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41</w:t>
            </w:r>
          </w:p>
        </w:tc>
        <w:tc>
          <w:tcPr>
            <w:tcW w:w="111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1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1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</w:rPr>
            </w:pPr>
            <w:r>
              <w:rPr>
                <w:rFonts w:cs="Arial" w:ascii="Arial" w:hAnsi="Arial"/>
                <w:b/>
              </w:rPr>
              <w:t>Spolu</w:t>
            </w:r>
          </w:p>
        </w:tc>
        <w:tc>
          <w:tcPr>
            <w:tcW w:w="7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</w:r>
          </w:p>
        </w:tc>
        <w:tc>
          <w:tcPr>
            <w:tcW w:w="111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16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14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28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</w:tr>
    </w:tbl>
    <w:p>
      <w:pPr>
        <w:pStyle w:val="Hlavika"/>
        <w:numPr>
          <w:ilvl w:val="0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numPr>
          <w:ilvl w:val="0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3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 xml:space="preserve">Údaje o mimoriadnych výnosoch </w:t>
      </w:r>
      <w:r>
        <w:rPr>
          <w:rFonts w:cs="Arial" w:ascii="Arial" w:hAnsi="Arial"/>
        </w:rPr>
        <w:t>(Výkaz ziskov a strát)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9072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b7"/>
      </w:tblPr>
      <w:tblGrid>
        <w:gridCol w:w="2976"/>
        <w:gridCol w:w="3119"/>
        <w:gridCol w:w="2977"/>
      </w:tblGrid>
      <w:tr>
        <w:trPr/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adpis4"/>
              <w:jc w:val="center"/>
              <w:rPr>
                <w:rFonts w:ascii="Arial" w:hAnsi="Arial" w:cs="Arial"/>
                <w:b w:val="false"/>
                <w:b w:val="false"/>
                <w:sz w:val="20"/>
              </w:rPr>
            </w:pPr>
            <w:r>
              <w:rPr>
                <w:rFonts w:cs="Arial" w:ascii="Arial" w:hAnsi="Arial"/>
                <w:b w:val="false"/>
                <w:sz w:val="20"/>
              </w:rPr>
              <w:t xml:space="preserve">Mimoriadny výnos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Suma (týkajúca sa bežného obdobia)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Suma (týkajúca sa minulých účtovných období)</w:t>
            </w:r>
          </w:p>
        </w:tc>
      </w:tr>
      <w:tr>
        <w:trPr/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mimoriadne výnosy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</w:tr>
    </w:tbl>
    <w:p>
      <w:pPr>
        <w:pStyle w:val="Hlavika"/>
        <w:numPr>
          <w:ilvl w:val="0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numPr>
          <w:ilvl w:val="0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3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Významné položky nákladov za prijaté služby</w:t>
      </w:r>
      <w:r>
        <w:rPr>
          <w:rFonts w:cs="Arial" w:ascii="Arial" w:hAnsi="Arial"/>
        </w:rPr>
        <w:t xml:space="preserve"> (Výkaz ziskov a strát )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9214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992"/>
        <w:gridCol w:w="567"/>
        <w:gridCol w:w="4251"/>
        <w:gridCol w:w="1843"/>
        <w:gridCol w:w="1561"/>
      </w:tblGrid>
      <w:tr>
        <w:trPr/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Účet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r. VZaS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Popis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</w:rPr>
              <w:t>Bežné obdobie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</w:rPr>
              <w:t>Minulé obdobie</w:t>
            </w:r>
          </w:p>
        </w:tc>
      </w:tr>
      <w:tr>
        <w:trPr/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511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10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Opravy a udržiavanie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512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10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služby - cestovné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518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10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služby - účtovníctvo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518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10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Ostatné služby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4</w:t>
            </w:r>
            <w:r>
              <w:rPr>
                <w:rFonts w:cs="Arial" w:ascii="Arial" w:hAnsi="Arial"/>
              </w:rPr>
              <w:t>193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4</w:t>
            </w:r>
            <w:r>
              <w:rPr>
                <w:rFonts w:cs="Arial" w:ascii="Arial" w:hAnsi="Arial"/>
              </w:rPr>
              <w:t>673</w:t>
            </w:r>
          </w:p>
        </w:tc>
      </w:tr>
    </w:tbl>
    <w:p>
      <w:pPr>
        <w:pStyle w:val="Hlavika"/>
        <w:numPr>
          <w:ilvl w:val="0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numPr>
          <w:ilvl w:val="0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lavika"/>
        <w:numPr>
          <w:ilvl w:val="0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3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Iné významné položky nákladov na hospodársku činnosť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9214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19"/>
        <w:gridCol w:w="840"/>
        <w:gridCol w:w="4535"/>
        <w:gridCol w:w="1558"/>
        <w:gridCol w:w="1562"/>
      </w:tblGrid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Účet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r. VZaS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Popis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</w:rPr>
              <w:t>Bežné obdobie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</w:rPr>
              <w:t>Minulé obdobie</w:t>
            </w:r>
          </w:p>
        </w:tc>
      </w:tr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521-2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13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Mzdové náklady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1 309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3 374</w:t>
            </w:r>
          </w:p>
        </w:tc>
      </w:tr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524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15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Zákonné sociálne zabezpečenie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382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1188</w:t>
            </w:r>
          </w:p>
        </w:tc>
      </w:tr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538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17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dane a poplatky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118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541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20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Zostatková cena predaného dlhodobého majetku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551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18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Odpisy dlhodobého hmot. a nehmotného majetku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1 345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543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23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Dary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/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3</w:t>
            </w:r>
          </w:p>
        </w:tc>
      </w:tr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549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23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Manká a škody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Hlavika"/>
        <w:numPr>
          <w:ilvl w:val="0"/>
          <w:numId w:val="0"/>
        </w:numPr>
        <w:tabs>
          <w:tab w:val="clear" w:pos="4536"/>
          <w:tab w:val="clear" w:pos="9072"/>
        </w:tabs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Hlavika"/>
        <w:numPr>
          <w:ilvl w:val="0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3"/>
        </w:numPr>
        <w:rPr>
          <w:rFonts w:ascii="Arial" w:hAnsi="Arial" w:cs="Arial"/>
          <w:b/>
          <w:b/>
          <w:i/>
          <w:i/>
        </w:rPr>
      </w:pPr>
      <w:r>
        <w:rPr>
          <w:rFonts w:cs="Arial" w:ascii="Arial" w:hAnsi="Arial"/>
          <w:b/>
        </w:rPr>
        <w:t xml:space="preserve">Významné položky finančných nákladov </w:t>
      </w:r>
      <w:r>
        <w:rPr>
          <w:rFonts w:cs="Arial" w:ascii="Arial" w:hAnsi="Arial"/>
          <w:i/>
        </w:rPr>
        <w:t>(okrem kurzových strát)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tbl>
      <w:tblPr>
        <w:tblW w:w="9214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19"/>
        <w:gridCol w:w="840"/>
        <w:gridCol w:w="4535"/>
        <w:gridCol w:w="1558"/>
        <w:gridCol w:w="1562"/>
      </w:tblGrid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Účet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r. VZaS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i/>
                <w:i/>
              </w:rPr>
            </w:pPr>
            <w:r>
              <w:rPr>
                <w:rFonts w:cs="Arial" w:ascii="Arial" w:hAnsi="Arial"/>
                <w:i/>
              </w:rPr>
              <w:t>Popis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</w:rPr>
              <w:t>Bežné obdobie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</w:rPr>
              <w:t>Minulé obdobie</w:t>
            </w:r>
          </w:p>
        </w:tc>
      </w:tr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562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39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Nákladové úroky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/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568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43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finančné náklady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95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114</w:t>
            </w:r>
          </w:p>
        </w:tc>
      </w:tr>
    </w:tbl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DAŇ Z PRÍJMOV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adpis1"/>
        <w:spacing w:before="0" w:after="0"/>
        <w:rPr>
          <w:rFonts w:ascii="Arial" w:hAnsi="Arial" w:cs="Arial"/>
          <w:kern w:val="0"/>
        </w:rPr>
      </w:pPr>
      <w:r>
        <w:rPr>
          <w:rFonts w:cs="Arial" w:ascii="Arial" w:hAnsi="Arial"/>
          <w:kern w:val="0"/>
        </w:rPr>
        <w:t>SPLATNÁ DAŇ Z PRÍJMOV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adpis3"/>
        <w:rPr>
          <w:rFonts w:ascii="Arial" w:hAnsi="Arial" w:cs="Arial"/>
        </w:rPr>
      </w:pPr>
      <w:r>
        <w:rPr>
          <w:rFonts w:cs="Arial" w:ascii="Arial" w:hAnsi="Arial"/>
        </w:rPr>
        <w:t>Transformácia účtovného výsledku hospodárenia na základ dane z príjmov právnických osôb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Výsledok hospodárenia pred zdanením predstavuje rozdiel výnosov účtovaných na účtoch účtovej triedy 6 a nákladov účtovaných na účtoch účtovných skupín 50 až 58 a účtoch 596, 597 a 598 a je v účtovnej závierke rozdelený na výsledok hospodárenia hospodársky, finančný a mimoriadny.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/>
      </w:pPr>
      <w:r>
        <w:rPr>
          <w:rFonts w:cs="Arial" w:ascii="Arial" w:hAnsi="Arial"/>
        </w:rPr>
        <w:t>Zosúladenie účtovného výsledku hospodárenia za bežné obdobie s daňovým základom dane z príjmov za rok 201</w:t>
      </w:r>
      <w:r>
        <w:rPr>
          <w:rFonts w:cs="Arial" w:ascii="Arial" w:hAnsi="Arial"/>
        </w:rPr>
        <w:t>9</w:t>
      </w:r>
      <w:r>
        <w:rPr>
          <w:rFonts w:cs="Arial" w:ascii="Arial" w:hAnsi="Arial"/>
        </w:rPr>
        <w:t xml:space="preserve"> je nasledovné:</w:t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120" w:type="dxa"/>
        <w:jc w:val="left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000"/>
      </w:tblPr>
      <w:tblGrid>
        <w:gridCol w:w="7049"/>
        <w:gridCol w:w="2070"/>
      </w:tblGrid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Účtovný výsledok hospodárenia (pred zdanením)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  <w:b/>
              </w:rPr>
              <w:t>2</w:t>
            </w:r>
            <w:r>
              <w:rPr>
                <w:rFonts w:cs="Arial" w:ascii="Arial" w:hAnsi="Arial"/>
                <w:b/>
              </w:rPr>
              <w:t>8 939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  <w:i/>
              </w:rPr>
              <w:t>Pripočítateľné položky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  <w:b/>
                <w:i/>
              </w:rPr>
              <w:t xml:space="preserve">1 </w:t>
            </w:r>
            <w:r>
              <w:rPr>
                <w:rFonts w:cs="Arial" w:ascii="Arial" w:hAnsi="Arial"/>
                <w:b/>
                <w:i/>
              </w:rPr>
              <w:t>478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Spotreba PHM– nedaňový náklad 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1358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Náklady na reprezentáciu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sociálne náklady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Manká, škody a reklamácie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Dary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Hlavika"/>
              <w:numPr>
                <w:ilvl w:val="0"/>
                <w:numId w:val="0"/>
              </w:numPr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pokuty a penále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</w:rPr>
              <w:t>120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 služby – nedaňové náklady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cs="Arial" w:ascii="Arial" w:hAnsi="Arial"/>
                <w:bCs/>
              </w:rPr>
              <w:t>Úroky – naviac vyplatené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  <w:bCs/>
              </w:rPr>
            </w:pPr>
            <w:r>
              <w:rPr>
                <w:rFonts w:cs="Arial" w:ascii="Arial" w:hAnsi="Arial"/>
                <w:bCs/>
              </w:rPr>
              <w:t>0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cs="Arial" w:ascii="Arial" w:hAnsi="Arial"/>
                <w:bCs/>
              </w:rPr>
              <w:t>Ostatné  náklady – nedaňové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  <w:bCs/>
              </w:rPr>
            </w:pPr>
            <w:r>
              <w:rPr>
                <w:rFonts w:cs="Arial" w:ascii="Arial" w:hAnsi="Arial"/>
                <w:bCs/>
              </w:rPr>
              <w:t>0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Zmluvné pokuty a penále nezaplatené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  <w:i/>
              </w:rPr>
              <w:t>Odpočítateľné položky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  <w:b/>
                <w:b/>
                <w:i/>
                <w:i/>
              </w:rPr>
            </w:pPr>
            <w:r>
              <w:rPr>
                <w:rFonts w:cs="Arial" w:ascii="Arial" w:hAnsi="Arial"/>
                <w:b/>
                <w:i/>
              </w:rPr>
              <w:t>0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Výnosy nedaňové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50" w:hRule="atLeast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adpis3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Základ dane  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  <w:b/>
              </w:rPr>
              <w:t>30417</w:t>
            </w:r>
          </w:p>
        </w:tc>
      </w:tr>
      <w:tr>
        <w:trPr>
          <w:trHeight w:val="264" w:hRule="atLeast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Odpočet daňovej straty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264" w:hRule="atLeast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Základ dane (upravený)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  <w:b/>
              </w:rPr>
              <w:t>30 417</w:t>
            </w:r>
          </w:p>
        </w:tc>
      </w:tr>
      <w:tr>
        <w:trPr>
          <w:trHeight w:val="264" w:hRule="atLeast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 xml:space="preserve">Daň </w:t>
            </w:r>
            <w:r>
              <w:rPr>
                <w:rFonts w:cs="Arial" w:ascii="Arial" w:hAnsi="Arial"/>
              </w:rPr>
              <w:t>(21%), Daňová licencia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  <w:b/>
              </w:rPr>
              <w:t>6 38</w:t>
            </w:r>
            <w:r>
              <w:rPr>
                <w:rFonts w:cs="Arial" w:ascii="Arial" w:hAnsi="Arial"/>
                <w:b/>
              </w:rPr>
              <w:t>8</w:t>
            </w:r>
          </w:p>
        </w:tc>
      </w:tr>
      <w:tr>
        <w:trPr>
          <w:trHeight w:val="264" w:hRule="atLeast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adpis9"/>
              <w:ind w:left="0" w:hanging="0"/>
              <w:rPr>
                <w:rFonts w:ascii="Arial" w:hAnsi="Arial" w:cs="Arial"/>
                <w:color w:val="auto"/>
                <w:sz w:val="20"/>
              </w:rPr>
            </w:pPr>
            <w:r>
              <w:rPr>
                <w:rFonts w:cs="Arial" w:ascii="Arial" w:hAnsi="Arial"/>
                <w:color w:val="auto"/>
                <w:sz w:val="20"/>
              </w:rPr>
              <w:t>Zaplatené preddavky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264" w:hRule="atLeast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adpis9"/>
              <w:ind w:left="0" w:hanging="0"/>
              <w:rPr>
                <w:rFonts w:ascii="Arial" w:hAnsi="Arial" w:cs="Arial"/>
                <w:color w:val="auto"/>
                <w:sz w:val="20"/>
              </w:rPr>
            </w:pPr>
            <w:r>
              <w:rPr>
                <w:rFonts w:cs="Arial" w:ascii="Arial" w:hAnsi="Arial"/>
                <w:color w:val="auto"/>
                <w:sz w:val="20"/>
              </w:rPr>
              <w:t>Zrážková daň z úrokov podľa §43 ods. 7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0 </w:t>
            </w:r>
          </w:p>
        </w:tc>
      </w:tr>
      <w:tr>
        <w:trPr>
          <w:trHeight w:val="264" w:hRule="atLeast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 xml:space="preserve">Daňová povinnosť 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jc w:val="right"/>
              <w:rPr/>
            </w:pPr>
            <w:r>
              <w:rPr>
                <w:rFonts w:cs="Arial" w:ascii="Arial" w:hAnsi="Arial"/>
                <w:b/>
              </w:rPr>
              <w:t>6 388</w:t>
            </w:r>
            <w:r>
              <w:rPr>
                <w:rFonts w:cs="Arial" w:ascii="Arial" w:hAnsi="Arial"/>
                <w:b/>
              </w:rPr>
              <w:t xml:space="preserve"> </w:t>
            </w:r>
          </w:p>
        </w:tc>
      </w:tr>
    </w:tbl>
    <w:p>
      <w:pPr>
        <w:pStyle w:val="Nadpis1"/>
        <w:spacing w:before="0" w:after="0"/>
        <w:rPr>
          <w:rFonts w:ascii="Arial" w:hAnsi="Arial" w:cs="Arial"/>
          <w:kern w:val="0"/>
        </w:rPr>
      </w:pPr>
      <w:r>
        <w:rPr>
          <w:rFonts w:cs="Arial" w:ascii="Arial" w:hAnsi="Arial"/>
          <w:kern w:val="0"/>
        </w:rPr>
      </w:r>
    </w:p>
    <w:p>
      <w:pPr>
        <w:pStyle w:val="Nadpis1"/>
        <w:spacing w:before="0" w:after="0"/>
        <w:rPr>
          <w:rFonts w:ascii="Arial" w:hAnsi="Arial" w:cs="Arial"/>
          <w:kern w:val="0"/>
        </w:rPr>
      </w:pPr>
      <w:r>
        <w:rPr>
          <w:rFonts w:cs="Arial" w:ascii="Arial" w:hAnsi="Arial"/>
          <w:kern w:val="0"/>
        </w:rPr>
        <w:t>ODLOŽENÁ DAŇ Z PRÍJMOV</w:t>
      </w:r>
    </w:p>
    <w:p>
      <w:pPr>
        <w:pStyle w:val="Normal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  <w:t xml:space="preserve">Spoločnosť  vo vykazovanom  účtovnom období nemá povinnosť účtovať o odloženej dani z príjmov.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PODSÚVAHOVÉ ÚČTY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Spoločnosť nemá povinnosť účtovať na podsúvahových účtoch.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ZÁVÄZKY, KTORÉ SA V ÚČTOVNÍCTVE NEEVIDUJÚ</w:t>
      </w:r>
    </w:p>
    <w:p>
      <w:pPr>
        <w:pStyle w:val="Normal"/>
        <w:rPr>
          <w:rFonts w:ascii="Arial" w:hAnsi="Arial" w:cs="Arial"/>
          <w:color w:val="00FF00"/>
        </w:rPr>
      </w:pPr>
      <w:r>
        <w:rPr>
          <w:rFonts w:cs="Arial" w:ascii="Arial" w:hAnsi="Arial"/>
          <w:color w:val="00FF00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Spoločnosti sa netýka.</w:t>
      </w:r>
    </w:p>
    <w:p>
      <w:pPr>
        <w:pStyle w:val="Normal"/>
        <w:rPr>
          <w:rFonts w:ascii="Arial" w:hAnsi="Arial" w:cs="Arial"/>
          <w:color w:val="00FF00"/>
        </w:rPr>
      </w:pPr>
      <w:r>
        <w:rPr>
          <w:rFonts w:cs="Arial" w:ascii="Arial" w:hAnsi="Arial"/>
          <w:color w:val="00FF00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OSTATNÉ FINANČNÉ POVINNOSTI A PRÁVA KTORÉ SA NEUVÁDZAJÚ V SÚVAHE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Spoločnosti sa netýka.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ÚDAJE O ČLENOCH ŠTATUTÁRNYCH, DOZORNÝCH, SPRÁVNYCH, RIADIACICH A INÝCH ORGÁNOV SPOLOČNOSTI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Netýka sa.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ÚDAJE O SPRIAZNENÝCH OSOBÁCH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  <w:t>Netýka sa</w:t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0"/>
        </w:numPr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cs="Arial" w:ascii="Arial" w:hAnsi="Arial"/>
        </w:rPr>
        <w:t>NÁSLEDNÉ UDALOSTI</w:t>
      </w:r>
    </w:p>
    <w:p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>Spoločnosti nie sú známe žiadne iné skutočnosti, ktoré vznikli po dni, ku ktorému je zostavená účtovná závierka, ktoré by významnejším spôsobom menili výsledky účtovnej závierky za rok 2018</w:t>
      </w:r>
      <w:bookmarkStart w:id="0" w:name="_GoBack"/>
      <w:bookmarkEnd w:id="0"/>
      <w:r>
        <w:rPr>
          <w:rFonts w:cs="Arial" w:ascii="Arial" w:hAnsi="Arial"/>
        </w:rPr>
        <w:t xml:space="preserve"> resp. by významnejším spôsobom ovplyvnili činnosť spoločnosti v nasledujúcich účtovných obdobiach. 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134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>
        <w:rStyle w:val="Pagenumber"/>
      </w:rPr>
      <w:t xml:space="preserve">- </w:t>
    </w:r>
    <w:r>
      <w:rPr>
        <w:rStyle w:val="Pagenumber"/>
      </w:rPr>
      <w:fldChar w:fldCharType="begin"/>
    </w:r>
    <w:r>
      <w:rPr>
        <w:rStyle w:val="Pagenumber"/>
      </w:rPr>
      <w:instrText> PAGE </w:instrText>
    </w:r>
    <w:r>
      <w:rPr>
        <w:rStyle w:val="Pagenumber"/>
      </w:rPr>
      <w:fldChar w:fldCharType="separate"/>
    </w:r>
    <w:r>
      <w:rPr>
        <w:rStyle w:val="Pagenumber"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-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  <w:t>Poznámky k účtovnej závierke k  31.12.201</w:t>
    </w:r>
    <w:r>
      <w:rPr/>
      <w:t>9</w:t>
    </w:r>
  </w:p>
  <w:p>
    <w:pPr>
      <w:pStyle w:val="Hlavika"/>
      <w:rPr/>
    </w:pPr>
    <w:r>
      <w:rPr/>
    </w:r>
  </w:p>
  <w:p>
    <w:pPr>
      <w:pStyle w:val="Hlavika"/>
      <w:rPr/>
    </w:pPr>
    <w:r>
      <w:rPr/>
      <w:t xml:space="preserve">                                                                    </w:t>
    </w:r>
    <w:r>
      <w:rPr/>
      <w:t>ČARO – RV s.r.o.                                                 .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bullet"/>
      <w:lvlText w:val=""/>
      <w:lvlJc w:val="left"/>
      <w:pPr>
        <w:ind w:left="283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false"/>
        <w:b w:val="false"/>
        <w:rFonts w:ascii="Arial" w:hAnsi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false"/>
        <w:b w:val="false"/>
        <w:rFonts w:ascii="Arial" w:hAnsi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sz w:val="20"/>
        <w:i w:val="false"/>
        <w:b/>
        <w:rFonts w:ascii="Arial" w:hAnsi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false"/>
        <w:rFonts w:ascii="Arial" w:hAnsi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semiHidden="0" w:unhideWhenUsed="0" w:qFormat="1"/>
    <w:lsdException w:name="heading 7" w:uiPriority="9" w:semiHidden="0" w:unhideWhenUsed="0" w:qFormat="1"/>
    <w:lsdException w:name="heading 8" w:uiPriority="9" w:semiHidden="0" w:unhideWhenUsed="0" w:qFormat="1"/>
    <w:lsdException w:name="heading 9" w:uiPriority="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5208e"/>
    <w:pPr>
      <w:widowControl/>
      <w:bidi w:val="0"/>
      <w:jc w:val="both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paragraph" w:styleId="Nadpis1">
    <w:name w:val="Heading 1"/>
    <w:basedOn w:val="Normal"/>
    <w:next w:val="Normal"/>
    <w:qFormat/>
    <w:rsid w:val="0085208e"/>
    <w:pPr>
      <w:keepNext w:val="true"/>
      <w:spacing w:before="0" w:after="120"/>
      <w:outlineLvl w:val="0"/>
    </w:pPr>
    <w:rPr>
      <w:b/>
      <w:kern w:val="2"/>
      <w:u w:val="single"/>
    </w:rPr>
  </w:style>
  <w:style w:type="paragraph" w:styleId="Nadpis2">
    <w:name w:val="Heading 2"/>
    <w:basedOn w:val="Normal"/>
    <w:next w:val="Normal"/>
    <w:qFormat/>
    <w:rsid w:val="0085208e"/>
    <w:pPr>
      <w:keepNext w:val="true"/>
      <w:outlineLvl w:val="1"/>
    </w:pPr>
    <w:rPr>
      <w:sz w:val="24"/>
    </w:rPr>
  </w:style>
  <w:style w:type="paragraph" w:styleId="Nadpis3">
    <w:name w:val="Heading 3"/>
    <w:basedOn w:val="Normal"/>
    <w:next w:val="Normal"/>
    <w:qFormat/>
    <w:rsid w:val="0085208e"/>
    <w:pPr>
      <w:keepNext w:val="true"/>
      <w:outlineLvl w:val="2"/>
    </w:pPr>
    <w:rPr>
      <w:b/>
    </w:rPr>
  </w:style>
  <w:style w:type="paragraph" w:styleId="Nadpis4">
    <w:name w:val="Heading 4"/>
    <w:basedOn w:val="Normal"/>
    <w:next w:val="Normal"/>
    <w:qFormat/>
    <w:rsid w:val="0085208e"/>
    <w:pPr>
      <w:keepNext w:val="true"/>
      <w:ind w:left="60" w:hanging="0"/>
      <w:outlineLvl w:val="3"/>
    </w:pPr>
    <w:rPr>
      <w:b/>
      <w:i/>
      <w:sz w:val="24"/>
    </w:rPr>
  </w:style>
  <w:style w:type="paragraph" w:styleId="Nadpis5">
    <w:name w:val="Heading 5"/>
    <w:basedOn w:val="Normal"/>
    <w:next w:val="Normal"/>
    <w:qFormat/>
    <w:rsid w:val="0085208e"/>
    <w:pPr>
      <w:keepNext w:val="true"/>
      <w:ind w:left="60" w:hanging="0"/>
      <w:outlineLvl w:val="4"/>
    </w:pPr>
    <w:rPr>
      <w:sz w:val="24"/>
      <w:u w:val="single"/>
    </w:rPr>
  </w:style>
  <w:style w:type="paragraph" w:styleId="Nadpis6">
    <w:name w:val="Heading 6"/>
    <w:basedOn w:val="Normal"/>
    <w:next w:val="Normal"/>
    <w:qFormat/>
    <w:rsid w:val="0085208e"/>
    <w:pPr>
      <w:keepNext w:val="true"/>
      <w:outlineLvl w:val="5"/>
    </w:pPr>
    <w:rPr>
      <w:color w:val="000000"/>
      <w:sz w:val="24"/>
    </w:rPr>
  </w:style>
  <w:style w:type="paragraph" w:styleId="Nadpis7">
    <w:name w:val="Heading 7"/>
    <w:basedOn w:val="Normal"/>
    <w:next w:val="Normal"/>
    <w:qFormat/>
    <w:rsid w:val="0085208e"/>
    <w:pPr>
      <w:keepNext w:val="true"/>
      <w:outlineLvl w:val="6"/>
    </w:pPr>
    <w:rPr>
      <w:i/>
      <w:color w:val="000000"/>
      <w:sz w:val="24"/>
    </w:rPr>
  </w:style>
  <w:style w:type="paragraph" w:styleId="Nadpis8">
    <w:name w:val="Heading 8"/>
    <w:basedOn w:val="Normal"/>
    <w:next w:val="Normal"/>
    <w:qFormat/>
    <w:rsid w:val="0085208e"/>
    <w:pPr>
      <w:keepNext w:val="true"/>
      <w:outlineLvl w:val="7"/>
    </w:pPr>
    <w:rPr>
      <w:color w:val="0000FF"/>
      <w:sz w:val="24"/>
    </w:rPr>
  </w:style>
  <w:style w:type="paragraph" w:styleId="Nadpis9">
    <w:name w:val="Heading 9"/>
    <w:basedOn w:val="Normal"/>
    <w:next w:val="Normal"/>
    <w:qFormat/>
    <w:rsid w:val="0085208e"/>
    <w:pPr>
      <w:keepNext w:val="true"/>
      <w:ind w:left="567" w:hanging="0"/>
      <w:outlineLvl w:val="8"/>
    </w:pPr>
    <w:rPr>
      <w:color w:val="0000FF"/>
      <w:sz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85208e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rsid w:val="0085208e"/>
    <w:pPr/>
    <w:rPr>
      <w:sz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bsah1">
    <w:name w:val="TOC 1"/>
    <w:basedOn w:val="Normal"/>
    <w:next w:val="Normal"/>
    <w:autoRedefine/>
    <w:semiHidden/>
    <w:rsid w:val="0085208e"/>
    <w:pPr>
      <w:jc w:val="left"/>
    </w:pPr>
    <w:rPr>
      <w:b/>
    </w:rPr>
  </w:style>
  <w:style w:type="paragraph" w:styleId="Obsah2">
    <w:name w:val="TOC 2"/>
    <w:basedOn w:val="Normal"/>
    <w:next w:val="Normal"/>
    <w:autoRedefine/>
    <w:semiHidden/>
    <w:rsid w:val="0085208e"/>
    <w:pPr>
      <w:tabs>
        <w:tab w:val="clear" w:pos="708"/>
        <w:tab w:val="right" w:pos="9071" w:leader="none"/>
      </w:tabs>
      <w:spacing w:before="240" w:after="0"/>
      <w:jc w:val="left"/>
    </w:pPr>
    <w:rPr>
      <w:b/>
    </w:rPr>
  </w:style>
  <w:style w:type="paragraph" w:styleId="NormalIndent">
    <w:name w:val="Normal Indent"/>
    <w:basedOn w:val="Normal"/>
    <w:qFormat/>
    <w:rsid w:val="0085208e"/>
    <w:pPr>
      <w:ind w:left="425" w:hanging="0"/>
      <w:jc w:val="left"/>
    </w:pPr>
    <w:rPr>
      <w:sz w:val="24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rsid w:val="0085208e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rsid w:val="0085208e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odyTextIndent2">
    <w:name w:val="Body Text Indent 2"/>
    <w:basedOn w:val="Normal"/>
    <w:qFormat/>
    <w:rsid w:val="0085208e"/>
    <w:pPr>
      <w:ind w:firstLine="284"/>
    </w:pPr>
    <w:rPr>
      <w:sz w:val="24"/>
    </w:rPr>
  </w:style>
  <w:style w:type="paragraph" w:styleId="BodyText2">
    <w:name w:val="Body Text 2"/>
    <w:basedOn w:val="Normal"/>
    <w:qFormat/>
    <w:rsid w:val="0085208e"/>
    <w:pPr/>
    <w:rPr>
      <w:color w:val="0000FF"/>
      <w:sz w:val="24"/>
    </w:rPr>
  </w:style>
  <w:style w:type="paragraph" w:styleId="BodyText3">
    <w:name w:val="Body Text 3"/>
    <w:basedOn w:val="Normal"/>
    <w:qFormat/>
    <w:rsid w:val="0085208e"/>
    <w:pPr>
      <w:jc w:val="left"/>
    </w:pPr>
    <w:rPr>
      <w:sz w:val="24"/>
    </w:rPr>
  </w:style>
  <w:style w:type="paragraph" w:styleId="Odsadenietelatextu">
    <w:name w:val="Body Text Indent"/>
    <w:basedOn w:val="Normal"/>
    <w:rsid w:val="0085208e"/>
    <w:pPr>
      <w:jc w:val="left"/>
    </w:pPr>
    <w:rPr>
      <w:sz w:val="24"/>
    </w:rPr>
  </w:style>
  <w:style w:type="paragraph" w:styleId="Nzov">
    <w:name w:val="Title"/>
    <w:basedOn w:val="Normal"/>
    <w:qFormat/>
    <w:rsid w:val="0085208e"/>
    <w:pPr>
      <w:jc w:val="center"/>
    </w:pPr>
    <w:rPr>
      <w:b/>
      <w:sz w:val="32"/>
    </w:rPr>
  </w:style>
  <w:style w:type="paragraph" w:styleId="Texttabulky" w:customStyle="1">
    <w:name w:val="Text tabulky"/>
    <w:qFormat/>
    <w:rsid w:val="0085208e"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cs-CZ" w:eastAsia="sk-SK" w:bidi="ar-SA"/>
    </w:rPr>
  </w:style>
  <w:style w:type="paragraph" w:styleId="Podnadpis">
    <w:name w:val="Subtitle"/>
    <w:basedOn w:val="Normal"/>
    <w:qFormat/>
    <w:rsid w:val="0085208e"/>
    <w:pPr>
      <w:jc w:val="center"/>
    </w:pPr>
    <w:rPr>
      <w:sz w:val="28"/>
    </w:rPr>
  </w:style>
  <w:style w:type="paragraph" w:styleId="BodyTextIndent3">
    <w:name w:val="Body Text Indent 3"/>
    <w:basedOn w:val="Normal"/>
    <w:qFormat/>
    <w:rsid w:val="0085208e"/>
    <w:pPr>
      <w:ind w:left="360" w:hanging="0"/>
    </w:pPr>
    <w:rPr>
      <w:i/>
      <w:color w:val="FF0000"/>
    </w:rPr>
  </w:style>
  <w:style w:type="paragraph" w:styleId="BodyText21" w:customStyle="1">
    <w:name w:val="Body Text 21"/>
    <w:basedOn w:val="Normal"/>
    <w:qFormat/>
    <w:rsid w:val="0085208e"/>
    <w:pPr>
      <w:jc w:val="left"/>
    </w:pPr>
    <w:rPr>
      <w:sz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Application>LibreOffice/6.3.1.2$Windows_X86_64 LibreOffice_project/b79626edf0065ac373bd1df5c28bd630b4424273</Application>
  <Pages>13</Pages>
  <Words>3535</Words>
  <Characters>18885</Characters>
  <CharactersWithSpaces>21777</CharactersWithSpaces>
  <Paragraphs>981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2019-04-29T19:14:00Z</dcterms:created>
  <dc:creator>BMBLeitner</dc:creator>
  <dc:description/>
  <dc:language>sk-SK</dc:language>
  <cp:lastModifiedBy/>
  <cp:lastPrinted>2010-03-26T15:29:00Z</cp:lastPrinted>
  <dcterms:modified xsi:type="dcterms:W3CDTF">2020-01-23T15:27:23Z</dcterms:modified>
  <cp:revision>18</cp:revision>
  <dc:subject/>
  <dc:title>Poznamky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