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MUJ 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01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ČO: 50 857 827</w:t>
        <w:tab/>
        <w:tab/>
        <w:t xml:space="preserve"> DIČ: 21 20 504 782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Obchodné meno: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ASWA Consulting s. r.o.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ďalej len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čnosť“)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Sídlo: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Čajkovsk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40, 949 11 Nitra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Údaje o konsolidovanom celku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nie je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celku 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nie je materskou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jednotkou.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čet zamestnancov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zamestnancov ku 31.12.2019 je 0.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Východiská pre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ávierky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bola zostavená za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spoločnosť bude nepretržite pokračovať vo svojej činnosti.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ňovanie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áväzkov a to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hmotný majetok s výnimkou 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s výnimkou zásob vytvorených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podiely na ZI obchodných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í, cenné papiere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pri odplatnom nadobudnutí alebo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nadobudnuté vkladom do ZI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nehmotný majetok s výnimkou nehmotného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pri ich prevzatí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príchovky a prírastky zvierat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prostriedky a ceniny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pri ich vzniku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pri ich vzniku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 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nehmotný a hmotný majetok novozistený pri inventarizácii a v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íctve doteraz nezachytený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7"/>
        <w:gridCol w:w="425"/>
      </w:tblGrid>
      <w:tr>
        <w:trPr>
          <w:trHeight w:val="1" w:hRule="atLeast"/>
          <w:jc w:val="center"/>
        </w:trPr>
        <w:tc>
          <w:tcPr>
            <w:tcW w:w="90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Úbytok zásob rovnakého druhu sa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čtuje v ocenen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Cenou zistenou vá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aritmetickým priemerom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Metódou FIFO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Obstarávacia cena zásob sa rozde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ľuje na cenu za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sa zásoby obstarali a náklady súvisiace s obstaraním (VON).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 vyskladnení sa VON rozpú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šťaj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 nasledovne: VON/(PS zásob + príjem zásob) x výdaj zásob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642"/>
        <w:gridCol w:w="430"/>
      </w:tblGrid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Výdavky budúcich období a príjmy budúcich období sa vykazujú vo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ške,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 potrebná na dodr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žanie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ásady vecnej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časovej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úvislosti s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obdobím.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Rezervy sú záväzky s neur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vymedzením alebo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škou; tvoria sa na krytie zn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ámych rizík alebo strát z podnikania. 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 sa v 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ávanej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áväzku.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íjmov splatná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 sa určuje z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zisku pred zdanením, po úpravách na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čely podľa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ákona o daniach z príjmov pri sadzbe 21 %  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a výnosy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časovo rozlišuj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Časovo sa nerozlišuj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 náklady a výnosy, ak ide o nevýznamný a stále sa opakujúci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prípad týkajúci sa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rozlí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šenia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ákladov alebo výnosov posledného a prvého mesiaca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obdobia. 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center"/>
        </w:trPr>
        <w:tc>
          <w:tcPr>
            <w:tcW w:w="86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čte 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rozlí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šenia sa ne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čtuje ak ide o nev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ýznamný a stále sa opakujúci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prípad, ktorý sa týka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čtovania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ákladov a výnosov medzi dvoma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ými obdobiami, pri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čom nejde 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prípad týkajúci sa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čtovania dot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ácií a emisných kvót.  </w:t>
            </w:r>
          </w:p>
        </w:tc>
        <w:tc>
          <w:tcPr>
            <w:tcW w:w="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Spôsob zostavenia odpisového plánu pre jednotlivé druhy dlhodobého hmotného a nehmotného majetku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ína v mesiaci, v ktorom bol dlhodobý hmotný majetok uvedený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 </w:t>
        <w:tab/>
        <w:t xml:space="preserve">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sa ku dňu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sú splnené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šetky technick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predpoklady potrebné k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ívaniu majetku a sú splnené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šetky povinnost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stanovené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predpismi. Drobný dlhodobý hmotný majetok, ktorého obstarávacia cena (resp. vlastné náklady) je 1 700 EUR a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žšia, sa odpisuje jednorazovo pri uveden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 Pozemky sa neodpisujú. 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ívania, metóda odpisovania a odpisová 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ľke: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603"/>
        <w:gridCol w:w="2150"/>
        <w:gridCol w:w="1444"/>
        <w:gridCol w:w="1878"/>
      </w:tblGrid>
      <w:tr>
        <w:trPr>
          <w:trHeight w:val="727" w:hRule="auto"/>
          <w:jc w:val="center"/>
        </w:trPr>
        <w:tc>
          <w:tcPr>
            <w:tcW w:w="26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hmotný majetok - odpisy</w:t>
            </w:r>
          </w:p>
        </w:tc>
        <w:tc>
          <w:tcPr>
            <w:tcW w:w="21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Predpokladaná doba pou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ívania v rokoch</w:t>
            </w:r>
          </w:p>
        </w:tc>
        <w:tc>
          <w:tcPr>
            <w:tcW w:w="14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Metóda odpisovania</w:t>
            </w:r>
          </w:p>
        </w:tc>
        <w:tc>
          <w:tcPr>
            <w:tcW w:w="1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á odpisová sadzba v %</w:t>
            </w:r>
          </w:p>
        </w:tc>
      </w:tr>
      <w:tr>
        <w:trPr>
          <w:trHeight w:val="1" w:hRule="atLeast"/>
          <w:jc w:val="center"/>
        </w:trPr>
        <w:tc>
          <w:tcPr>
            <w:tcW w:w="26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Dopravné prostriedky</w:t>
            </w:r>
          </w:p>
        </w:tc>
        <w:tc>
          <w:tcPr>
            <w:tcW w:w="21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4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rovnomerná</w:t>
            </w:r>
          </w:p>
        </w:tc>
        <w:tc>
          <w:tcPr>
            <w:tcW w:w="1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metód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jednotkou </w:t>
        <w:tab/>
        <w:t xml:space="preserve">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ých období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201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nevykonala opravu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ýb minulých </w:t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období.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4"/>
        </w:numPr>
        <w:spacing w:before="0" w:after="0" w:line="240"/>
        <w:ind w:right="0" w:left="108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SÚVAHU A VÝKAZ ZISKOV A STRÁT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Informácie o záväzkoch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04" w:type="dxa"/>
      </w:tblPr>
      <w:tblGrid>
        <w:gridCol w:w="5670"/>
        <w:gridCol w:w="2682"/>
      </w:tblGrid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Krátkodobé záväzky spolu            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134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134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1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Vzh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na to, že mnoh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oblasti slovenského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práva doteraz neboli </w:t>
        <w:tab/>
        <w:t xml:space="preserve">dostato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čne overen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praxou, existuje neistota v tom, ako ich budú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orgány </w:t>
        <w:tab/>
        <w:t xml:space="preserve">aplikova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ť. Mieru tejto neistoty nie je možn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kvantifikova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a zanikne až potom, </w:t>
        <w:tab/>
        <w:t xml:space="preserve">keď </w:t>
        <w:tab/>
        <w:t xml:space="preserve">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k dispozícii právne precedensy, prípadne oficiálne interpretácie </w:t>
        <w:tab/>
        <w:t xml:space="preserve">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orgánov. Vedenie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si nie je vedom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žiadnych okolnost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v </w:t>
        <w:tab/>
        <w:t xml:space="preserve">dôsledku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ktorých by jej vznikol významný náklad.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3">
    <w:abstractNumId w:val="72"/>
  </w:num>
  <w:num w:numId="5">
    <w:abstractNumId w:val="66"/>
  </w:num>
  <w:num w:numId="7">
    <w:abstractNumId w:val="60"/>
  </w:num>
  <w:num w:numId="9">
    <w:abstractNumId w:val="54"/>
  </w:num>
  <w:num w:numId="12">
    <w:abstractNumId w:val="48"/>
  </w:num>
  <w:num w:numId="14">
    <w:abstractNumId w:val="42"/>
  </w:num>
  <w:num w:numId="17">
    <w:abstractNumId w:val="36"/>
  </w:num>
  <w:num w:numId="95">
    <w:abstractNumId w:val="30"/>
  </w:num>
  <w:num w:numId="106">
    <w:abstractNumId w:val="24"/>
  </w:num>
  <w:num w:numId="110">
    <w:abstractNumId w:val="18"/>
  </w:num>
  <w:num w:numId="114">
    <w:abstractNumId w:val="12"/>
  </w:num>
  <w:num w:numId="116">
    <w:abstractNumId w:val="6"/>
  </w:num>
  <w:num w:numId="14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