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6"/>
        <w:gridCol w:w="2591"/>
        <w:gridCol w:w="336"/>
        <w:gridCol w:w="341"/>
        <w:gridCol w:w="336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8"/>
      </w:tblGrid>
      <w:tr>
        <w:trPr/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1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Ing. Marta Prochyrová, štatutárna zástupkyňa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Ing. Jozef Bulla, predseda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Mgr. Peter Gajdár,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Bibiána Sirotová,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Bc. Elena Límová,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highlight w:val="yellow"/>
              </w:rPr>
            </w:pPr>
            <w:r>
              <w:rPr>
                <w:color w:val="00000A"/>
                <w:sz w:val="16"/>
                <w:szCs w:val="16"/>
              </w:rPr>
              <w:t>Mgr. Eva Krššáková,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highlight w:val="yellow"/>
              </w:rPr>
            </w:pPr>
            <w:r>
              <w:rPr>
                <w:color w:val="00000A"/>
                <w:sz w:val="16"/>
                <w:szCs w:val="16"/>
              </w:rPr>
              <w:t>Ing. Jozef Jančí,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(Dozorná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highlight w:val="yellow"/>
              </w:rPr>
            </w:pPr>
            <w:r>
              <w:rPr>
                <w:color w:val="00000A"/>
                <w:sz w:val="16"/>
                <w:szCs w:val="16"/>
              </w:rPr>
              <w:t>Ing. Vlasta Točeková,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highlight w:val="yellow"/>
              </w:rPr>
            </w:pPr>
            <w:r>
              <w:rPr>
                <w:color w:val="00000A"/>
                <w:sz w:val="16"/>
                <w:szCs w:val="16"/>
              </w:rPr>
              <w:t>Kristína Lončeková,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highlight w:val="yellow"/>
              </w:rPr>
            </w:pPr>
            <w:r>
              <w:rPr>
                <w:color w:val="00000A"/>
                <w:sz w:val="16"/>
                <w:szCs w:val="16"/>
              </w:rPr>
              <w:t>Martina Vaseková, členka dozornej rady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2"/>
        <w:gridCol w:w="6969"/>
      </w:tblGrid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služby: 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1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3"/>
        <w:gridCol w:w="2633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vykazovala v roku 2016 daňovú pohľadávku za zamestnaneckú prémiu z rokov 2013 a 2014 voči daňovému úradu na riadku 046  Súvahy, v roku 2017, 2018 a 2019 vykazuje túto pohľadávku na riadku 050 z dôvodu tvorby opravnej položky k tejto pohľadávke.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4"/>
        <w:gridCol w:w="3488"/>
      </w:tblGrid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1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6"/>
        <w:gridCol w:w="2476"/>
        <w:gridCol w:w="2465"/>
        <w:gridCol w:w="2470"/>
      </w:tblGrid>
      <w:tr>
        <w:trPr>
          <w:trHeight w:val="250" w:hRule="atLeast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Budova – technické zhodnotenie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1/20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zaúčtovala k 31.12.2017 k pohľadávke voči daňovému úradu vo výške 1 012,57 EUR opravnú položku vo výške 1 012,57 EUR, keďže existuje predpoklad, že táto pohľadávka nebude organizácii uhradená. 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87"/>
        <w:gridCol w:w="709"/>
        <w:gridCol w:w="850"/>
        <w:gridCol w:w="855"/>
        <w:gridCol w:w="850"/>
        <w:gridCol w:w="992"/>
        <w:gridCol w:w="709"/>
        <w:gridCol w:w="855"/>
        <w:gridCol w:w="850"/>
        <w:gridCol w:w="709"/>
        <w:gridCol w:w="142"/>
        <w:gridCol w:w="566"/>
        <w:gridCol w:w="3"/>
        <w:gridCol w:w="867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24 908,64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3 100,00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115 873,81 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2 576,62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2 576,62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3 100,00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115 873,81 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57 994,22 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24 908,64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452,00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108 920,54 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2 034,12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775,00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2 809,12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2 576,62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2 576,62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60 028,34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1 227,00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109 153,04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4 305,27 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2 648,00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6 953,27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2 271,15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1 873,00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4 144,15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52"/>
        <w:gridCol w:w="3473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16,67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20,50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21 762,53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22 293,64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21 821,45</w:t>
            </w:r>
          </w:p>
        </w:tc>
        <w:tc>
          <w:tcPr>
            <w:tcW w:w="3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22 310,31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6"/>
        <w:gridCol w:w="2158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 – podnikateľská činnosť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1 826,00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Dočasné pridelenie zamestnancov – hlavná činnosť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2 684,25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4 510,25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61"/>
        <w:gridCol w:w="1486"/>
        <w:gridCol w:w="1485"/>
        <w:gridCol w:w="1480"/>
        <w:gridCol w:w="1486"/>
        <w:gridCol w:w="1679"/>
      </w:tblGrid>
      <w:tr>
        <w:trPr>
          <w:trHeight w:val="608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 – daňový úrad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1 012,57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1 012,57</w:t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1 012,57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1 012,57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31"/>
        <w:gridCol w:w="3137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4 510,25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2 242,18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4 510,25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2 242,18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31"/>
        <w:gridCol w:w="4889"/>
        <w:gridCol w:w="2158"/>
      </w:tblGrid>
      <w:tr>
        <w:trPr>
          <w:trHeight w:val="284" w:hRule="atLeast"/>
        </w:trPr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 poistenie motorového vozidla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51,18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č.OVVS-1929/204/2006-NO peňažným vkladom vo výške 33,19 EUR a následne sa v priebehu činnosti účtovnej jednotky navyšovalo základné imanie vkladmi zakladateľa.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sz w:val="18"/>
          <w:szCs w:val="18"/>
        </w:rPr>
        <w:t xml:space="preserve">Organizácia neúčtovala o opravách významných chýb v priebehu účtovného obdobia 2018. 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7"/>
        <w:gridCol w:w="1142"/>
        <w:gridCol w:w="1139"/>
        <w:gridCol w:w="1222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-46 185,17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-275,51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-46 460,66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-275,51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2 200,11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275,51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2 200,11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12 265,62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2 200,11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14 465,75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6"/>
        <w:gridCol w:w="2246"/>
      </w:tblGrid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275,51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275,51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2"/>
        <w:gridCol w:w="1078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3 316,60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3 689,77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3 316,60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3 689,77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3 316,60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3 689,77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3 316,60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bCs/>
                <w:sz w:val="16"/>
                <w:szCs w:val="16"/>
              </w:rPr>
              <w:t>3 689,77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3 316,60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3 689,77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3 316,60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bCs/>
                <w:sz w:val="16"/>
                <w:szCs w:val="16"/>
              </w:rPr>
              <w:t>3 689,77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182,24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182,24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16 061,28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16 989,62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16 061,28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16 989,62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3"/>
        <w:gridCol w:w="2497"/>
        <w:gridCol w:w="2498"/>
      </w:tblGrid>
      <w:tr>
        <w:trPr>
          <w:trHeight w:val="284" w:hRule="atLeast"/>
        </w:trPr>
        <w:tc>
          <w:tcPr>
            <w:tcW w:w="49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12 041,61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12 584,67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12 041,61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12 584,67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329,90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4 404,95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329,90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4 404,95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16 061,28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16 989,62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6"/>
        <w:gridCol w:w="3147"/>
        <w:gridCol w:w="3105"/>
      </w:tblGrid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1 088,35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1 540,19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502,72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448,52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1 261,17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900,36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329,90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1 088,35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spacing w:lineRule="auto" w:line="240" w:before="0" w:after="120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2 312,39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2 312,39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1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5"/>
        <w:gridCol w:w="2973"/>
        <w:gridCol w:w="2980"/>
      </w:tblGrid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63 005,44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36 566,16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26 439,28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12 895,20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6 503,30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Odpustenie záväzku za nájomné za 1Q 2018, ktorý bol uhradený zriaďovateľom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17 228,33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56 001,20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18 264,96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materiálu pre chránenú dielňu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6 863,23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457,76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124,21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1 181,49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8 626,69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plynu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4 111,46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elektriny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1 039,83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vodné, stočné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191,38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5 342,67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5 684,00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Nájomné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1 992,00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911,23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1 113,00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520,00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Poštovné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183,80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Odvoz odpadu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241,50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126,88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10 852,41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254,20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123,18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68,48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445,86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9"/>
        <w:gridCol w:w="2726"/>
        <w:gridCol w:w="1"/>
        <w:gridCol w:w="2242"/>
      </w:tblGrid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Materiál pre chránenú dielňu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6 503,30</w:t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 pre chránenú dielňu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6 503,30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8"/>
        <w:gridCol w:w="3169"/>
      </w:tblGrid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neobsahuje zákonnú DPH vo výške 120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Nezisková organizácia má v prenájme nehnuteľnosť Jakubove 79,  900 63 Jakubov. Tieto priestory využíva na prevádzku chránenej dielne, rehabilitačné aktivity a iné činnosti spojené s verejnoprospešnou činnosťou. Ročné náklady na prenájom sú 1 992 EUR. Zmluva s prenajímateľom je uzatvorená na dobu neurčitú.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15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sz w:val="18"/>
      <w:szCs w:val="16"/>
    </w:rPr>
  </w:style>
  <w:style w:type="character" w:styleId="ListLabel102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Arial"/>
      <w:b/>
      <w:bCs/>
      <w:i w:val="false"/>
      <w:iCs w:val="false"/>
      <w:sz w:val="24"/>
      <w:szCs w:val="24"/>
    </w:rPr>
  </w:style>
  <w:style w:type="character" w:styleId="ListLabel112">
    <w:name w:val="ListLabel 112"/>
    <w:qFormat/>
    <w:rPr>
      <w:b/>
      <w:bCs/>
      <w:i w:val="false"/>
      <w:iCs w:val="false"/>
    </w:rPr>
  </w:style>
  <w:style w:type="character" w:styleId="ListLabel113">
    <w:name w:val="ListLabel 113"/>
    <w:qFormat/>
    <w:rPr>
      <w:b w:val="false"/>
      <w:bCs w:val="false"/>
      <w:i w:val="false"/>
      <w:iCs w:val="false"/>
      <w:sz w:val="16"/>
    </w:rPr>
  </w:style>
  <w:style w:type="character" w:styleId="ListLabel114">
    <w:name w:val="ListLabel 114"/>
    <w:qFormat/>
    <w:rPr>
      <w:b w:val="false"/>
      <w:bCs w:val="false"/>
      <w:i w:val="false"/>
      <w:iCs w:val="false"/>
      <w:sz w:val="18"/>
    </w:rPr>
  </w:style>
  <w:style w:type="character" w:styleId="ListLabel115">
    <w:name w:val="ListLabel 115"/>
    <w:qFormat/>
    <w:rPr>
      <w:rFonts w:cs="Symbol"/>
      <w:sz w:val="16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Application>LibreOffice/5.3.3.2$Windows_X86_64 LibreOffice_project/3d9a8b4b4e538a85e0782bd6c2d430bafe583448</Application>
  <Pages>9</Pages>
  <Words>3457</Words>
  <Characters>20718</Characters>
  <CharactersWithSpaces>23658</CharactersWithSpaces>
  <Paragraphs>685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/>
  <cp:lastPrinted>2020-03-02T09:05:58Z</cp:lastPrinted>
  <dcterms:modified xsi:type="dcterms:W3CDTF">2020-03-02T09:06:07Z</dcterms:modified>
  <cp:revision>283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