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194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86"/>
        <w:gridCol w:w="2591"/>
        <w:gridCol w:w="336"/>
        <w:gridCol w:w="341"/>
        <w:gridCol w:w="336"/>
        <w:gridCol w:w="336"/>
        <w:gridCol w:w="341"/>
        <w:gridCol w:w="336"/>
        <w:gridCol w:w="341"/>
        <w:gridCol w:w="336"/>
        <w:gridCol w:w="567"/>
        <w:gridCol w:w="336"/>
        <w:gridCol w:w="337"/>
        <w:gridCol w:w="336"/>
        <w:gridCol w:w="338"/>
      </w:tblGrid>
      <w:tr>
        <w:trPr/>
        <w:tc>
          <w:tcPr>
            <w:tcW w:w="2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  <w:lang w:eastAsia="sk-SK"/>
              </w:rPr>
              <w:t>Poznámky (Úč  NUJ 3 – 01)</w:t>
            </w:r>
          </w:p>
        </w:tc>
        <w:tc>
          <w:tcPr>
            <w:tcW w:w="25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left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IČO 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9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/SID</w:t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33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60" w:after="60"/>
              <w:jc w:val="center"/>
              <w:outlineLvl w:val="2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2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781" w:type="dxa"/>
        <w:jc w:val="left"/>
        <w:tblInd w:w="12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77"/>
        <w:gridCol w:w="6803"/>
      </w:tblGrid>
      <w:tr>
        <w:trPr>
          <w:trHeight w:val="284" w:hRule="atLeast"/>
        </w:trPr>
        <w:tc>
          <w:tcPr>
            <w:tcW w:w="2977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Občianske združenie Svitanie – Združenie na pomoc ľuďom s mentálnym postihnutím v Malackách</w:t>
            </w:r>
          </w:p>
        </w:tc>
      </w:tr>
      <w:tr>
        <w:trPr>
          <w:trHeight w:val="284" w:hRule="atLeast"/>
        </w:trPr>
        <w:tc>
          <w:tcPr>
            <w:tcW w:w="2977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ul. 1. mája 15, 901 01 Malacky</w:t>
            </w:r>
          </w:p>
        </w:tc>
      </w:tr>
      <w:tr>
        <w:trPr>
          <w:trHeight w:val="178" w:hRule="atLeast"/>
        </w:trPr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8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19. 12. 2006</w:t>
            </w:r>
          </w:p>
        </w:tc>
      </w:tr>
    </w:tbl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  <w:t xml:space="preserve">Údaje uvedené v Poznámkach sú v mene EUR, ak nie je uvedené inak. </w:t>
      </w:r>
    </w:p>
    <w:p>
      <w:pPr>
        <w:pStyle w:val="Normal"/>
        <w:spacing w:lineRule="auto" w:line="240" w:before="0" w:after="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a iných orgánov účtovnej jednotky; uvádzajú sa mená a priezviská členov štatutárnych orgánov, dozorných orgánov a iných orgánov účtovnej jednotky.</w:t>
      </w:r>
    </w:p>
    <w:tbl>
      <w:tblPr>
        <w:tblW w:w="981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44"/>
        <w:gridCol w:w="6967"/>
      </w:tblGrid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Ing. Marta Prochyrová, štatutárna zástupkyňa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Ing. Jozef Bulla, predseda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Mgr. Peter Gajdár, člen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Mgr. Anna Trnková,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Bibiána Sirotová,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Bc. Elena Límová,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highlight w:val="yellow"/>
              </w:rPr>
            </w:pPr>
            <w:r>
              <w:rPr>
                <w:color w:val="00000A"/>
                <w:sz w:val="16"/>
                <w:szCs w:val="16"/>
              </w:rPr>
              <w:t>Mgr. Eva Krššáková, členka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highlight w:val="yellow"/>
              </w:rPr>
            </w:pPr>
            <w:r>
              <w:rPr>
                <w:color w:val="00000A"/>
                <w:sz w:val="16"/>
                <w:szCs w:val="16"/>
              </w:rPr>
              <w:t>Ing. Jozef Jančí, člen správnej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>
            <w:pPr>
              <w:pStyle w:val="Normal"/>
              <w:spacing w:lineRule="auto" w:line="240" w:before="0" w:after="0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(Dozorná rada)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highlight w:val="yellow"/>
              </w:rPr>
            </w:pPr>
            <w:r>
              <w:rPr>
                <w:color w:val="00000A"/>
                <w:sz w:val="16"/>
                <w:szCs w:val="16"/>
              </w:rPr>
              <w:t>Ing. Vlasta Točeková, členka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highlight w:val="yellow"/>
              </w:rPr>
            </w:pPr>
            <w:r>
              <w:rPr>
                <w:color w:val="00000A"/>
                <w:sz w:val="16"/>
                <w:szCs w:val="16"/>
              </w:rPr>
              <w:t>Kristína Lončeková, členka dozornej rady</w:t>
            </w:r>
          </w:p>
        </w:tc>
      </w:tr>
      <w:tr>
        <w:trPr>
          <w:trHeight w:val="284" w:hRule="atLeast"/>
        </w:trPr>
        <w:tc>
          <w:tcPr>
            <w:tcW w:w="2844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  <w:highlight w:val="yellow"/>
              </w:rPr>
            </w:pPr>
            <w:r>
              <w:rPr>
                <w:b/>
                <w:bCs/>
                <w:sz w:val="16"/>
                <w:szCs w:val="16"/>
                <w:highlight w:val="yellow"/>
              </w:rPr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A"/>
                <w:sz w:val="16"/>
                <w:szCs w:val="16"/>
                <w:highlight w:val="yellow"/>
              </w:rPr>
            </w:pPr>
            <w:r>
              <w:rPr>
                <w:color w:val="00000A"/>
                <w:sz w:val="16"/>
                <w:szCs w:val="16"/>
              </w:rPr>
              <w:t>Martina Vaseková, členka dozornej rady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2832"/>
        <w:gridCol w:w="6969"/>
      </w:tblGrid>
      <w:tr>
        <w:trPr>
          <w:trHeight w:val="284" w:hRule="atLeast"/>
        </w:trPr>
        <w:tc>
          <w:tcPr>
            <w:tcW w:w="283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Všeobecne prospešné služby: Poskytovanie sociálnej pomoci a humanitárnej starostlivosti. </w:t>
            </w:r>
          </w:p>
        </w:tc>
      </w:tr>
      <w:tr>
        <w:trPr>
          <w:trHeight w:val="284" w:hRule="atLeast"/>
        </w:trPr>
        <w:tc>
          <w:tcPr>
            <w:tcW w:w="2832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Tvorba, rozvoj, ochrana, obnova a prezentácia duchovných a kultúrnych hodnôt.</w:t>
            </w:r>
          </w:p>
        </w:tc>
      </w:tr>
      <w:tr>
        <w:trPr>
          <w:trHeight w:val="284" w:hRule="atLeast"/>
        </w:trPr>
        <w:tc>
          <w:tcPr>
            <w:tcW w:w="28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>
      <w:pPr>
        <w:pStyle w:val="Normal"/>
        <w:spacing w:lineRule="auto" w:line="240" w:before="0" w:after="120"/>
        <w:ind w:firstLine="36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50" w:type="pct"/>
        <w:jc w:val="left"/>
        <w:tblInd w:w="12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2"/>
        <w:gridCol w:w="2613"/>
        <w:gridCol w:w="2633"/>
      </w:tblGrid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Textopatrenia"/>
              <w:spacing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>
        <w:trPr>
          <w:trHeight w:val="205" w:hRule="atLeast"/>
        </w:trPr>
        <w:tc>
          <w:tcPr>
            <w:tcW w:w="443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nie je zriaďovateľom žiadnej inej účtovnej jednotky. </w:t>
      </w:r>
    </w:p>
    <w:p>
      <w:pPr>
        <w:pStyle w:val="Normal"/>
        <w:numPr>
          <w:ilvl w:val="0"/>
          <w:numId w:val="2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20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Účtovná jednotka predpokladá pokračovať vo svojej činnosti aj v nasledujúcom účtovnom období.</w:t>
        <w:tab/>
        <w:t xml:space="preserve"> </w:t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vykazovala v roku 2016 daňovú pohľadávku za zamestnaneckú prémiu z rokov 2013 a 2014 voči daňovému úradu na riadku 046  Súvahy, v roku 2017, 2018 a 2019 vykazuje túto pohľadávku na riadku 050 z dôvodu tvorby opravnej položky k tejto pohľadávke.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Nenastali žiadne iné zmeny účtovných zásad a účtovných metód.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753" w:type="dxa"/>
        <w:jc w:val="right"/>
        <w:tblInd w:w="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1" w:firstColumn="1" w:lastColumn="1" w:noHBand="0" w:val="01e0"/>
      </w:tblPr>
      <w:tblGrid>
        <w:gridCol w:w="6264"/>
        <w:gridCol w:w="3488"/>
      </w:tblGrid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hmotný majetok obstaraný iným spôsobom - darom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Reálnou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 obstaraný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vytvorené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Neboli obstarané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  <w:tr>
        <w:trPr>
          <w:trHeight w:val="251" w:hRule="atLeast"/>
        </w:trPr>
        <w:tc>
          <w:tcPr>
            <w:tcW w:w="6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1"/>
                <w:numId w:val="4"/>
              </w:numPr>
              <w:tabs>
                <w:tab w:val="left" w:pos="363" w:leader="none"/>
              </w:tabs>
              <w:spacing w:lineRule="auto" w:line="240" w:before="0" w:after="0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Netýka sa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50" w:type="pct"/>
        <w:jc w:val="left"/>
        <w:tblInd w:w="12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5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2266"/>
        <w:gridCol w:w="2476"/>
        <w:gridCol w:w="2465"/>
        <w:gridCol w:w="2470"/>
      </w:tblGrid>
      <w:tr>
        <w:trPr>
          <w:trHeight w:val="250" w:hRule="atLeast"/>
        </w:trPr>
        <w:tc>
          <w:tcPr>
            <w:tcW w:w="2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b/>
                <w:b/>
                <w:bCs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>
        <w:trPr>
          <w:trHeight w:val="250" w:hRule="atLeast"/>
        </w:trPr>
        <w:tc>
          <w:tcPr>
            <w:tcW w:w="2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Budova – technické zhodnotenie</w:t>
            </w:r>
          </w:p>
        </w:tc>
        <w:tc>
          <w:tcPr>
            <w:tcW w:w="2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20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1/20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  <w:tr>
        <w:trPr>
          <w:trHeight w:val="250" w:hRule="atLeast"/>
        </w:trPr>
        <w:tc>
          <w:tcPr>
            <w:tcW w:w="22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Dopravné prostriedky</w:t>
            </w:r>
          </w:p>
        </w:tc>
        <w:tc>
          <w:tcPr>
            <w:tcW w:w="24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4</w:t>
            </w:r>
          </w:p>
        </w:tc>
        <w:tc>
          <w:tcPr>
            <w:tcW w:w="2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1/4</w:t>
            </w:r>
          </w:p>
        </w:tc>
        <w:tc>
          <w:tcPr>
            <w:tcW w:w="24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5" w:type="dxa"/>
            </w:tcMar>
            <w:vAlign w:val="center"/>
          </w:tcPr>
          <w:p>
            <w:pPr>
              <w:pStyle w:val="Telotextu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cs="Arial Narrow" w:ascii="Arial Narrow" w:hAnsi="Arial Narrow"/>
                <w:sz w:val="16"/>
                <w:szCs w:val="16"/>
                <w:lang w:val="sk-SK"/>
              </w:rPr>
              <w:t>rovnomerne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3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zaúčtovala k 31.12.2017 k pohľadávke voči daňovému úradu vo výške 1 012,57 EUR opravnú položku vo výške 1 012,57 EUR, keďže existuje predpoklad, že táto pohľadávka nebude organizácii uhradená.   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>
      <w:pPr>
        <w:pStyle w:val="Normal"/>
        <w:numPr>
          <w:ilvl w:val="0"/>
          <w:numId w:val="6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Organizácia neeviduje dlhodobý nehmotný majetok</w:t>
      </w:r>
    </w:p>
    <w:p>
      <w:pPr>
        <w:pStyle w:val="Normal"/>
        <w:spacing w:lineRule="auto" w:line="24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445" w:type="dxa"/>
        <w:jc w:val="left"/>
        <w:tblInd w:w="-8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50" w:type="dxa"/>
          <w:bottom w:w="0" w:type="dxa"/>
          <w:right w:w="70" w:type="dxa"/>
        </w:tblCellMar>
        <w:tblLook w:firstRow="1" w:noVBand="0" w:lastRow="0" w:firstColumn="1" w:lastColumn="0" w:noHBand="0" w:val="00a0"/>
      </w:tblPr>
      <w:tblGrid>
        <w:gridCol w:w="1487"/>
        <w:gridCol w:w="709"/>
        <w:gridCol w:w="850"/>
        <w:gridCol w:w="855"/>
        <w:gridCol w:w="850"/>
        <w:gridCol w:w="992"/>
        <w:gridCol w:w="709"/>
        <w:gridCol w:w="855"/>
        <w:gridCol w:w="850"/>
        <w:gridCol w:w="709"/>
        <w:gridCol w:w="142"/>
        <w:gridCol w:w="566"/>
        <w:gridCol w:w="3"/>
        <w:gridCol w:w="867"/>
      </w:tblGrid>
      <w:tr>
        <w:trPr>
          <w:trHeight w:val="1020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Samost. hnuteľné veci a súbory hnut. Vecí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Dopravné prostriedky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 celky trvalých porastov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Obst.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dlhodob. hmot. majetku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 predd. na dlho-dobý hmotný majetok</w:t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24 908,64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3 100,00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115 873,81 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2 576,62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2 576,62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62 299,49 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3 100,00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115 873,81 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57 994,22 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24 908,64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452,00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25 565,68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108 920,54 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2 034,12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775,00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2 809,12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2 576,62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2 576,62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60 028,34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22 332,02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1 227,00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25 565,68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109 153,04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7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>
        <w:trPr>
          <w:trHeight w:val="288" w:hRule="atLeast"/>
        </w:trPr>
        <w:tc>
          <w:tcPr>
            <w:tcW w:w="10444" w:type="dxa"/>
            <w:gridSpan w:val="1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4 305,27 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2 648,00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color w:val="000000"/>
                <w:sz w:val="16"/>
                <w:szCs w:val="16"/>
                <w:lang w:eastAsia="sk-SK"/>
              </w:rPr>
              <w:t>6 953,27</w:t>
            </w:r>
          </w:p>
        </w:tc>
      </w:tr>
      <w:tr>
        <w:trPr>
          <w:trHeight w:val="40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5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2 271,15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1 873,00</w:t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56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4 144,15</w:t>
            </w:r>
          </w:p>
        </w:tc>
      </w:tr>
      <w:tr>
        <w:trPr>
          <w:trHeight w:val="288" w:hRule="atLeast"/>
        </w:trPr>
        <w:tc>
          <w:tcPr>
            <w:tcW w:w="148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56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  <w:tc>
          <w:tcPr>
            <w:tcW w:w="8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vAlign w:val="bottom"/>
          </w:tcPr>
          <w:p>
            <w:pPr>
              <w:pStyle w:val="Normal"/>
              <w:spacing w:lineRule="auto" w:line="240" w:before="0" w:after="0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cs="Calibri" w:ascii="Calibri" w:hAnsi="Calibri"/>
                <w:color w:val="000000"/>
                <w:sz w:val="22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nedisponuje s dlhodobým majetkom, na ktorý je zriadené záložné právo, resp. pri ktorom má účtovná jednotka obmedzené právo s ním nakladať.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spôsobe a výške poistenia dlhodobého nehmotného majetku a dlhodobého hmotného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realizuje svoju činnosť v prenajatých priestoroch, poistenie nehnuteľnosti je súčasťou nájomného. Poistenie jednotlivých zložiek majetku organizácia nemá uzatvorené.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neúčtuje o dlhodobom finančnom majetku.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>Organizácia neúčtovala o opravnej položke k dlhodobému finančnému majetku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>
      <w:pPr>
        <w:pStyle w:val="Normal"/>
        <w:spacing w:lineRule="auto" w:line="240" w:before="0" w:after="12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tbl>
      <w:tblPr>
        <w:tblW w:w="10185" w:type="dxa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0"/>
        <w:gridCol w:w="3452"/>
        <w:gridCol w:w="3473"/>
      </w:tblGrid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38,42</w:t>
            </w:r>
          </w:p>
        </w:tc>
        <w:tc>
          <w:tcPr>
            <w:tcW w:w="34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16,67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20,50</w:t>
            </w:r>
          </w:p>
        </w:tc>
        <w:tc>
          <w:tcPr>
            <w:tcW w:w="34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21 762,53</w:t>
            </w:r>
          </w:p>
        </w:tc>
        <w:tc>
          <w:tcPr>
            <w:tcW w:w="34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22 293,64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Peniaze na ceste</w:t>
            </w:r>
          </w:p>
        </w:tc>
        <w:tc>
          <w:tcPr>
            <w:tcW w:w="3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4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28" w:hRule="atLeast"/>
        </w:trPr>
        <w:tc>
          <w:tcPr>
            <w:tcW w:w="32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21 821,45</w:t>
            </w:r>
          </w:p>
        </w:tc>
        <w:tc>
          <w:tcPr>
            <w:tcW w:w="34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22 310,31</w:t>
            </w:r>
          </w:p>
        </w:tc>
      </w:tr>
    </w:tbl>
    <w:p>
      <w:pPr>
        <w:pStyle w:val="Normal"/>
        <w:spacing w:lineRule="auto" w:line="240" w:before="0" w:after="0"/>
        <w:rPr>
          <w:i/>
          <w:i/>
          <w:iCs/>
          <w:sz w:val="18"/>
          <w:szCs w:val="18"/>
        </w:rPr>
      </w:pPr>
      <w:r>
        <w:rPr>
          <w:i/>
          <w:iCs/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nevykazuje zásoby a ani neúčtuje o opravnej položke k zásobám. </w:t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164"/>
        <w:gridCol w:w="4656"/>
        <w:gridCol w:w="2158"/>
      </w:tblGrid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</w:t>
            </w:r>
          </w:p>
        </w:tc>
        <w:tc>
          <w:tcPr>
            <w:tcW w:w="4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výrobkov z chránenej dielne – podnikateľská činnosť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1 826,00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Predaj služieb</w:t>
            </w:r>
          </w:p>
        </w:tc>
        <w:tc>
          <w:tcPr>
            <w:tcW w:w="4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Dočasné pridelenie zamestnancov – hlavná činnosť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2 684,25</w:t>
            </w:r>
          </w:p>
        </w:tc>
      </w:tr>
      <w:tr>
        <w:trPr>
          <w:trHeight w:val="284" w:hRule="atLeast"/>
        </w:trPr>
        <w:tc>
          <w:tcPr>
            <w:tcW w:w="31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46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4 510,25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9  o vývoji opravných položiek k pohľadávkam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61"/>
        <w:gridCol w:w="1486"/>
        <w:gridCol w:w="1485"/>
        <w:gridCol w:w="1480"/>
        <w:gridCol w:w="1486"/>
        <w:gridCol w:w="1679"/>
      </w:tblGrid>
      <w:tr>
        <w:trPr>
          <w:trHeight w:val="608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 – daňový úrad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1 012,57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1 012,57</w:t>
            </w:r>
          </w:p>
        </w:tc>
      </w:tr>
      <w:tr>
        <w:trPr>
          <w:trHeight w:val="284" w:hRule="atLeast"/>
        </w:trPr>
        <w:tc>
          <w:tcPr>
            <w:tcW w:w="2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1 012,57</w:t>
            </w:r>
          </w:p>
        </w:tc>
        <w:tc>
          <w:tcPr>
            <w:tcW w:w="14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6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1 012,57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910"/>
        <w:gridCol w:w="2931"/>
        <w:gridCol w:w="3137"/>
      </w:tblGrid>
      <w:tr>
        <w:trPr>
          <w:trHeight w:val="284" w:hRule="atLeast"/>
        </w:trPr>
        <w:tc>
          <w:tcPr>
            <w:tcW w:w="391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606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391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48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4 510,25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2 242,18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9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4 510,25</w:t>
            </w:r>
          </w:p>
        </w:tc>
        <w:tc>
          <w:tcPr>
            <w:tcW w:w="3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2 242,18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931"/>
        <w:gridCol w:w="4889"/>
        <w:gridCol w:w="2158"/>
      </w:tblGrid>
      <w:tr>
        <w:trPr>
          <w:trHeight w:val="284" w:hRule="atLeast"/>
        </w:trPr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29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8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Doména, poistenie motorového vozidla</w:t>
            </w:r>
          </w:p>
        </w:tc>
        <w:tc>
          <w:tcPr>
            <w:tcW w:w="21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51,18</w:t>
            </w:r>
          </w:p>
        </w:tc>
      </w:tr>
    </w:tbl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numPr>
          <w:ilvl w:val="0"/>
          <w:numId w:val="7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>
      <w:pPr>
        <w:pStyle w:val="Normal"/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Nezisková organizácia bola založená 19.12.2006 pod č.OVVS-1929/204/2006-NO peňažným vkladom vo výške 33,19 EUR a následne sa v priebehu činnosti účtovnej jednotky navyšovalo základné imanie vkladmi zakladateľa.</w:t>
      </w:r>
    </w:p>
    <w:p>
      <w:pPr>
        <w:pStyle w:val="Normal"/>
        <w:numPr>
          <w:ilvl w:val="0"/>
          <w:numId w:val="7"/>
        </w:numPr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sz w:val="18"/>
          <w:szCs w:val="18"/>
        </w:rPr>
        <w:t xml:space="preserve">Organizácia neúčtovala o opravách významných chýb v priebehu účtovného obdobia 2018. 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80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98"/>
        <w:gridCol w:w="1139"/>
        <w:gridCol w:w="1137"/>
        <w:gridCol w:w="1142"/>
        <w:gridCol w:w="1139"/>
        <w:gridCol w:w="1222"/>
      </w:tblGrid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58 726,30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numPr>
                <w:ilvl w:val="0"/>
                <w:numId w:val="8"/>
              </w:numPr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957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-46 185,17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-275,51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-46 460,66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-275,51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2 200,11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275,51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2 200,11</w:t>
            </w:r>
          </w:p>
        </w:tc>
      </w:tr>
      <w:tr>
        <w:trPr>
          <w:trHeight w:val="210" w:hRule="atLeast"/>
        </w:trPr>
        <w:tc>
          <w:tcPr>
            <w:tcW w:w="37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12 265,62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2 200,11</w:t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1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2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14 465,75</w:t>
            </w:r>
          </w:p>
        </w:tc>
      </w:tr>
    </w:tbl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3850" w:type="pct"/>
        <w:jc w:val="left"/>
        <w:tblInd w:w="-12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436"/>
        <w:gridCol w:w="2246"/>
      </w:tblGrid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/>
                <w:bCs/>
                <w:color w:val="000000"/>
                <w:sz w:val="16"/>
                <w:szCs w:val="16"/>
              </w:rPr>
              <w:t>275,51</w:t>
            </w:r>
          </w:p>
        </w:tc>
      </w:tr>
      <w:tr>
        <w:trPr>
          <w:trHeight w:val="146" w:hRule="atLeast"/>
        </w:trPr>
        <w:tc>
          <w:tcPr>
            <w:tcW w:w="76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Prevod do n</w:t>
            </w:r>
            <w:r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bCs/>
                <w:color w:val="000000"/>
                <w:sz w:val="16"/>
                <w:szCs w:val="16"/>
              </w:rPr>
              <w:t>275,51</w:t>
            </w:r>
          </w:p>
        </w:tc>
      </w:tr>
      <w:tr>
        <w:trPr>
          <w:trHeight w:val="146" w:hRule="atLeast"/>
        </w:trPr>
        <w:tc>
          <w:tcPr>
            <w:tcW w:w="54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/>
        <w:ind w:left="36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62"/>
        <w:gridCol w:w="1078"/>
        <w:gridCol w:w="1411"/>
        <w:gridCol w:w="1411"/>
        <w:gridCol w:w="1410"/>
        <w:gridCol w:w="1405"/>
      </w:tblGrid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nevyčerpanú dovolenku vrát. odvodov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3 316,60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3 689,77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3 316,60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3 689,77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3 316,60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3 689,77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3 316,60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bCs/>
                <w:sz w:val="16"/>
                <w:szCs w:val="16"/>
              </w:rPr>
              <w:t>3 689,77</w:t>
            </w:r>
          </w:p>
        </w:tc>
      </w:tr>
      <w:tr>
        <w:trPr>
          <w:trHeight w:val="284" w:hRule="atLeast"/>
        </w:trPr>
        <w:tc>
          <w:tcPr>
            <w:tcW w:w="32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07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3 316,60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3 689,77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sz w:val="16"/>
                <w:szCs w:val="16"/>
              </w:rPr>
              <w:t>3 316,60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0,00</w:t>
            </w:r>
          </w:p>
        </w:tc>
        <w:tc>
          <w:tcPr>
            <w:tcW w:w="1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bCs/>
                <w:sz w:val="16"/>
                <w:szCs w:val="16"/>
              </w:rPr>
              <w:t>3 689,77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9921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1336"/>
        <w:gridCol w:w="1357"/>
        <w:gridCol w:w="1559"/>
        <w:gridCol w:w="1276"/>
      </w:tblGrid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záväzky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182,24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182,24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115,00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záväzky spolu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182,24</w:t>
            </w:r>
          </w:p>
        </w:tc>
        <w:tc>
          <w:tcPr>
            <w:tcW w:w="13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182,24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115,00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9921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393"/>
        <w:gridCol w:w="2691"/>
        <w:gridCol w:w="2837"/>
      </w:tblGrid>
      <w:tr>
        <w:trPr>
          <w:trHeight w:val="284" w:hRule="atLeast"/>
        </w:trPr>
        <w:tc>
          <w:tcPr>
            <w:tcW w:w="439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552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39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16 061,28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16 989,62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3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6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16 061,28</w:t>
            </w:r>
          </w:p>
        </w:tc>
        <w:tc>
          <w:tcPr>
            <w:tcW w:w="2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16 989,62</w:t>
            </w:r>
          </w:p>
        </w:tc>
      </w:tr>
    </w:tbl>
    <w:p>
      <w:pPr>
        <w:pStyle w:val="Normal"/>
        <w:spacing w:lineRule="auto" w:line="240" w:before="0" w:after="0"/>
        <w:ind w:left="36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>
      <w:pPr>
        <w:pStyle w:val="Normal"/>
        <w:spacing w:lineRule="auto" w:line="240" w:before="0" w:after="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 záväzkoch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83"/>
        <w:gridCol w:w="2497"/>
        <w:gridCol w:w="2498"/>
      </w:tblGrid>
      <w:tr>
        <w:trPr>
          <w:trHeight w:val="284" w:hRule="atLeast"/>
        </w:trPr>
        <w:tc>
          <w:tcPr>
            <w:tcW w:w="4983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>
          <w:trHeight w:val="284" w:hRule="atLeast"/>
        </w:trPr>
        <w:tc>
          <w:tcPr>
            <w:tcW w:w="4983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12 041,61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12 584,67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12 041,61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12 584,67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329,90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4 404,95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329,90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</w:rPr>
            </w:pPr>
            <w:r>
              <w:rPr>
                <w:b/>
                <w:sz w:val="16"/>
                <w:szCs w:val="16"/>
              </w:rPr>
              <w:t>4 404,95</w:t>
            </w:r>
          </w:p>
        </w:tc>
      </w:tr>
      <w:tr>
        <w:trPr>
          <w:trHeight w:val="284" w:hRule="atLeast"/>
        </w:trPr>
        <w:tc>
          <w:tcPr>
            <w:tcW w:w="49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16 061,28</w:t>
            </w:r>
          </w:p>
        </w:tc>
        <w:tc>
          <w:tcPr>
            <w:tcW w:w="24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16 989,62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>
      <w:pPr>
        <w:pStyle w:val="Normal"/>
        <w:spacing w:lineRule="auto" w:line="240" w:before="0" w:after="120"/>
        <w:ind w:left="360" w:hanging="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26"/>
        <w:gridCol w:w="3147"/>
        <w:gridCol w:w="3105"/>
      </w:tblGrid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1 088,35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1 540,19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502,72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448,52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1 261,17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900,36</w:t>
            </w:r>
          </w:p>
        </w:tc>
      </w:tr>
      <w:tr>
        <w:trPr>
          <w:trHeight w:val="284" w:hRule="atLeast"/>
        </w:trPr>
        <w:tc>
          <w:tcPr>
            <w:tcW w:w="3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329,90</w:t>
            </w:r>
          </w:p>
        </w:tc>
        <w:tc>
          <w:tcPr>
            <w:tcW w:w="3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b/>
                <w:bCs/>
                <w:sz w:val="16"/>
                <w:szCs w:val="16"/>
              </w:rPr>
              <w:t>1 088,35</w:t>
            </w:r>
          </w:p>
        </w:tc>
      </w:tr>
    </w:tbl>
    <w:p>
      <w:pPr>
        <w:pStyle w:val="Normal"/>
        <w:spacing w:lineRule="auto" w:line="240"/>
        <w:ind w:left="720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>
      <w:pPr>
        <w:pStyle w:val="Normal"/>
        <w:spacing w:lineRule="auto" w:line="240" w:before="0" w:after="120"/>
        <w:rPr>
          <w:bCs/>
          <w:iCs/>
          <w:sz w:val="18"/>
          <w:szCs w:val="18"/>
        </w:rPr>
      </w:pPr>
      <w:r>
        <w:rPr>
          <w:bCs/>
          <w:iCs/>
          <w:sz w:val="18"/>
          <w:szCs w:val="18"/>
        </w:rPr>
        <w:t xml:space="preserve">Účtovná jednotka neeviduje prijaté bankové úvery, pôžičky ani iné výpomoci. </w:t>
      </w:r>
    </w:p>
    <w:p>
      <w:pPr>
        <w:pStyle w:val="Normal"/>
        <w:spacing w:lineRule="auto" w:line="240" w:before="0" w:after="120"/>
        <w:rPr>
          <w:iCs/>
          <w:sz w:val="18"/>
          <w:szCs w:val="18"/>
        </w:rPr>
      </w:pPr>
      <w:r>
        <w:rPr>
          <w:iCs/>
          <w:sz w:val="18"/>
          <w:szCs w:val="18"/>
        </w:rPr>
      </w:r>
    </w:p>
    <w:p>
      <w:pPr>
        <w:pStyle w:val="Normal"/>
        <w:numPr>
          <w:ilvl w:val="0"/>
          <w:numId w:val="9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prehľad o významných položkách časového rozlíšenia výdavkov budúcich období.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neeviduje významné položky na tomto účte časového rozlíšenia. </w:t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5"/>
        </w:numPr>
        <w:spacing w:lineRule="auto" w:line="240" w:before="0" w:after="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významných položkách výnosov budúcich období 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</w:r>
    </w:p>
    <w:p>
      <w:pPr>
        <w:pStyle w:val="Normal"/>
        <w:spacing w:lineRule="auto" w:line="240" w:before="0" w:after="120"/>
        <w:rPr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177"/>
        <w:gridCol w:w="1550"/>
        <w:gridCol w:w="1550"/>
        <w:gridCol w:w="1550"/>
        <w:gridCol w:w="1555"/>
      </w:tblGrid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darom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/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2 312,39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2 312,39</w:t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41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  <w:tc>
          <w:tcPr>
            <w:tcW w:w="15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</w:r>
    </w:p>
    <w:p>
      <w:pPr>
        <w:pStyle w:val="Normal"/>
        <w:numPr>
          <w:ilvl w:val="0"/>
          <w:numId w:val="5"/>
        </w:numPr>
        <w:spacing w:lineRule="auto" w:line="240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</w:t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  <w:t xml:space="preserve">Organizácia nemá prenajatý dlhodobý finančný majetok formou finančného lízingu.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bookmarkStart w:id="0" w:name="_GoBack"/>
      <w:bookmarkEnd w:id="0"/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Ind w:w="0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top w:w="0" w:type="dxa"/>
          <w:left w:w="-1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4025"/>
        <w:gridCol w:w="2973"/>
        <w:gridCol w:w="2980"/>
      </w:tblGrid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cs="Arial Narrow" w:ascii="Arial Narrow" w:hAnsi="Arial Narrow"/>
                <w:sz w:val="16"/>
                <w:szCs w:val="16"/>
              </w:rPr>
              <w:t>Prehľad tržieb za vlastné výkony a služby, z toho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>
        <w:trPr>
          <w:trHeight w:val="284" w:hRule="atLeast"/>
        </w:trPr>
        <w:tc>
          <w:tcPr>
            <w:tcW w:w="402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63 005,44</w:t>
            </w:r>
          </w:p>
        </w:tc>
        <w:tc>
          <w:tcPr>
            <w:tcW w:w="297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36 566,16</w:t>
            </w:r>
          </w:p>
        </w:tc>
        <w:tc>
          <w:tcPr>
            <w:tcW w:w="298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color="auto" w:fill="auto" w:val="clear"/>
            <w:tcMar>
              <w:left w:w="-1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color w:val="000000"/>
                <w:sz w:val="16"/>
                <w:szCs w:val="16"/>
              </w:rPr>
              <w:t>26 439,28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fyzických osôb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12 895,20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Sponzorské prijaté od iných organizácií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6 503,30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Odpustenie záväzku za nájomné za 1Q 2018, ktorý bol uhradený zriaďovateľom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Bratislavský samosprávny kraj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6"/>
                <w:szCs w:val="16"/>
              </w:rPr>
              <w:t>17 228,33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Úrad práce, sociálnych vecí a rodiny SR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56 001,20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Ministerstvo práce, sociálnych vecí a rodiny Slovenskej republiky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18 264,96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výnosov. 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719"/>
        <w:gridCol w:w="3058"/>
      </w:tblGrid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materiálu pre chránenú dielňu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6 863,23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pohonných látok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457,76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Hygienické potreby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124,21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 položky spotreby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1 181,49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materiálu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8 626,69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plynu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4 111,46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elektriny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1 039,83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Spotreba vodné, stočné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191,38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Spotreba energie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5 342,67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Ekonomické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5 684,00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Nájomné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1 992,00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Telekomunikačné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911,23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Revízie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1 113,00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Školenia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520,00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Poštovné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  <w:highlight w:val="yellow"/>
              </w:rPr>
            </w:pPr>
            <w:r>
              <w:rPr>
                <w:i/>
                <w:sz w:val="16"/>
                <w:szCs w:val="16"/>
              </w:rPr>
              <w:t>183,80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Odvoz odpadu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  <w:highlight w:val="yellow"/>
              </w:rPr>
            </w:pPr>
            <w:r>
              <w:rPr>
                <w:sz w:val="16"/>
                <w:szCs w:val="16"/>
              </w:rPr>
              <w:t>241,50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126,88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Ostatné služby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10 852,41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Poplatky banke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254,20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 xml:space="preserve">Poistenie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123,18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Iné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i/>
                <w:i/>
                <w:sz w:val="16"/>
                <w:szCs w:val="16"/>
              </w:rPr>
            </w:pPr>
            <w:r>
              <w:rPr>
                <w:i/>
                <w:sz w:val="16"/>
                <w:szCs w:val="16"/>
              </w:rPr>
              <w:t>68,48</w:t>
            </w:r>
          </w:p>
        </w:tc>
      </w:tr>
      <w:tr>
        <w:trPr>
          <w:trHeight w:val="284" w:hRule="atLeast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Iné ostatné náklady spolu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445,86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>
      <w:pPr>
        <w:pStyle w:val="Normal"/>
        <w:spacing w:lineRule="auto" w:line="240" w:before="0" w:after="120"/>
        <w:rPr>
          <w:b/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809"/>
        <w:gridCol w:w="2726"/>
        <w:gridCol w:w="1"/>
        <w:gridCol w:w="2242"/>
      </w:tblGrid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Materiál pre chránenú dielňu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/>
            </w:pPr>
            <w:r>
              <w:rPr>
                <w:sz w:val="16"/>
                <w:szCs w:val="16"/>
              </w:rPr>
              <w:t>6 503,30</w:t>
            </w:r>
          </w:p>
        </w:tc>
      </w:tr>
      <w:tr>
        <w:trPr>
          <w:trHeight w:val="284" w:hRule="atLeast"/>
        </w:trPr>
        <w:tc>
          <w:tcPr>
            <w:tcW w:w="48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sz w:val="16"/>
                <w:szCs w:val="16"/>
              </w:rPr>
              <w:t>Služby pre chránenú dielňu</w:t>
            </w:r>
          </w:p>
        </w:tc>
        <w:tc>
          <w:tcPr>
            <w:tcW w:w="272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  <w:tc>
          <w:tcPr>
            <w:tcW w:w="22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>
        <w:trPr>
          <w:trHeight w:val="284" w:hRule="atLeast"/>
        </w:trPr>
        <w:tc>
          <w:tcPr>
            <w:tcW w:w="75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righ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6 503,30</w:t>
            </w:r>
          </w:p>
        </w:tc>
      </w:tr>
    </w:tbl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  <w:t xml:space="preserve">Organizácia nevykazuje významné položky finančných nákladov. </w:t>
      </w:r>
    </w:p>
    <w:p>
      <w:pPr>
        <w:pStyle w:val="Normal"/>
        <w:spacing w:lineRule="auto" w:line="240" w:before="0" w:after="0"/>
        <w:ind w:left="6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0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uisťovacie audítorské služby s výnimkou overenia účtovnej závierky,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súvisiace audítorské služby,</w:t>
      </w:r>
    </w:p>
    <w:p>
      <w:pPr>
        <w:pStyle w:val="Normal"/>
        <w:numPr>
          <w:ilvl w:val="0"/>
          <w:numId w:val="11"/>
        </w:numPr>
        <w:spacing w:lineRule="auto" w:line="240"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daňové poradenstvo,</w:t>
      </w:r>
    </w:p>
    <w:p>
      <w:pPr>
        <w:pStyle w:val="Normal"/>
        <w:numPr>
          <w:ilvl w:val="0"/>
          <w:numId w:val="11"/>
        </w:numPr>
        <w:spacing w:lineRule="auto" w:line="240"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>ostatné neaudítorské služby.</w:t>
      </w:r>
    </w:p>
    <w:p>
      <w:pPr>
        <w:pStyle w:val="Normal"/>
        <w:spacing w:lineRule="auto" w:line="240" w:before="0" w:after="120"/>
        <w:rPr>
          <w:b/>
          <w:b/>
          <w:bCs/>
          <w:i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jc w:val="left"/>
        <w:tblInd w:w="-13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608"/>
        <w:gridCol w:w="3169"/>
      </w:tblGrid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závierky*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600,00</w:t>
            </w:r>
          </w:p>
        </w:tc>
      </w:tr>
      <w:tr>
        <w:trPr>
          <w:trHeight w:val="284" w:hRule="atLeast"/>
        </w:trPr>
        <w:tc>
          <w:tcPr>
            <w:tcW w:w="6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600,00</w:t>
            </w:r>
          </w:p>
        </w:tc>
      </w:tr>
    </w:tbl>
    <w:p>
      <w:pPr>
        <w:pStyle w:val="Normal"/>
        <w:spacing w:lineRule="auto" w:line="240" w:before="0" w:after="0"/>
        <w:rPr>
          <w:sz w:val="16"/>
          <w:szCs w:val="16"/>
        </w:rPr>
      </w:pPr>
      <w:r>
        <w:rPr>
          <w:sz w:val="16"/>
          <w:szCs w:val="16"/>
        </w:rPr>
        <w:t>* hodnota neobsahuje zákonnú DPH vo výške 120 EUR.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Opis údajov na podsúvahových účtoch</w:t>
      </w:r>
    </w:p>
    <w:p>
      <w:pPr>
        <w:pStyle w:val="Normal"/>
        <w:spacing w:lineRule="auto" w:line="240" w:before="0" w:after="0"/>
        <w:rPr>
          <w:sz w:val="18"/>
          <w:szCs w:val="18"/>
        </w:rPr>
      </w:pPr>
      <w:r>
        <w:rPr>
          <w:sz w:val="18"/>
          <w:szCs w:val="18"/>
        </w:rPr>
        <w:t xml:space="preserve">Nezisková organizácia má v prenájme nehnuteľnosť Jakubove 79,  900 63 Jakubov. Tieto priestory využíva na prevádzku chránenej dielne, rehabilitačné aktivity a iné činnosti spojené s verejnoprospešnou činnosťou. Ročné náklady na prenájom sú 1 992 EUR. Zmluva s prenajímateľom je uzatvorená na dobu neurčitú.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0"/>
        <w:jc w:val="center"/>
        <w:outlineLvl w:val="0"/>
        <w:rPr>
          <w:b/>
          <w:b/>
          <w:bCs/>
        </w:rPr>
      </w:pPr>
      <w:r>
        <w:rPr>
          <w:b/>
          <w:bCs/>
        </w:rPr>
        <w:t>Čl. VI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b/>
          <w:b/>
          <w:bCs/>
        </w:rPr>
      </w:pPr>
      <w:r>
        <w:rPr>
          <w:b/>
          <w:bCs/>
        </w:rPr>
        <w:t>Ďalšie informácie</w:t>
      </w:r>
    </w:p>
    <w:p>
      <w:pPr>
        <w:pStyle w:val="Textopatrenia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57" w:hanging="357"/>
        <w:rPr>
          <w:sz w:val="18"/>
          <w:szCs w:val="18"/>
        </w:rPr>
      </w:pPr>
      <w:r>
        <w:rPr>
          <w:sz w:val="18"/>
          <w:szCs w:val="18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13"/>
        </w:numPr>
        <w:spacing w:before="0" w:after="120"/>
        <w:rPr>
          <w:sz w:val="18"/>
          <w:szCs w:val="18"/>
        </w:rPr>
      </w:pPr>
      <w:r>
        <w:rPr>
          <w:sz w:val="18"/>
          <w:szCs w:val="18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iné aktíva alebo pasíva,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Textopatrenia"/>
        <w:numPr>
          <w:ilvl w:val="0"/>
          <w:numId w:val="12"/>
        </w:numPr>
        <w:spacing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devízových termínovaných obchodov a iných finančných derivátov,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opčných obchodov,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14"/>
        </w:numPr>
        <w:spacing w:before="0" w:after="0"/>
        <w:ind w:left="720" w:hanging="357"/>
        <w:rPr>
          <w:sz w:val="18"/>
          <w:szCs w:val="18"/>
        </w:rPr>
      </w:pPr>
      <w:r>
        <w:rPr>
          <w:sz w:val="18"/>
          <w:szCs w:val="18"/>
        </w:rPr>
        <w:t>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14"/>
        </w:numPr>
        <w:spacing w:before="0" w:after="120"/>
        <w:ind w:left="720" w:hanging="357"/>
        <w:rPr>
          <w:sz w:val="18"/>
          <w:szCs w:val="18"/>
        </w:rPr>
      </w:pPr>
      <w:r>
        <w:rPr>
          <w:sz w:val="18"/>
          <w:szCs w:val="18"/>
        </w:rPr>
        <w:t xml:space="preserve">iné povinnosti. 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ostatné finančné povinnosti, ktoré by nevykazovala v súvahe.</w:t>
      </w:r>
    </w:p>
    <w:p>
      <w:pPr>
        <w:pStyle w:val="Textopatrenia"/>
        <w:spacing w:before="0" w:after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Prehľad nehnuteľných kultúrnych pamiatok, ktoré sú v správe alebo vo vlastníctve účtovnej jednotky.</w:t>
      </w:r>
    </w:p>
    <w:p>
      <w:pPr>
        <w:pStyle w:val="Textopatrenia"/>
        <w:rPr>
          <w:sz w:val="18"/>
          <w:szCs w:val="18"/>
        </w:rPr>
      </w:pPr>
      <w:r>
        <w:rPr>
          <w:sz w:val="18"/>
          <w:szCs w:val="18"/>
        </w:rPr>
        <w:t>Účtovná jednotka nemá vo vlastníctve ani v správe žiadne kultúrne pamiatky.</w:t>
      </w:r>
    </w:p>
    <w:p>
      <w:pPr>
        <w:pStyle w:val="Normal"/>
        <w:numPr>
          <w:ilvl w:val="0"/>
          <w:numId w:val="12"/>
        </w:numPr>
        <w:spacing w:lineRule="auto" w:line="240" w:before="0" w:after="120"/>
        <w:ind w:left="360" w:hanging="357"/>
        <w:rPr>
          <w:sz w:val="18"/>
          <w:szCs w:val="18"/>
        </w:rPr>
      </w:pPr>
      <w:r>
        <w:rPr>
          <w:sz w:val="18"/>
          <w:szCs w:val="18"/>
        </w:rPr>
        <w:t>Informácie o významných skutočnostiach, ktoré nastali medzi dňom, ku ktorému sa zostavuje účtovná závierka a dňom jej zostavenia.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  <w:t>Medzi dňom zostavenia účtovnej závierky a dňom, ku ktorému sa účtovná závierka zostavuje, nenastali žiadne významné skutočnosti, ktoré by mali významný vplyv na údaje vykázané v účtovnej závierke.</w:t>
      </w:r>
    </w:p>
    <w:p>
      <w:pPr>
        <w:pStyle w:val="Textopatrenia"/>
        <w:spacing w:before="0" w:after="0"/>
        <w:ind w:left="3" w:hanging="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3" w:hanging="0"/>
        <w:rPr/>
      </w:pPr>
      <w:r>
        <w:rPr/>
      </w:r>
    </w:p>
    <w:sectPr>
      <w:footerReference w:type="default" r:id="rId2"/>
      <w:type w:val="nextPage"/>
      <w:pgSz w:w="11906" w:h="16838"/>
      <w:pgMar w:left="964" w:right="964" w:header="0" w:top="1304" w:footer="454" w:bottom="1021" w:gutter="0"/>
      <w:pgNumType w:start="7" w:fmt="decimal"/>
      <w:formProt w:val="false"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01"/>
    <w:family w:val="modern"/>
    <w:pitch w:val="fixed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15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i w:val="false"/>
        <w:b/>
        <w:iCs w:val="false"/>
        <w:bCs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sz w:val="16"/>
        <w:i w:val="false"/>
        <w:b w:val="false"/>
        <w:iCs w:val="false"/>
        <w:bCs w:val="false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sz w:val="18"/>
        <w:i w:val="false"/>
        <w:b w:val="false"/>
        <w:iCs w:val="false"/>
        <w:bCs w:val="false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5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  <w:rFonts w:cs="Symbol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  <w:rFonts w:cs="Courier New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  <w:rFonts w:cs="Wingdings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  <w:rFonts w:cs="Symbol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rFonts w:cs="Courier New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  <w:rFonts w:cs="Wingdings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  <w:rFonts w:cs="Symbol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  <w:rFonts w:cs="Courier New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  <w:rFonts w:cs="Wingdings"/>
      </w:rPr>
    </w:lvl>
  </w:abstractNum>
  <w:abstractNum w:abstractNumId="9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lvl w:ilvl="0">
      <w:start w:val="1"/>
      <w:numFmt w:val="decimal"/>
      <w:lvlText w:val="(%1)"/>
      <w:lvlJc w:val="left"/>
      <w:pPr>
        <w:ind w:left="360" w:hanging="360"/>
      </w:pPr>
      <w:rPr>
        <w:sz w:val="18"/>
        <w:szCs w:val="16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  <w:num w:numId="13">
    <w:abstractNumId w:val="13"/>
  </w:num>
  <w:num w:numId="14">
    <w:abstractNumId w:val="14"/>
  </w:num>
</w:numbering>
</file>

<file path=word/settings.xml><?xml version="1.0" encoding="utf-8"?>
<w:settings xmlns:w="http://schemas.openxmlformats.org/wordprocessingml/2006/main">
  <w:zoom w:percent="150"/>
  <w:embedSystemFonts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691dcc"/>
    <w:pPr>
      <w:widowControl/>
      <w:bidi w:val="0"/>
      <w:spacing w:lineRule="auto" w:line="360" w:before="120" w:after="12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al"/>
    <w:link w:val="Nadpis3Char"/>
    <w:uiPriority w:val="99"/>
    <w:qFormat/>
    <w:rsid w:val="00945816"/>
    <w:pPr>
      <w:keepNext/>
      <w:spacing w:lineRule="auto" w:line="240" w:before="240" w:after="60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a02c03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a02c03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Nadpis3Char" w:customStyle="1">
    <w:name w:val="Nadpis 3 Char"/>
    <w:basedOn w:val="DefaultParagraphFont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a02c03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b/>
      <w:bCs/>
      <w:i w:val="false"/>
      <w:iCs w:val="false"/>
    </w:rPr>
  </w:style>
  <w:style w:type="character" w:styleId="ListLabel9" w:customStyle="1">
    <w:name w:val="ListLabel 9"/>
    <w:qFormat/>
    <w:rPr>
      <w:b w:val="false"/>
      <w:bCs w:val="false"/>
      <w:i w:val="false"/>
      <w:iCs w:val="false"/>
      <w:sz w:val="16"/>
    </w:rPr>
  </w:style>
  <w:style w:type="character" w:styleId="ListLabel10" w:customStyle="1">
    <w:name w:val="ListLabel 10"/>
    <w:qFormat/>
    <w:rPr>
      <w:b w:val="false"/>
      <w:bCs w:val="false"/>
      <w:i w:val="false"/>
      <w:iCs w:val="false"/>
      <w:sz w:val="18"/>
    </w:rPr>
  </w:style>
  <w:style w:type="character" w:styleId="ListLabel11" w:customStyle="1">
    <w:name w:val="ListLabel 11"/>
    <w:qFormat/>
    <w:rPr>
      <w:rFonts w:cs="Symbol"/>
      <w:b/>
      <w:sz w:val="16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Wingdings"/>
    </w:rPr>
  </w:style>
  <w:style w:type="character" w:styleId="ListLabel14" w:customStyle="1">
    <w:name w:val="ListLabel 14"/>
    <w:qFormat/>
    <w:rPr>
      <w:rFonts w:cs="Symbol"/>
    </w:rPr>
  </w:style>
  <w:style w:type="character" w:styleId="ListLabel15" w:customStyle="1">
    <w:name w:val="ListLabel 15"/>
    <w:qFormat/>
    <w:rPr>
      <w:rFonts w:cs="Courier New"/>
    </w:rPr>
  </w:style>
  <w:style w:type="character" w:styleId="ListLabel16" w:customStyle="1">
    <w:name w:val="ListLabel 16"/>
    <w:qFormat/>
    <w:rPr>
      <w:rFonts w:cs="Wingdings"/>
    </w:rPr>
  </w:style>
  <w:style w:type="character" w:styleId="ListLabel17" w:customStyle="1">
    <w:name w:val="ListLabel 17"/>
    <w:qFormat/>
    <w:rPr>
      <w:rFonts w:cs="Symbol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cs="Wingdings"/>
    </w:rPr>
  </w:style>
  <w:style w:type="character" w:styleId="ListLabel20" w:customStyle="1">
    <w:name w:val="ListLabel 20"/>
    <w:qFormat/>
    <w:rPr>
      <w:rFonts w:cs="Symbol"/>
      <w:sz w:val="16"/>
    </w:rPr>
  </w:style>
  <w:style w:type="character" w:styleId="ListLabel21" w:customStyle="1">
    <w:name w:val="ListLabel 21"/>
    <w:qFormat/>
    <w:rPr>
      <w:rFonts w:cs="Courier New"/>
    </w:rPr>
  </w:style>
  <w:style w:type="character" w:styleId="ListLabel22" w:customStyle="1">
    <w:name w:val="ListLabel 22"/>
    <w:qFormat/>
    <w:rPr>
      <w:rFonts w:cs="Wingdings"/>
    </w:rPr>
  </w:style>
  <w:style w:type="character" w:styleId="ListLabel23" w:customStyle="1">
    <w:name w:val="ListLabel 23"/>
    <w:qFormat/>
    <w:rPr>
      <w:rFonts w:cs="Symbol"/>
    </w:rPr>
  </w:style>
  <w:style w:type="character" w:styleId="ListLabel24" w:customStyle="1">
    <w:name w:val="ListLabel 24"/>
    <w:qFormat/>
    <w:rPr>
      <w:rFonts w:cs="Courier New"/>
    </w:rPr>
  </w:style>
  <w:style w:type="character" w:styleId="ListLabel25" w:customStyle="1">
    <w:name w:val="ListLabel 25"/>
    <w:qFormat/>
    <w:rPr>
      <w:rFonts w:cs="Wingdings"/>
    </w:rPr>
  </w:style>
  <w:style w:type="character" w:styleId="ListLabel26" w:customStyle="1">
    <w:name w:val="ListLabel 26"/>
    <w:qFormat/>
    <w:rPr>
      <w:rFonts w:cs="Symbol"/>
    </w:rPr>
  </w:style>
  <w:style w:type="character" w:styleId="ListLabel27" w:customStyle="1">
    <w:name w:val="ListLabel 27"/>
    <w:qFormat/>
    <w:rPr>
      <w:rFonts w:cs="Courier New"/>
    </w:rPr>
  </w:style>
  <w:style w:type="character" w:styleId="ListLabel28" w:customStyle="1">
    <w:name w:val="ListLabel 28"/>
    <w:qFormat/>
    <w:rPr>
      <w:rFonts w:cs="Wingdings"/>
    </w:rPr>
  </w:style>
  <w:style w:type="character" w:styleId="ListLabel29" w:customStyle="1">
    <w:name w:val="ListLabel 29"/>
    <w:qFormat/>
    <w:rPr>
      <w:rFonts w:cs="Symbol"/>
      <w:sz w:val="16"/>
    </w:rPr>
  </w:style>
  <w:style w:type="character" w:styleId="ListLabel30" w:customStyle="1">
    <w:name w:val="ListLabel 30"/>
    <w:qFormat/>
    <w:rPr>
      <w:rFonts w:cs="Courier New"/>
    </w:rPr>
  </w:style>
  <w:style w:type="character" w:styleId="ListLabel31" w:customStyle="1">
    <w:name w:val="ListLabel 31"/>
    <w:qFormat/>
    <w:rPr>
      <w:rFonts w:cs="Wingdings"/>
    </w:rPr>
  </w:style>
  <w:style w:type="character" w:styleId="ListLabel32" w:customStyle="1">
    <w:name w:val="ListLabel 32"/>
    <w:qFormat/>
    <w:rPr>
      <w:rFonts w:cs="Symbol"/>
    </w:rPr>
  </w:style>
  <w:style w:type="character" w:styleId="ListLabel33" w:customStyle="1">
    <w:name w:val="ListLabel 33"/>
    <w:qFormat/>
    <w:rPr>
      <w:rFonts w:cs="Courier New"/>
    </w:rPr>
  </w:style>
  <w:style w:type="character" w:styleId="ListLabel34" w:customStyle="1">
    <w:name w:val="ListLabel 34"/>
    <w:qFormat/>
    <w:rPr>
      <w:rFonts w:cs="Wingdings"/>
    </w:rPr>
  </w:style>
  <w:style w:type="character" w:styleId="ListLabel35" w:customStyle="1">
    <w:name w:val="ListLabel 35"/>
    <w:qFormat/>
    <w:rPr>
      <w:rFonts w:cs="Symbol"/>
    </w:rPr>
  </w:style>
  <w:style w:type="character" w:styleId="ListLabel36" w:customStyle="1">
    <w:name w:val="ListLabel 36"/>
    <w:qFormat/>
    <w:rPr>
      <w:rFonts w:cs="Courier New"/>
    </w:rPr>
  </w:style>
  <w:style w:type="character" w:styleId="ListLabel37" w:customStyle="1">
    <w:name w:val="ListLabel 37"/>
    <w:qFormat/>
    <w:rPr>
      <w:rFonts w:cs="Wingdings"/>
    </w:rPr>
  </w:style>
  <w:style w:type="character" w:styleId="ListLabel38" w:customStyle="1">
    <w:name w:val="ListLabel 3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39" w:customStyle="1">
    <w:name w:val="ListLabel 39"/>
    <w:qFormat/>
    <w:rPr>
      <w:rFonts w:cs="Arial"/>
      <w:b/>
      <w:bCs/>
      <w:i w:val="false"/>
      <w:iCs w:val="false"/>
      <w:sz w:val="24"/>
      <w:szCs w:val="24"/>
    </w:rPr>
  </w:style>
  <w:style w:type="character" w:styleId="ListLabel40" w:customStyle="1">
    <w:name w:val="ListLabel 40"/>
    <w:qFormat/>
    <w:rPr>
      <w:b/>
      <w:bCs/>
      <w:i w:val="false"/>
      <w:iCs w:val="false"/>
    </w:rPr>
  </w:style>
  <w:style w:type="character" w:styleId="ListLabel41" w:customStyle="1">
    <w:name w:val="ListLabel 41"/>
    <w:qFormat/>
    <w:rPr>
      <w:b w:val="false"/>
      <w:bCs w:val="false"/>
      <w:i w:val="false"/>
      <w:iCs w:val="false"/>
      <w:sz w:val="16"/>
    </w:rPr>
  </w:style>
  <w:style w:type="character" w:styleId="ListLabel42" w:customStyle="1">
    <w:name w:val="ListLabel 42"/>
    <w:qFormat/>
    <w:rPr>
      <w:b w:val="false"/>
      <w:bCs w:val="false"/>
      <w:i w:val="false"/>
      <w:iCs w:val="false"/>
      <w:sz w:val="18"/>
    </w:rPr>
  </w:style>
  <w:style w:type="character" w:styleId="ListLabel43" w:customStyle="1">
    <w:name w:val="ListLabel 43"/>
    <w:qFormat/>
    <w:rPr>
      <w:rFonts w:cs="Symbol"/>
      <w:b/>
      <w:sz w:val="16"/>
    </w:rPr>
  </w:style>
  <w:style w:type="character" w:styleId="ListLabel44" w:customStyle="1">
    <w:name w:val="ListLabel 44"/>
    <w:qFormat/>
    <w:rPr>
      <w:rFonts w:cs="Courier New"/>
    </w:rPr>
  </w:style>
  <w:style w:type="character" w:styleId="ListLabel45" w:customStyle="1">
    <w:name w:val="ListLabel 45"/>
    <w:qFormat/>
    <w:rPr>
      <w:rFonts w:cs="Wingdings"/>
    </w:rPr>
  </w:style>
  <w:style w:type="character" w:styleId="ListLabel46" w:customStyle="1">
    <w:name w:val="ListLabel 46"/>
    <w:qFormat/>
    <w:rPr>
      <w:rFonts w:cs="Symbol"/>
    </w:rPr>
  </w:style>
  <w:style w:type="character" w:styleId="ListLabel47" w:customStyle="1">
    <w:name w:val="ListLabel 47"/>
    <w:qFormat/>
    <w:rPr>
      <w:rFonts w:cs="Courier New"/>
    </w:rPr>
  </w:style>
  <w:style w:type="character" w:styleId="ListLabel48" w:customStyle="1">
    <w:name w:val="ListLabel 48"/>
    <w:qFormat/>
    <w:rPr>
      <w:rFonts w:cs="Wingdings"/>
    </w:rPr>
  </w:style>
  <w:style w:type="character" w:styleId="ListLabel49" w:customStyle="1">
    <w:name w:val="ListLabel 49"/>
    <w:qFormat/>
    <w:rPr>
      <w:rFonts w:cs="Symbol"/>
    </w:rPr>
  </w:style>
  <w:style w:type="character" w:styleId="ListLabel50" w:customStyle="1">
    <w:name w:val="ListLabel 50"/>
    <w:qFormat/>
    <w:rPr>
      <w:rFonts w:cs="Courier New"/>
    </w:rPr>
  </w:style>
  <w:style w:type="character" w:styleId="ListLabel51" w:customStyle="1">
    <w:name w:val="ListLabel 51"/>
    <w:qFormat/>
    <w:rPr>
      <w:rFonts w:cs="Wingdings"/>
    </w:rPr>
  </w:style>
  <w:style w:type="character" w:styleId="ListLabel52" w:customStyle="1">
    <w:name w:val="ListLabel 52"/>
    <w:qFormat/>
    <w:rPr>
      <w:rFonts w:cs="Symbol"/>
      <w:sz w:val="16"/>
    </w:rPr>
  </w:style>
  <w:style w:type="character" w:styleId="ListLabel53" w:customStyle="1">
    <w:name w:val="ListLabel 53"/>
    <w:qFormat/>
    <w:rPr>
      <w:rFonts w:cs="Courier New"/>
    </w:rPr>
  </w:style>
  <w:style w:type="character" w:styleId="ListLabel54" w:customStyle="1">
    <w:name w:val="ListLabel 54"/>
    <w:qFormat/>
    <w:rPr>
      <w:rFonts w:cs="Wingdings"/>
    </w:rPr>
  </w:style>
  <w:style w:type="character" w:styleId="ListLabel55" w:customStyle="1">
    <w:name w:val="ListLabel 55"/>
    <w:qFormat/>
    <w:rPr>
      <w:rFonts w:cs="Symbol"/>
    </w:rPr>
  </w:style>
  <w:style w:type="character" w:styleId="ListLabel56" w:customStyle="1">
    <w:name w:val="ListLabel 56"/>
    <w:qFormat/>
    <w:rPr>
      <w:rFonts w:cs="Courier New"/>
    </w:rPr>
  </w:style>
  <w:style w:type="character" w:styleId="ListLabel57" w:customStyle="1">
    <w:name w:val="ListLabel 57"/>
    <w:qFormat/>
    <w:rPr>
      <w:rFonts w:cs="Wingdings"/>
    </w:rPr>
  </w:style>
  <w:style w:type="character" w:styleId="ListLabel58" w:customStyle="1">
    <w:name w:val="ListLabel 58"/>
    <w:qFormat/>
    <w:rPr>
      <w:rFonts w:cs="Symbol"/>
    </w:rPr>
  </w:style>
  <w:style w:type="character" w:styleId="ListLabel59" w:customStyle="1">
    <w:name w:val="ListLabel 59"/>
    <w:qFormat/>
    <w:rPr>
      <w:rFonts w:cs="Courier New"/>
    </w:rPr>
  </w:style>
  <w:style w:type="character" w:styleId="ListLabel60" w:customStyle="1">
    <w:name w:val="ListLabel 60"/>
    <w:qFormat/>
    <w:rPr>
      <w:rFonts w:cs="Wingdings"/>
    </w:rPr>
  </w:style>
  <w:style w:type="character" w:styleId="ListLabel61" w:customStyle="1">
    <w:name w:val="ListLabel 61"/>
    <w:qFormat/>
    <w:rPr>
      <w:rFonts w:cs="Symbol"/>
      <w:sz w:val="16"/>
    </w:rPr>
  </w:style>
  <w:style w:type="character" w:styleId="ListLabel62" w:customStyle="1">
    <w:name w:val="ListLabel 62"/>
    <w:qFormat/>
    <w:rPr>
      <w:rFonts w:cs="Courier New"/>
    </w:rPr>
  </w:style>
  <w:style w:type="character" w:styleId="ListLabel63" w:customStyle="1">
    <w:name w:val="ListLabel 63"/>
    <w:qFormat/>
    <w:rPr>
      <w:rFonts w:cs="Wingdings"/>
    </w:rPr>
  </w:style>
  <w:style w:type="character" w:styleId="ListLabel64" w:customStyle="1">
    <w:name w:val="ListLabel 64"/>
    <w:qFormat/>
    <w:rPr>
      <w:rFonts w:cs="Symbol"/>
    </w:rPr>
  </w:style>
  <w:style w:type="character" w:styleId="ListLabel65" w:customStyle="1">
    <w:name w:val="ListLabel 65"/>
    <w:qFormat/>
    <w:rPr>
      <w:rFonts w:cs="Courier New"/>
    </w:rPr>
  </w:style>
  <w:style w:type="character" w:styleId="ListLabel66" w:customStyle="1">
    <w:name w:val="ListLabel 66"/>
    <w:qFormat/>
    <w:rPr>
      <w:rFonts w:cs="Wingdings"/>
    </w:rPr>
  </w:style>
  <w:style w:type="character" w:styleId="ListLabel67" w:customStyle="1">
    <w:name w:val="ListLabel 67"/>
    <w:qFormat/>
    <w:rPr>
      <w:rFonts w:cs="Symbol"/>
    </w:rPr>
  </w:style>
  <w:style w:type="character" w:styleId="ListLabel68" w:customStyle="1">
    <w:name w:val="ListLabel 68"/>
    <w:qFormat/>
    <w:rPr>
      <w:rFonts w:cs="Courier New"/>
    </w:rPr>
  </w:style>
  <w:style w:type="character" w:styleId="ListLabel69" w:customStyle="1">
    <w:name w:val="ListLabel 69"/>
    <w:qFormat/>
    <w:rPr>
      <w:rFonts w:cs="Wingdings"/>
    </w:rPr>
  </w:style>
  <w:style w:type="character" w:styleId="ListLabel70">
    <w:name w:val="ListLabel 70"/>
    <w:qFormat/>
    <w:rPr>
      <w:rFonts w:cs="Arial"/>
      <w:b/>
      <w:bCs/>
      <w:i w:val="false"/>
      <w:iCs w:val="false"/>
      <w:sz w:val="24"/>
      <w:szCs w:val="24"/>
    </w:rPr>
  </w:style>
  <w:style w:type="character" w:styleId="ListLabel71">
    <w:name w:val="ListLabel 71"/>
    <w:qFormat/>
    <w:rPr>
      <w:b/>
      <w:bCs/>
      <w:i w:val="false"/>
      <w:iCs w:val="false"/>
    </w:rPr>
  </w:style>
  <w:style w:type="character" w:styleId="ListLabel72">
    <w:name w:val="ListLabel 72"/>
    <w:qFormat/>
    <w:rPr>
      <w:b w:val="false"/>
      <w:bCs w:val="false"/>
      <w:i w:val="false"/>
      <w:iCs w:val="false"/>
      <w:sz w:val="16"/>
    </w:rPr>
  </w:style>
  <w:style w:type="character" w:styleId="ListLabel73">
    <w:name w:val="ListLabel 73"/>
    <w:qFormat/>
    <w:rPr>
      <w:b w:val="false"/>
      <w:bCs w:val="false"/>
      <w:i w:val="false"/>
      <w:iCs w:val="false"/>
      <w:sz w:val="18"/>
    </w:rPr>
  </w:style>
  <w:style w:type="character" w:styleId="ListLabel74">
    <w:name w:val="ListLabel 74"/>
    <w:qFormat/>
    <w:rPr>
      <w:rFonts w:cs="Symbol"/>
      <w:b/>
      <w:sz w:val="16"/>
    </w:rPr>
  </w:style>
  <w:style w:type="character" w:styleId="ListLabel75">
    <w:name w:val="ListLabel 75"/>
    <w:qFormat/>
    <w:rPr>
      <w:rFonts w:cs="Courier New"/>
    </w:rPr>
  </w:style>
  <w:style w:type="character" w:styleId="ListLabel76">
    <w:name w:val="ListLabel 76"/>
    <w:qFormat/>
    <w:rPr>
      <w:rFonts w:cs="Wingdings"/>
    </w:rPr>
  </w:style>
  <w:style w:type="character" w:styleId="ListLabel77">
    <w:name w:val="ListLabel 77"/>
    <w:qFormat/>
    <w:rPr>
      <w:rFonts w:cs="Symbol"/>
    </w:rPr>
  </w:style>
  <w:style w:type="character" w:styleId="ListLabel78">
    <w:name w:val="ListLabel 78"/>
    <w:qFormat/>
    <w:rPr>
      <w:rFonts w:cs="Courier New"/>
    </w:rPr>
  </w:style>
  <w:style w:type="character" w:styleId="ListLabel79">
    <w:name w:val="ListLabel 79"/>
    <w:qFormat/>
    <w:rPr>
      <w:rFonts w:cs="Wingdings"/>
    </w:rPr>
  </w:style>
  <w:style w:type="character" w:styleId="ListLabel80">
    <w:name w:val="ListLabel 80"/>
    <w:qFormat/>
    <w:rPr>
      <w:rFonts w:cs="Symbol"/>
    </w:rPr>
  </w:style>
  <w:style w:type="character" w:styleId="ListLabel81">
    <w:name w:val="ListLabel 81"/>
    <w:qFormat/>
    <w:rPr>
      <w:rFonts w:cs="Courier New"/>
    </w:rPr>
  </w:style>
  <w:style w:type="character" w:styleId="ListLabel82">
    <w:name w:val="ListLabel 82"/>
    <w:qFormat/>
    <w:rPr>
      <w:rFonts w:cs="Wingdings"/>
    </w:rPr>
  </w:style>
  <w:style w:type="character" w:styleId="ListLabel83">
    <w:name w:val="ListLabel 83"/>
    <w:qFormat/>
    <w:rPr>
      <w:rFonts w:cs="Symbol"/>
      <w:sz w:val="16"/>
    </w:rPr>
  </w:style>
  <w:style w:type="character" w:styleId="ListLabel84">
    <w:name w:val="ListLabel 84"/>
    <w:qFormat/>
    <w:rPr>
      <w:rFonts w:cs="Courier New"/>
    </w:rPr>
  </w:style>
  <w:style w:type="character" w:styleId="ListLabel85">
    <w:name w:val="ListLabel 85"/>
    <w:qFormat/>
    <w:rPr>
      <w:rFonts w:cs="Wingdings"/>
    </w:rPr>
  </w:style>
  <w:style w:type="character" w:styleId="ListLabel86">
    <w:name w:val="ListLabel 86"/>
    <w:qFormat/>
    <w:rPr>
      <w:rFonts w:cs="Symbol"/>
    </w:rPr>
  </w:style>
  <w:style w:type="character" w:styleId="ListLabel87">
    <w:name w:val="ListLabel 87"/>
    <w:qFormat/>
    <w:rPr>
      <w:rFonts w:cs="Courier New"/>
    </w:rPr>
  </w:style>
  <w:style w:type="character" w:styleId="ListLabel88">
    <w:name w:val="ListLabel 88"/>
    <w:qFormat/>
    <w:rPr>
      <w:rFonts w:cs="Wingdings"/>
    </w:rPr>
  </w:style>
  <w:style w:type="character" w:styleId="ListLabel89">
    <w:name w:val="ListLabel 89"/>
    <w:qFormat/>
    <w:rPr>
      <w:rFonts w:cs="Symbol"/>
    </w:rPr>
  </w:style>
  <w:style w:type="character" w:styleId="ListLabel90">
    <w:name w:val="ListLabel 90"/>
    <w:qFormat/>
    <w:rPr>
      <w:rFonts w:cs="Courier New"/>
    </w:rPr>
  </w:style>
  <w:style w:type="character" w:styleId="ListLabel91">
    <w:name w:val="ListLabel 91"/>
    <w:qFormat/>
    <w:rPr>
      <w:rFonts w:cs="Wingdings"/>
    </w:rPr>
  </w:style>
  <w:style w:type="character" w:styleId="ListLabel92">
    <w:name w:val="ListLabel 92"/>
    <w:qFormat/>
    <w:rPr>
      <w:rFonts w:cs="Symbol"/>
      <w:sz w:val="16"/>
    </w:rPr>
  </w:style>
  <w:style w:type="character" w:styleId="ListLabel93">
    <w:name w:val="ListLabel 93"/>
    <w:qFormat/>
    <w:rPr>
      <w:rFonts w:cs="Courier New"/>
    </w:rPr>
  </w:style>
  <w:style w:type="character" w:styleId="ListLabel94">
    <w:name w:val="ListLabel 94"/>
    <w:qFormat/>
    <w:rPr>
      <w:rFonts w:cs="Wingdings"/>
    </w:rPr>
  </w:style>
  <w:style w:type="character" w:styleId="ListLabel95">
    <w:name w:val="ListLabel 95"/>
    <w:qFormat/>
    <w:rPr>
      <w:rFonts w:cs="Symbol"/>
    </w:rPr>
  </w:style>
  <w:style w:type="character" w:styleId="ListLabel96">
    <w:name w:val="ListLabel 96"/>
    <w:qFormat/>
    <w:rPr>
      <w:rFonts w:cs="Courier New"/>
    </w:rPr>
  </w:style>
  <w:style w:type="character" w:styleId="ListLabel97">
    <w:name w:val="ListLabel 97"/>
    <w:qFormat/>
    <w:rPr>
      <w:rFonts w:cs="Wingdings"/>
    </w:rPr>
  </w:style>
  <w:style w:type="character" w:styleId="ListLabel98">
    <w:name w:val="ListLabel 98"/>
    <w:qFormat/>
    <w:rPr>
      <w:rFonts w:cs="Symbol"/>
    </w:rPr>
  </w:style>
  <w:style w:type="character" w:styleId="ListLabel99">
    <w:name w:val="ListLabel 99"/>
    <w:qFormat/>
    <w:rPr>
      <w:rFonts w:cs="Courier New"/>
    </w:rPr>
  </w:style>
  <w:style w:type="character" w:styleId="ListLabel100">
    <w:name w:val="ListLabel 100"/>
    <w:qFormat/>
    <w:rPr>
      <w:rFonts w:cs="Wingdings"/>
    </w:rPr>
  </w:style>
  <w:style w:type="character" w:styleId="ListLabel101">
    <w:name w:val="ListLabel 101"/>
    <w:qFormat/>
    <w:rPr>
      <w:sz w:val="18"/>
      <w:szCs w:val="16"/>
    </w:rPr>
  </w:style>
  <w:style w:type="character" w:styleId="ListLabel102">
    <w:name w:val="ListLabel 102"/>
    <w:qFormat/>
    <w:rPr>
      <w:rFonts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emboss w:val="false"/>
      <w:imprint w:val="false"/>
      <w:vanish w:val="false"/>
      <w:color w:val="00000A"/>
      <w:spacing w:val="0"/>
      <w:w w:val="100"/>
      <w:position w:val="0"/>
      <w:sz w:val="24"/>
      <w:sz w:val="24"/>
      <w:szCs w:val="24"/>
      <w:u w:val="none" w:color="000000"/>
      <w:vertAlign w:val="baseline"/>
    </w:rPr>
  </w:style>
  <w:style w:type="character" w:styleId="ListLabel103">
    <w:name w:val="ListLabel 103"/>
    <w:qFormat/>
    <w:rPr>
      <w:rFonts w:cs="Times New Roman"/>
    </w:rPr>
  </w:style>
  <w:style w:type="character" w:styleId="ListLabel104">
    <w:name w:val="ListLabel 104"/>
    <w:qFormat/>
    <w:rPr>
      <w:rFonts w:cs="Times New Roman"/>
    </w:rPr>
  </w:style>
  <w:style w:type="character" w:styleId="ListLabel105">
    <w:name w:val="ListLabel 105"/>
    <w:qFormat/>
    <w:rPr>
      <w:rFonts w:cs="Times New Roman"/>
    </w:rPr>
  </w:style>
  <w:style w:type="character" w:styleId="ListLabel106">
    <w:name w:val="ListLabel 106"/>
    <w:qFormat/>
    <w:rPr>
      <w:rFonts w:cs="Times New Roman"/>
    </w:rPr>
  </w:style>
  <w:style w:type="character" w:styleId="ListLabel107">
    <w:name w:val="ListLabel 107"/>
    <w:qFormat/>
    <w:rPr>
      <w:rFonts w:cs="Times New Roman"/>
    </w:rPr>
  </w:style>
  <w:style w:type="character" w:styleId="ListLabel108">
    <w:name w:val="ListLabel 108"/>
    <w:qFormat/>
    <w:rPr>
      <w:rFonts w:cs="Times New Roman"/>
    </w:rPr>
  </w:style>
  <w:style w:type="character" w:styleId="ListLabel109">
    <w:name w:val="ListLabel 109"/>
    <w:qFormat/>
    <w:rPr>
      <w:rFonts w:cs="Times New Roman"/>
    </w:rPr>
  </w:style>
  <w:style w:type="character" w:styleId="ListLabel110">
    <w:name w:val="ListLabel 110"/>
    <w:qFormat/>
    <w:rPr>
      <w:rFonts w:cs="Times New Roman"/>
    </w:rPr>
  </w:style>
  <w:style w:type="character" w:styleId="ListLabel111">
    <w:name w:val="ListLabel 111"/>
    <w:qFormat/>
    <w:rPr>
      <w:rFonts w:cs="Arial"/>
      <w:b/>
      <w:bCs/>
      <w:i w:val="false"/>
      <w:iCs w:val="false"/>
      <w:sz w:val="24"/>
      <w:szCs w:val="24"/>
    </w:rPr>
  </w:style>
  <w:style w:type="character" w:styleId="ListLabel112">
    <w:name w:val="ListLabel 112"/>
    <w:qFormat/>
    <w:rPr>
      <w:b/>
      <w:bCs/>
      <w:i w:val="false"/>
      <w:iCs w:val="false"/>
    </w:rPr>
  </w:style>
  <w:style w:type="character" w:styleId="ListLabel113">
    <w:name w:val="ListLabel 113"/>
    <w:qFormat/>
    <w:rPr>
      <w:b w:val="false"/>
      <w:bCs w:val="false"/>
      <w:i w:val="false"/>
      <w:iCs w:val="false"/>
      <w:sz w:val="16"/>
    </w:rPr>
  </w:style>
  <w:style w:type="character" w:styleId="ListLabel114">
    <w:name w:val="ListLabel 114"/>
    <w:qFormat/>
    <w:rPr>
      <w:b w:val="false"/>
      <w:bCs w:val="false"/>
      <w:i w:val="false"/>
      <w:iCs w:val="false"/>
      <w:sz w:val="18"/>
    </w:rPr>
  </w:style>
  <w:style w:type="character" w:styleId="ListLabel115">
    <w:name w:val="ListLabel 115"/>
    <w:qFormat/>
    <w:rPr>
      <w:rFonts w:cs="Symbol"/>
      <w:sz w:val="16"/>
    </w:rPr>
  </w:style>
  <w:style w:type="character" w:styleId="ListLabel116">
    <w:name w:val="ListLabel 116"/>
    <w:qFormat/>
    <w:rPr>
      <w:rFonts w:cs="Courier New"/>
    </w:rPr>
  </w:style>
  <w:style w:type="character" w:styleId="ListLabel117">
    <w:name w:val="ListLabel 117"/>
    <w:qFormat/>
    <w:rPr>
      <w:rFonts w:cs="Wingdings"/>
    </w:rPr>
  </w:style>
  <w:style w:type="character" w:styleId="ListLabel118">
    <w:name w:val="ListLabel 118"/>
    <w:qFormat/>
    <w:rPr>
      <w:rFonts w:cs="Symbol"/>
    </w:rPr>
  </w:style>
  <w:style w:type="character" w:styleId="ListLabel119">
    <w:name w:val="ListLabel 119"/>
    <w:qFormat/>
    <w:rPr>
      <w:rFonts w:cs="Courier New"/>
    </w:rPr>
  </w:style>
  <w:style w:type="character" w:styleId="ListLabel120">
    <w:name w:val="ListLabel 120"/>
    <w:qFormat/>
    <w:rPr>
      <w:rFonts w:cs="Wingdings"/>
    </w:rPr>
  </w:style>
  <w:style w:type="character" w:styleId="ListLabel121">
    <w:name w:val="ListLabel 121"/>
    <w:qFormat/>
    <w:rPr>
      <w:rFonts w:cs="Symbol"/>
    </w:rPr>
  </w:style>
  <w:style w:type="character" w:styleId="ListLabel122">
    <w:name w:val="ListLabel 122"/>
    <w:qFormat/>
    <w:rPr>
      <w:rFonts w:cs="Courier New"/>
    </w:rPr>
  </w:style>
  <w:style w:type="character" w:styleId="ListLabel123">
    <w:name w:val="ListLabel 123"/>
    <w:qFormat/>
    <w:rPr>
      <w:rFonts w:cs="Wingdings"/>
    </w:rPr>
  </w:style>
  <w:style w:type="character" w:styleId="ListLabel124">
    <w:name w:val="ListLabel 124"/>
    <w:qFormat/>
    <w:rPr>
      <w:sz w:val="18"/>
      <w:szCs w:val="16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rsid w:val="00497323"/>
    <w:pPr>
      <w:spacing w:lineRule="auto" w:line="240" w:before="0" w:after="0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Telotextu"/>
    <w:pPr/>
    <w:rPr/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497323"/>
    <w:pPr>
      <w:ind w:left="708" w:hanging="0"/>
    </w:pPr>
    <w:rPr/>
  </w:style>
  <w:style w:type="paragraph" w:styleId="Hlavika">
    <w:name w:val="Header"/>
    <w:basedOn w:val="Normal"/>
    <w:link w:val="HlavikaChar"/>
    <w:uiPriority w:val="99"/>
    <w:rsid w:val="00804636"/>
    <w:pPr>
      <w:tabs>
        <w:tab w:val="center" w:pos="4536" w:leader="none"/>
        <w:tab w:val="right" w:pos="9072" w:leader="none"/>
      </w:tabs>
    </w:pPr>
    <w:rPr/>
  </w:style>
  <w:style w:type="paragraph" w:styleId="BalloonText">
    <w:name w:val="Balloon Text"/>
    <w:basedOn w:val="Normal"/>
    <w:link w:val="TextbublinyChar"/>
    <w:uiPriority w:val="99"/>
    <w:semiHidden/>
    <w:qFormat/>
    <w:rsid w:val="001058f5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337</TotalTime>
  <Application>LibreOffice/5.3.3.2$Windows_X86_64 LibreOffice_project/3d9a8b4b4e538a85e0782bd6c2d430bafe583448</Application>
  <Pages>9</Pages>
  <Words>3457</Words>
  <Characters>20718</Characters>
  <CharactersWithSpaces>23658</CharactersWithSpaces>
  <Paragraphs>685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2018-03-26T09:24:00Z</dcterms:created>
  <dc:creator>Vlaďka</dc:creator>
  <dc:description/>
  <dc:language>sk-SK</dc:language>
  <cp:lastModifiedBy/>
  <cp:lastPrinted>2020-03-02T09:05:58Z</cp:lastPrinted>
  <dcterms:modified xsi:type="dcterms:W3CDTF">2020-03-02T09:06:07Z</dcterms:modified>
  <cp:revision>283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