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left"/>
        <w:rPr/>
      </w:pPr>
      <w:r>
        <w:rPr/>
      </w:r>
    </w:p>
    <w:p>
      <w:pPr>
        <w:pStyle w:val="Normal"/>
        <w:jc w:val="left"/>
        <w:rPr>
          <w:b/>
          <w:b/>
          <w:bCs/>
          <w:highlight w:val="green"/>
        </w:rPr>
      </w:pPr>
      <w:r>
        <w:rPr>
          <w:b/>
          <w:bCs/>
          <w:shd w:fill="99FF66" w:val="clear"/>
        </w:rPr>
        <w:t>–</w:t>
      </w:r>
      <w:r>
        <w:rPr>
          <w:b/>
          <w:bCs/>
          <w:shd w:fill="99FF66" w:val="clear"/>
        </w:rPr>
        <w:t>-------------------------------------------------------------------------------------------------------------</w:t>
      </w:r>
    </w:p>
    <w:p>
      <w:pPr>
        <w:pStyle w:val="Normal"/>
        <w:jc w:val="left"/>
        <w:rPr>
          <w:b/>
          <w:b/>
          <w:bCs/>
          <w:u w:val="single"/>
        </w:rPr>
      </w:pPr>
      <w:r>
        <w:rPr>
          <w:b/>
          <w:bCs/>
          <w:u w:val="single"/>
          <w:shd w:fill="99FF66" w:val="clear"/>
        </w:rPr>
        <w:t>Poznámky Úč PODV 3-01                               IČO: 47620676                             DIČ: 2023996414</w:t>
      </w:r>
      <w:r>
        <w:rPr>
          <w:b/>
          <w:bCs/>
          <w:u w:val="single"/>
        </w:rPr>
        <w:t xml:space="preserve">     </w:t>
      </w:r>
    </w:p>
    <w:p>
      <w:pPr>
        <w:pStyle w:val="Normal"/>
        <w:jc w:val="left"/>
        <w:rPr>
          <w:u w:val="single"/>
        </w:rPr>
      </w:pPr>
      <w:r>
        <w:rPr>
          <w:u w:val="single"/>
        </w:rPr>
      </w:r>
    </w:p>
    <w:p>
      <w:pPr>
        <w:pStyle w:val="Normal"/>
        <w:jc w:val="left"/>
        <w:rPr>
          <w:u w:val="single"/>
        </w:rPr>
      </w:pPr>
      <w:r>
        <w:rPr>
          <w:u w:val="single"/>
        </w:rPr>
      </w:r>
    </w:p>
    <w:p>
      <w:pPr>
        <w:pStyle w:val="Normal"/>
        <w:jc w:val="left"/>
        <w:rPr>
          <w:u w:val="single"/>
        </w:rPr>
      </w:pPr>
      <w:r>
        <w:rPr>
          <w:u w:val="single"/>
        </w:rPr>
      </w:r>
    </w:p>
    <w:p>
      <w:pPr>
        <w:pStyle w:val="Normal"/>
        <w:jc w:val="left"/>
        <w:rPr>
          <w:u w:val="single"/>
        </w:rPr>
      </w:pPr>
      <w:r>
        <w:rPr>
          <w:u w:val="single"/>
        </w:rPr>
      </w:r>
    </w:p>
    <w:p>
      <w:pPr>
        <w:pStyle w:val="Normal"/>
        <w:jc w:val="left"/>
        <w:rPr>
          <w:u w:val="single"/>
        </w:rPr>
      </w:pPr>
      <w:r>
        <w:rPr>
          <w:u w:val="single"/>
        </w:rPr>
      </w:r>
    </w:p>
    <w:p>
      <w:pPr>
        <w:pStyle w:val="Normal"/>
        <w:jc w:val="left"/>
        <w:rPr>
          <w:u w:val="single"/>
        </w:rPr>
      </w:pPr>
      <w:r>
        <w:rPr>
          <w:u w:val="single"/>
        </w:rPr>
      </w:r>
    </w:p>
    <w:p>
      <w:pPr>
        <w:pStyle w:val="Normal"/>
        <w:jc w:val="left"/>
        <w:rPr>
          <w:u w:val="single"/>
        </w:rPr>
      </w:pPr>
      <w:r>
        <w:rPr>
          <w:u w:val="single"/>
        </w:rPr>
      </w:r>
    </w:p>
    <w:p>
      <w:pPr>
        <w:pStyle w:val="Normal"/>
        <w:jc w:val="left"/>
        <w:rPr>
          <w:b/>
          <w:b/>
          <w:bCs/>
          <w:sz w:val="26"/>
          <w:szCs w:val="26"/>
          <w:u w:val="none"/>
        </w:rPr>
      </w:pPr>
      <w:r>
        <w:rPr>
          <w:b/>
          <w:bCs/>
          <w:sz w:val="26"/>
          <w:szCs w:val="26"/>
          <w:u w:val="none"/>
        </w:rPr>
        <w:t>Poznámky individuálnej účtovnej závierky</w:t>
      </w:r>
    </w:p>
    <w:p>
      <w:pPr>
        <w:pStyle w:val="Normal"/>
        <w:jc w:val="left"/>
        <w:rPr>
          <w:b/>
          <w:b/>
          <w:bCs/>
          <w:sz w:val="26"/>
          <w:szCs w:val="26"/>
          <w:u w:val="none"/>
        </w:rPr>
      </w:pPr>
      <w:r>
        <w:rPr>
          <w:b/>
          <w:bCs/>
          <w:sz w:val="26"/>
          <w:szCs w:val="26"/>
          <w:u w:val="none"/>
        </w:rPr>
      </w:r>
    </w:p>
    <w:p>
      <w:pPr>
        <w:pStyle w:val="Normal"/>
        <w:jc w:val="left"/>
        <w:rPr/>
      </w:pPr>
      <w:r>
        <w:rPr>
          <w:b w:val="false"/>
          <w:bCs w:val="false"/>
          <w:i/>
          <w:iCs/>
          <w:sz w:val="21"/>
          <w:szCs w:val="21"/>
          <w:u w:val="none"/>
        </w:rPr>
        <w:t>Zostavenej k 31. decembru 201</w:t>
      </w:r>
      <w:r>
        <w:rPr>
          <w:b w:val="false"/>
          <w:bCs w:val="false"/>
          <w:i/>
          <w:iCs/>
          <w:sz w:val="21"/>
          <w:szCs w:val="21"/>
          <w:u w:val="none"/>
        </w:rPr>
        <w:t>9</w:t>
      </w:r>
    </w:p>
    <w:p>
      <w:pPr>
        <w:pStyle w:val="Normal"/>
        <w:jc w:val="left"/>
        <w:rPr>
          <w:b w:val="false"/>
          <w:b w:val="false"/>
          <w:bCs w:val="false"/>
          <w:i/>
          <w:i/>
          <w:iCs/>
          <w:sz w:val="21"/>
          <w:szCs w:val="21"/>
          <w:u w:val="none"/>
        </w:rPr>
      </w:pPr>
      <w:r>
        <w:rPr>
          <w:b w:val="false"/>
          <w:bCs w:val="false"/>
          <w:i/>
          <w:iCs/>
          <w:sz w:val="21"/>
          <w:szCs w:val="21"/>
          <w:u w:val="none"/>
        </w:rPr>
        <w:t>(údaje v tabuľkách sú uvedené v celých eurách, ak nie je uvedené inak)</w:t>
      </w:r>
    </w:p>
    <w:p>
      <w:pPr>
        <w:pStyle w:val="Normal"/>
        <w:jc w:val="left"/>
        <w:rPr>
          <w:b w:val="false"/>
          <w:b w:val="false"/>
          <w:bCs w:val="false"/>
          <w:i/>
          <w:i/>
          <w:iCs/>
          <w:u w:val="single"/>
        </w:rPr>
      </w:pPr>
      <w:r>
        <w:rPr>
          <w:b w:val="false"/>
          <w:bCs w:val="false"/>
          <w:i/>
          <w:iCs/>
          <w:u w:val="single"/>
        </w:rPr>
      </w:r>
    </w:p>
    <w:p>
      <w:pPr>
        <w:pStyle w:val="Normal"/>
        <w:jc w:val="left"/>
        <w:rPr>
          <w:u w:val="single"/>
        </w:rPr>
      </w:pPr>
      <w:r>
        <w:rPr>
          <w:u w:val="single"/>
        </w:rPr>
      </w:r>
    </w:p>
    <w:p>
      <w:pPr>
        <w:pStyle w:val="Normal"/>
        <w:jc w:val="left"/>
        <w:rPr>
          <w:u w:val="single"/>
        </w:rPr>
      </w:pPr>
      <w:r>
        <w:rPr>
          <w:u w:val="single"/>
        </w:rPr>
      </w:r>
    </w:p>
    <w:p>
      <w:pPr>
        <w:pStyle w:val="Normal"/>
        <w:jc w:val="left"/>
        <w:rPr>
          <w:u w:val="single"/>
        </w:rPr>
      </w:pPr>
      <w:r>
        <w:rPr>
          <w:u w:val="single"/>
        </w:rPr>
        <w:t>Poznámka:</w:t>
      </w:r>
    </w:p>
    <w:p>
      <w:pPr>
        <w:pStyle w:val="Normal"/>
        <w:rPr>
          <w:sz w:val="14"/>
          <w:szCs w:val="14"/>
          <w:lang w:eastAsia="sk-SK"/>
        </w:rPr>
      </w:pPr>
      <w:r>
        <w:rPr>
          <w:sz w:val="14"/>
          <w:szCs w:val="14"/>
          <w:lang w:eastAsia="sk-SK"/>
        </w:rPr>
      </w:r>
    </w:p>
    <w:p>
      <w:pPr>
        <w:pStyle w:val="Normal"/>
        <w:rPr>
          <w:lang w:eastAsia="sk-SK"/>
        </w:rPr>
      </w:pPr>
      <w:r>
        <w:rPr>
          <w:lang w:eastAsia="sk-SK"/>
        </w:rPr>
        <w:t xml:space="preserve">Všetky údaje a informácie k účtovnej závierke sú zostavené na základe príslušných právnych noriem, vychádzajúcich z účtovníctva a majú väzbu na účtovné výkazy. Hodnotové údaje sú uvedené v eurocentoch alebo celých eurách (pokiaľ nie je uvedené inak). </w:t>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ormal"/>
        <w:rPr>
          <w:sz w:val="14"/>
          <w:szCs w:val="14"/>
        </w:rPr>
      </w:pPr>
      <w:r>
        <w:rPr>
          <w:sz w:val="14"/>
          <w:szCs w:val="14"/>
        </w:rPr>
      </w:r>
    </w:p>
    <w:p>
      <w:pPr>
        <w:pStyle w:val="Nadpis1"/>
        <w:numPr>
          <w:ilvl w:val="0"/>
          <w:numId w:val="1"/>
        </w:numPr>
        <w:rPr/>
      </w:pPr>
      <w:r>
        <w:rPr/>
        <w:t>VŠEOBECNÉ INFORMÁCIE</w:t>
      </w:r>
    </w:p>
    <w:p>
      <w:pPr>
        <w:pStyle w:val="Normal"/>
        <w:rPr>
          <w:b/>
          <w:b/>
          <w:sz w:val="14"/>
          <w:szCs w:val="14"/>
          <w:u w:val="single"/>
          <w:lang w:eastAsia="sk-SK"/>
        </w:rPr>
      </w:pPr>
      <w:r>
        <w:rPr>
          <w:b/>
          <w:sz w:val="14"/>
          <w:szCs w:val="14"/>
          <w:u w:val="single"/>
          <w:lang w:eastAsia="sk-SK"/>
        </w:rPr>
      </w:r>
    </w:p>
    <w:p>
      <w:pPr>
        <w:pStyle w:val="Normal"/>
        <w:rPr>
          <w:b/>
          <w:b/>
          <w:sz w:val="14"/>
          <w:szCs w:val="14"/>
          <w:u w:val="single"/>
          <w:lang w:eastAsia="sk-SK"/>
        </w:rPr>
      </w:pPr>
      <w:r>
        <w:rPr>
          <w:b/>
          <w:sz w:val="14"/>
          <w:szCs w:val="14"/>
          <w:u w:val="single"/>
          <w:lang w:eastAsia="sk-SK"/>
        </w:rPr>
      </w:r>
    </w:p>
    <w:p>
      <w:pPr>
        <w:pStyle w:val="Normal"/>
        <w:rPr>
          <w:b/>
          <w:b/>
          <w:sz w:val="14"/>
          <w:szCs w:val="14"/>
          <w:u w:val="single"/>
          <w:lang w:eastAsia="sk-SK"/>
        </w:rPr>
      </w:pPr>
      <w:r>
        <w:rPr>
          <w:b/>
          <w:sz w:val="14"/>
          <w:szCs w:val="14"/>
          <w:u w:val="single"/>
          <w:lang w:eastAsia="sk-SK"/>
        </w:rPr>
      </w:r>
    </w:p>
    <w:p>
      <w:pPr>
        <w:pStyle w:val="Normal"/>
        <w:rPr>
          <w:b/>
          <w:b/>
          <w:sz w:val="14"/>
          <w:szCs w:val="14"/>
          <w:u w:val="single"/>
          <w:lang w:eastAsia="sk-SK"/>
        </w:rPr>
      </w:pPr>
      <w:r>
        <w:rPr>
          <w:b/>
          <w:sz w:val="14"/>
          <w:szCs w:val="14"/>
          <w:u w:val="single"/>
          <w:lang w:eastAsia="sk-SK"/>
        </w:rPr>
      </w:r>
    </w:p>
    <w:p>
      <w:pPr>
        <w:pStyle w:val="Nadpis2"/>
        <w:numPr>
          <w:ilvl w:val="1"/>
          <w:numId w:val="1"/>
        </w:numPr>
        <w:rPr/>
      </w:pPr>
      <w:r>
        <w:rPr/>
        <w:t>Základné údaje o spoločnosti</w:t>
      </w:r>
    </w:p>
    <w:p>
      <w:pPr>
        <w:pStyle w:val="Normal"/>
        <w:rPr>
          <w:b/>
          <w:b/>
          <w:sz w:val="14"/>
          <w:szCs w:val="14"/>
          <w:u w:val="single"/>
          <w:lang w:eastAsia="sk-SK"/>
        </w:rPr>
      </w:pPr>
      <w:r>
        <w:rPr>
          <w:b/>
          <w:sz w:val="14"/>
          <w:szCs w:val="14"/>
          <w:u w:val="single"/>
          <w:lang w:eastAsia="sk-SK"/>
        </w:rPr>
      </w:r>
    </w:p>
    <w:tbl>
      <w:tblPr>
        <w:tblW w:w="9064" w:type="dxa"/>
        <w:jc w:val="left"/>
        <w:tblInd w:w="109" w:type="dxa"/>
        <w:tblCellMar>
          <w:top w:w="0" w:type="dxa"/>
          <w:left w:w="108" w:type="dxa"/>
          <w:bottom w:w="0" w:type="dxa"/>
          <w:right w:w="108" w:type="dxa"/>
        </w:tblCellMar>
      </w:tblPr>
      <w:tblGrid>
        <w:gridCol w:w="3962"/>
        <w:gridCol w:w="5101"/>
      </w:tblGrid>
      <w:tr>
        <w:trPr/>
        <w:tc>
          <w:tcPr>
            <w:tcW w:w="3962" w:type="dxa"/>
            <w:tcBorders>
              <w:top w:val="single" w:sz="8" w:space="0" w:color="00000A"/>
              <w:bottom w:val="dotted" w:sz="4" w:space="0" w:color="00000A"/>
            </w:tcBorders>
            <w:shd w:fill="FFFFFF" w:val="clear"/>
          </w:tcPr>
          <w:p>
            <w:pPr>
              <w:pStyle w:val="Normal"/>
              <w:rPr/>
            </w:pPr>
            <w:r>
              <w:rPr/>
            </w:r>
          </w:p>
          <w:p>
            <w:pPr>
              <w:pStyle w:val="Normal"/>
              <w:rPr>
                <w:b/>
                <w:b/>
                <w:sz w:val="15"/>
                <w:szCs w:val="15"/>
              </w:rPr>
            </w:pPr>
            <w:r>
              <w:rPr>
                <w:b/>
                <w:sz w:val="15"/>
                <w:szCs w:val="15"/>
              </w:rPr>
              <w:t>Obchodné meno a sídlo</w:t>
            </w:r>
          </w:p>
          <w:p>
            <w:pPr>
              <w:pStyle w:val="Normal"/>
              <w:rPr/>
            </w:pPr>
            <w:r>
              <w:rPr/>
            </w:r>
          </w:p>
          <w:p>
            <w:pPr>
              <w:pStyle w:val="Normal"/>
              <w:rPr/>
            </w:pPr>
            <w:r>
              <w:rPr/>
            </w:r>
          </w:p>
          <w:p>
            <w:pPr>
              <w:pStyle w:val="Normal"/>
              <w:rPr>
                <w:b/>
                <w:b/>
                <w:sz w:val="15"/>
                <w:szCs w:val="15"/>
              </w:rPr>
            </w:pPr>
            <w:r>
              <w:rPr>
                <w:b/>
                <w:sz w:val="15"/>
                <w:szCs w:val="15"/>
              </w:rPr>
              <w:t>Dátum vzniku podľa OR</w:t>
            </w:r>
          </w:p>
        </w:tc>
        <w:tc>
          <w:tcPr>
            <w:tcW w:w="5101" w:type="dxa"/>
            <w:tcBorders>
              <w:top w:val="single" w:sz="8" w:space="0" w:color="00000A"/>
              <w:bottom w:val="dotted" w:sz="4" w:space="0" w:color="00000A"/>
            </w:tcBorders>
            <w:shd w:fill="FFFFFF" w:val="clear"/>
          </w:tcPr>
          <w:p>
            <w:pPr>
              <w:pStyle w:val="Normal"/>
              <w:rPr>
                <w:b/>
                <w:b/>
                <w:bCs/>
                <w:color w:val="000000"/>
              </w:rPr>
            </w:pPr>
            <w:r>
              <w:rPr>
                <w:b/>
                <w:bCs/>
                <w:color w:val="000000"/>
              </w:rPr>
            </w:r>
          </w:p>
          <w:p>
            <w:pPr>
              <w:pStyle w:val="Normal"/>
              <w:rPr>
                <w:b/>
                <w:b/>
                <w:bCs/>
                <w:color w:val="000000"/>
                <w:sz w:val="15"/>
                <w:szCs w:val="15"/>
                <w:lang w:eastAsia="sk-SK"/>
              </w:rPr>
            </w:pPr>
            <w:r>
              <w:rPr>
                <w:b/>
                <w:bCs/>
                <w:color w:val="000000"/>
                <w:sz w:val="15"/>
                <w:szCs w:val="15"/>
                <w:lang w:eastAsia="sk-SK"/>
              </w:rPr>
              <w:t xml:space="preserve">Vault 13, s.r.o. </w:t>
            </w:r>
          </w:p>
          <w:p>
            <w:pPr>
              <w:pStyle w:val="Normal"/>
              <w:rPr>
                <w:b/>
                <w:b/>
                <w:bCs/>
                <w:color w:val="000000"/>
                <w:sz w:val="15"/>
                <w:szCs w:val="15"/>
              </w:rPr>
            </w:pPr>
            <w:r>
              <w:rPr>
                <w:b/>
                <w:bCs/>
                <w:color w:val="000000"/>
                <w:sz w:val="15"/>
                <w:szCs w:val="15"/>
              </w:rPr>
              <w:t>Chočská 1527/7</w:t>
            </w:r>
          </w:p>
          <w:p>
            <w:pPr>
              <w:pStyle w:val="Normal"/>
              <w:rPr>
                <w:b/>
                <w:b/>
                <w:bCs/>
                <w:color w:val="000000"/>
              </w:rPr>
            </w:pPr>
            <w:r>
              <w:rPr>
                <w:b/>
                <w:bCs/>
                <w:color w:val="000000"/>
              </w:rPr>
            </w:r>
          </w:p>
          <w:p>
            <w:pPr>
              <w:pStyle w:val="Normal"/>
              <w:rPr>
                <w:b/>
                <w:b/>
                <w:bCs/>
                <w:color w:val="000000"/>
                <w:sz w:val="15"/>
                <w:szCs w:val="15"/>
              </w:rPr>
            </w:pPr>
            <w:r>
              <w:rPr>
                <w:b/>
                <w:bCs/>
                <w:color w:val="000000"/>
                <w:sz w:val="15"/>
                <w:szCs w:val="15"/>
              </w:rPr>
              <w:t>23.01.2014</w:t>
            </w:r>
          </w:p>
          <w:p>
            <w:pPr>
              <w:pStyle w:val="Normal"/>
              <w:rPr>
                <w:b/>
                <w:b/>
                <w:bCs/>
                <w:color w:val="000000"/>
              </w:rPr>
            </w:pPr>
            <w:r>
              <w:rPr>
                <w:b/>
                <w:bCs/>
                <w:color w:val="000000"/>
              </w:rPr>
            </w:r>
          </w:p>
        </w:tc>
      </w:tr>
      <w:tr>
        <w:trPr/>
        <w:tc>
          <w:tcPr>
            <w:tcW w:w="3962" w:type="dxa"/>
            <w:tcBorders>
              <w:top w:val="dotted" w:sz="4" w:space="0" w:color="00000A"/>
              <w:bottom w:val="single" w:sz="8" w:space="0" w:color="00000A"/>
            </w:tcBorders>
            <w:shd w:fill="FFFFFF" w:val="clear"/>
          </w:tcPr>
          <w:p>
            <w:pPr>
              <w:pStyle w:val="Normal"/>
              <w:rPr>
                <w:b/>
                <w:b/>
                <w:sz w:val="15"/>
                <w:szCs w:val="15"/>
              </w:rPr>
            </w:pPr>
            <w:r>
              <w:rPr>
                <w:b/>
                <w:sz w:val="15"/>
                <w:szCs w:val="15"/>
              </w:rPr>
              <w:t>Hospodárska činnosť</w:t>
            </w:r>
          </w:p>
        </w:tc>
        <w:tc>
          <w:tcPr>
            <w:tcW w:w="5101" w:type="dxa"/>
            <w:tcBorders>
              <w:top w:val="dotted" w:sz="4" w:space="0" w:color="00000A"/>
              <w:bottom w:val="single" w:sz="8" w:space="0" w:color="00000A"/>
            </w:tcBorders>
            <w:shd w:fill="FFFFFF" w:val="clear"/>
          </w:tcPr>
          <w:p>
            <w:pPr>
              <w:pStyle w:val="Normal"/>
              <w:numPr>
                <w:ilvl w:val="0"/>
                <w:numId w:val="2"/>
              </w:numPr>
              <w:tabs>
                <w:tab w:val="clear" w:pos="720"/>
                <w:tab w:val="left" w:pos="243" w:leader="none"/>
              </w:tabs>
              <w:ind w:left="720" w:right="0" w:hanging="360"/>
              <w:rPr>
                <w:b w:val="false"/>
                <w:b w:val="false"/>
                <w:bCs w:val="false"/>
                <w:color w:val="000000"/>
                <w:sz w:val="15"/>
                <w:szCs w:val="15"/>
                <w:lang w:eastAsia="sk-SK"/>
              </w:rPr>
            </w:pPr>
            <w:r>
              <w:rPr>
                <w:b w:val="false"/>
                <w:bCs w:val="false"/>
                <w:color w:val="000000"/>
                <w:sz w:val="15"/>
                <w:szCs w:val="15"/>
                <w:lang w:eastAsia="sk-SK"/>
              </w:rPr>
              <w:t>Kúpa tovaru na účely jeho predaja konečnému spotrebiteľovi (maloobchod) alebo iným prevádzkovateľom  živností (veľkoobchod)</w:t>
            </w:r>
          </w:p>
          <w:p>
            <w:pPr>
              <w:pStyle w:val="Normal"/>
              <w:numPr>
                <w:ilvl w:val="0"/>
                <w:numId w:val="2"/>
              </w:numPr>
              <w:tabs>
                <w:tab w:val="clear" w:pos="720"/>
                <w:tab w:val="left" w:pos="243" w:leader="none"/>
              </w:tabs>
              <w:ind w:left="720" w:right="0" w:hanging="360"/>
              <w:rPr>
                <w:b w:val="false"/>
                <w:b w:val="false"/>
                <w:bCs w:val="false"/>
                <w:color w:val="000000"/>
                <w:sz w:val="15"/>
                <w:szCs w:val="15"/>
                <w:lang w:eastAsia="sk-SK"/>
              </w:rPr>
            </w:pPr>
            <w:r>
              <w:rPr>
                <w:b w:val="false"/>
                <w:bCs w:val="false"/>
                <w:color w:val="000000"/>
                <w:sz w:val="15"/>
                <w:szCs w:val="15"/>
                <w:lang w:eastAsia="sk-SK"/>
              </w:rPr>
              <w:t>zásielkový predaj a ďalších 15 činností</w:t>
            </w:r>
          </w:p>
        </w:tc>
      </w:tr>
    </w:tbl>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adpis2"/>
        <w:numPr>
          <w:ilvl w:val="1"/>
          <w:numId w:val="1"/>
        </w:numPr>
        <w:rPr/>
      </w:pPr>
      <w:r>
        <w:rPr/>
        <w:t>Zamestnanci</w:t>
      </w:r>
    </w:p>
    <w:p>
      <w:pPr>
        <w:pStyle w:val="Normal"/>
        <w:rPr>
          <w:rFonts w:cs="Arial"/>
          <w:b/>
          <w:b/>
          <w:bCs/>
          <w:i/>
          <w:i/>
          <w:iCs/>
          <w:sz w:val="15"/>
          <w:szCs w:val="15"/>
          <w:lang w:eastAsia="sk-SK"/>
        </w:rPr>
      </w:pPr>
      <w:bookmarkStart w:id="0" w:name="T_number_of_employees"/>
      <w:bookmarkEnd w:id="0"/>
      <w:r>
        <w:rPr>
          <w:rFonts w:cs="Arial"/>
          <w:b/>
          <w:bCs/>
          <w:i/>
          <w:iCs/>
          <w:sz w:val="15"/>
          <w:szCs w:val="15"/>
          <w:lang w:eastAsia="sk-SK"/>
        </w:rPr>
        <w:t xml:space="preserve"> </w:t>
      </w:r>
    </w:p>
    <w:tbl>
      <w:tblPr>
        <w:tblW w:w="9070" w:type="dxa"/>
        <w:jc w:val="left"/>
        <w:tblInd w:w="0" w:type="dxa"/>
        <w:tblCellMar>
          <w:top w:w="0" w:type="dxa"/>
          <w:left w:w="70" w:type="dxa"/>
          <w:bottom w:w="0" w:type="dxa"/>
          <w:right w:w="70" w:type="dxa"/>
        </w:tblCellMar>
      </w:tblPr>
      <w:tblGrid>
        <w:gridCol w:w="6438"/>
        <w:gridCol w:w="1310"/>
        <w:gridCol w:w="1322"/>
      </w:tblGrid>
      <w:tr>
        <w:trPr/>
        <w:tc>
          <w:tcPr>
            <w:tcW w:w="6438" w:type="dxa"/>
            <w:tcBorders>
              <w:top w:val="single" w:sz="8" w:space="0" w:color="00000A"/>
              <w:bottom w:val="single" w:sz="4" w:space="0" w:color="00000A"/>
            </w:tcBorders>
            <w:shd w:fill="FFFFFF" w:val="clear"/>
            <w:vAlign w:val="center"/>
          </w:tcPr>
          <w:p>
            <w:pPr>
              <w:pStyle w:val="Normal"/>
              <w:jc w:val="left"/>
              <w:rPr>
                <w:rFonts w:cs="Arial"/>
                <w:b/>
                <w:b/>
                <w:bCs/>
                <w:i/>
                <w:i/>
                <w:iCs/>
                <w:sz w:val="15"/>
                <w:szCs w:val="15"/>
                <w:lang w:eastAsia="sk-SK"/>
              </w:rPr>
            </w:pPr>
            <w:bookmarkStart w:id="1" w:name="RANGE!B7%3AD10"/>
            <w:bookmarkEnd w:id="1"/>
            <w:r>
              <w:rPr>
                <w:rFonts w:cs="Arial"/>
                <w:b/>
                <w:bCs/>
                <w:i/>
                <w:iCs/>
                <w:sz w:val="15"/>
                <w:szCs w:val="15"/>
                <w:lang w:eastAsia="sk-SK"/>
              </w:rPr>
              <w:t xml:space="preserve">Názov položky </w:t>
            </w:r>
          </w:p>
        </w:tc>
        <w:tc>
          <w:tcPr>
            <w:tcW w:w="1310" w:type="dxa"/>
            <w:tcBorders>
              <w:top w:val="single" w:sz="8" w:space="0" w:color="00000A"/>
              <w:bottom w:val="single" w:sz="4" w:space="0" w:color="00000A"/>
            </w:tcBorders>
            <w:shd w:fill="FFFFFF" w:val="clear"/>
            <w:vAlign w:val="center"/>
          </w:tcPr>
          <w:p>
            <w:pPr>
              <w:pStyle w:val="Normal"/>
              <w:jc w:val="center"/>
              <w:rPr/>
            </w:pPr>
            <w:r>
              <w:rPr>
                <w:rFonts w:cs="Arial"/>
                <w:b/>
                <w:bCs/>
                <w:i/>
                <w:iCs/>
                <w:sz w:val="15"/>
                <w:szCs w:val="15"/>
                <w:lang w:eastAsia="sk-SK"/>
              </w:rPr>
              <w:t>201</w:t>
            </w:r>
            <w:r>
              <w:rPr>
                <w:rFonts w:cs="Arial"/>
                <w:b/>
                <w:bCs/>
                <w:i/>
                <w:iCs/>
                <w:sz w:val="15"/>
                <w:szCs w:val="15"/>
                <w:lang w:eastAsia="sk-SK"/>
              </w:rPr>
              <w:t>9</w:t>
            </w:r>
          </w:p>
        </w:tc>
        <w:tc>
          <w:tcPr>
            <w:tcW w:w="1322" w:type="dxa"/>
            <w:tcBorders>
              <w:top w:val="single" w:sz="8" w:space="0" w:color="00000A"/>
              <w:bottom w:val="single" w:sz="4" w:space="0" w:color="00000A"/>
            </w:tcBorders>
            <w:shd w:fill="FFFFFF" w:val="clear"/>
            <w:vAlign w:val="center"/>
          </w:tcPr>
          <w:p>
            <w:pPr>
              <w:pStyle w:val="Normal"/>
              <w:jc w:val="center"/>
              <w:rPr/>
            </w:pPr>
            <w:r>
              <w:rPr>
                <w:rFonts w:cs="Arial"/>
                <w:b/>
                <w:bCs/>
                <w:i/>
                <w:iCs/>
                <w:sz w:val="15"/>
                <w:szCs w:val="15"/>
                <w:lang w:eastAsia="sk-SK"/>
              </w:rPr>
              <w:t>201</w:t>
            </w:r>
            <w:r>
              <w:rPr>
                <w:rFonts w:cs="Arial"/>
                <w:b/>
                <w:bCs/>
                <w:i/>
                <w:iCs/>
                <w:sz w:val="15"/>
                <w:szCs w:val="15"/>
                <w:lang w:eastAsia="sk-SK"/>
              </w:rPr>
              <w:t>8</w:t>
            </w:r>
          </w:p>
        </w:tc>
      </w:tr>
      <w:tr>
        <w:trPr/>
        <w:tc>
          <w:tcPr>
            <w:tcW w:w="6438" w:type="dxa"/>
            <w:tcBorders>
              <w:top w:val="single" w:sz="4" w:space="0" w:color="00000A"/>
              <w:bottom w:val="single" w:sz="8" w:space="0" w:color="00000A"/>
            </w:tcBorders>
            <w:shd w:fill="FFFFFF" w:val="clear"/>
            <w:vAlign w:val="center"/>
          </w:tcPr>
          <w:p>
            <w:pPr>
              <w:pStyle w:val="Normal"/>
              <w:jc w:val="left"/>
              <w:rPr>
                <w:rFonts w:cs="Arial"/>
                <w:sz w:val="15"/>
                <w:szCs w:val="15"/>
                <w:lang w:eastAsia="sk-SK"/>
              </w:rPr>
            </w:pPr>
            <w:r>
              <w:rPr>
                <w:rFonts w:cs="Arial"/>
                <w:sz w:val="15"/>
                <w:szCs w:val="15"/>
                <w:lang w:eastAsia="sk-SK"/>
              </w:rPr>
              <w:t>Priemerný prepočítaný počet zamestnancov</w:t>
            </w:r>
          </w:p>
        </w:tc>
        <w:tc>
          <w:tcPr>
            <w:tcW w:w="1310" w:type="dxa"/>
            <w:tcBorders>
              <w:top w:val="single" w:sz="4" w:space="0" w:color="00000A"/>
              <w:bottom w:val="single" w:sz="8" w:space="0" w:color="00000A"/>
            </w:tcBorders>
            <w:shd w:fill="FFFFFF" w:val="clear"/>
            <w:vAlign w:val="bottom"/>
          </w:tcPr>
          <w:p>
            <w:pPr>
              <w:pStyle w:val="Normal"/>
              <w:jc w:val="right"/>
              <w:rPr>
                <w:rFonts w:cs="Arial"/>
                <w:sz w:val="15"/>
                <w:szCs w:val="15"/>
                <w:lang w:eastAsia="sk-SK"/>
              </w:rPr>
            </w:pPr>
            <w:r>
              <w:rPr>
                <w:rFonts w:cs="Arial"/>
                <w:sz w:val="15"/>
                <w:szCs w:val="15"/>
                <w:lang w:eastAsia="sk-SK"/>
              </w:rPr>
              <w:t xml:space="preserve">- </w:t>
            </w:r>
          </w:p>
        </w:tc>
        <w:tc>
          <w:tcPr>
            <w:tcW w:w="1322" w:type="dxa"/>
            <w:tcBorders>
              <w:top w:val="single" w:sz="4" w:space="0" w:color="00000A"/>
              <w:bottom w:val="single" w:sz="8" w:space="0" w:color="00000A"/>
            </w:tcBorders>
            <w:shd w:fill="FFFFFF" w:val="clear"/>
            <w:vAlign w:val="bottom"/>
          </w:tcPr>
          <w:p>
            <w:pPr>
              <w:pStyle w:val="Normal"/>
              <w:jc w:val="right"/>
              <w:rPr>
                <w:rFonts w:cs="Arial"/>
                <w:sz w:val="15"/>
                <w:szCs w:val="15"/>
                <w:lang w:eastAsia="sk-SK"/>
              </w:rPr>
            </w:pPr>
            <w:r>
              <w:rPr>
                <w:rFonts w:cs="Arial"/>
                <w:sz w:val="15"/>
                <w:szCs w:val="15"/>
                <w:lang w:eastAsia="sk-SK"/>
              </w:rPr>
              <w:t xml:space="preserve">- </w:t>
            </w:r>
          </w:p>
        </w:tc>
      </w:tr>
    </w:tbl>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t xml:space="preserve">Spoločnosť počas roka 2018 ani v bezprostredne predchádzajúcom účtovnom období nezamestnávala žiadnych pracovníkov. </w:t>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bookmarkStart w:id="2" w:name="T_number_of_employees1"/>
      <w:bookmarkStart w:id="3" w:name="T_number_of_employees1"/>
      <w:bookmarkEnd w:id="3"/>
    </w:p>
    <w:p>
      <w:pPr>
        <w:pStyle w:val="Nadpis2"/>
        <w:numPr>
          <w:ilvl w:val="1"/>
          <w:numId w:val="1"/>
        </w:numPr>
        <w:rPr/>
      </w:pPr>
      <w:r>
        <w:rPr/>
        <w:t>Právny dôvod zostavenia účtovnej závierky</w:t>
      </w:r>
    </w:p>
    <w:p>
      <w:pPr>
        <w:pStyle w:val="Normal"/>
        <w:rPr>
          <w:sz w:val="14"/>
          <w:szCs w:val="14"/>
          <w:lang w:eastAsia="sk-SK"/>
        </w:rPr>
      </w:pPr>
      <w:r>
        <w:rPr>
          <w:sz w:val="14"/>
          <w:szCs w:val="14"/>
          <w:lang w:eastAsia="sk-SK"/>
        </w:rPr>
      </w:r>
    </w:p>
    <w:p>
      <w:pPr>
        <w:pStyle w:val="Normal"/>
        <w:rPr/>
      </w:pPr>
      <w:r>
        <w:rPr>
          <w:lang w:eastAsia="sk-SK"/>
        </w:rPr>
        <w:t xml:space="preserve">Táto účtovná závierka je riadna individuálna účtovná závierka spoločnosti </w:t>
      </w:r>
      <w:r>
        <w:rPr>
          <w:b/>
          <w:bCs/>
          <w:lang w:eastAsia="sk-SK"/>
        </w:rPr>
        <w:t>Vault 13</w:t>
      </w:r>
      <w:r>
        <w:rPr>
          <w:lang w:eastAsia="sk-SK"/>
        </w:rPr>
        <w:t xml:space="preserve"> </w:t>
      </w:r>
      <w:r>
        <w:rPr>
          <w:b/>
          <w:bCs/>
          <w:lang w:eastAsia="sk-SK"/>
        </w:rPr>
        <w:t>s.r.o</w:t>
      </w:r>
      <w:r>
        <w:rPr>
          <w:lang w:eastAsia="sk-SK"/>
        </w:rPr>
        <w:t>., bola zostavená za účtovné obdobie od 1. januára do 31. decembra 201</w:t>
      </w:r>
      <w:r>
        <w:rPr>
          <w:lang w:eastAsia="sk-SK"/>
        </w:rPr>
        <w:t>9</w:t>
      </w:r>
      <w:r>
        <w:rPr>
          <w:lang w:eastAsia="sk-SK"/>
        </w:rPr>
        <w:t xml:space="preserve"> podľa slovenských právnych predpisov, a to zákona o</w:t>
      </w:r>
      <w:r>
        <w:rPr/>
        <w:t> </w:t>
      </w:r>
      <w:r>
        <w:rPr>
          <w:lang w:eastAsia="sk-SK"/>
        </w:rPr>
        <w:t xml:space="preserve">účtovníctve a postupov účtovania pre podnikateľov. </w:t>
      </w:r>
    </w:p>
    <w:p>
      <w:pPr>
        <w:pStyle w:val="Normal"/>
        <w:rPr>
          <w:sz w:val="14"/>
          <w:szCs w:val="14"/>
          <w:lang w:eastAsia="sk-SK"/>
        </w:rPr>
      </w:pPr>
      <w:r>
        <w:rPr>
          <w:sz w:val="14"/>
          <w:szCs w:val="14"/>
          <w:lang w:eastAsia="sk-SK"/>
        </w:rPr>
      </w:r>
    </w:p>
    <w:p>
      <w:pPr>
        <w:pStyle w:val="Normal"/>
        <w:rPr/>
      </w:pPr>
      <w:r>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adpis2"/>
        <w:numPr>
          <w:ilvl w:val="1"/>
          <w:numId w:val="1"/>
        </w:numPr>
        <w:rPr/>
      </w:pPr>
      <w:r>
        <w:rPr/>
        <w:t>Schválenie účtovnej závierky za rok 201</w:t>
      </w:r>
      <w:r>
        <w:rPr/>
        <w:t>8</w:t>
      </w:r>
    </w:p>
    <w:p>
      <w:pPr>
        <w:pStyle w:val="Normal"/>
        <w:rPr>
          <w:sz w:val="14"/>
          <w:szCs w:val="14"/>
          <w:lang w:eastAsia="sk-SK"/>
        </w:rPr>
      </w:pPr>
      <w:r>
        <w:rPr>
          <w:sz w:val="14"/>
          <w:szCs w:val="14"/>
          <w:lang w:eastAsia="sk-SK"/>
        </w:rPr>
      </w:r>
    </w:p>
    <w:p>
      <w:pPr>
        <w:pStyle w:val="Normal"/>
        <w:rPr/>
      </w:pPr>
      <w:r>
        <w:rPr>
          <w:lang w:eastAsia="sk-SK"/>
        </w:rPr>
        <w:t>Účtovná závierka spoločnosti Vault 13 s.r.o. za rok 201</w:t>
      </w:r>
      <w:r>
        <w:rPr>
          <w:lang w:eastAsia="sk-SK"/>
        </w:rPr>
        <w:t>8</w:t>
      </w:r>
      <w:r>
        <w:rPr>
          <w:lang w:eastAsia="sk-SK"/>
        </w:rPr>
        <w:t xml:space="preserve"> bola riadne schválená Rozhodnutím jediného spoločníka dňa 3</w:t>
      </w:r>
      <w:r>
        <w:rPr>
          <w:lang w:eastAsia="sk-SK"/>
        </w:rPr>
        <w:t>1</w:t>
      </w:r>
      <w:r>
        <w:rPr>
          <w:lang w:eastAsia="sk-SK"/>
        </w:rPr>
        <w:t>.0</w:t>
      </w:r>
      <w:r>
        <w:rPr>
          <w:lang w:eastAsia="sk-SK"/>
        </w:rPr>
        <w:t>3</w:t>
      </w:r>
      <w:r>
        <w:rPr>
          <w:lang w:eastAsia="sk-SK"/>
        </w:rPr>
        <w:t>.201</w:t>
      </w:r>
      <w:r>
        <w:rPr>
          <w:lang w:eastAsia="sk-SK"/>
        </w:rPr>
        <w:t>9</w:t>
      </w:r>
      <w:r>
        <w:rPr>
          <w:lang w:eastAsia="sk-SK"/>
        </w:rPr>
        <w:t xml:space="preserve">. </w:t>
      </w:r>
    </w:p>
    <w:p>
      <w:pPr>
        <w:pStyle w:val="Normal"/>
        <w:rPr>
          <w:sz w:val="14"/>
          <w:szCs w:val="14"/>
          <w:lang w:eastAsia="sk-SK"/>
        </w:rPr>
      </w:pPr>
      <w:r>
        <w:rPr>
          <w:sz w:val="14"/>
          <w:szCs w:val="14"/>
          <w:lang w:eastAsia="sk-SK"/>
        </w:rPr>
      </w:r>
    </w:p>
    <w:p>
      <w:pPr>
        <w:pStyle w:val="Normal"/>
        <w:jc w:val="both"/>
        <w:rPr>
          <w:sz w:val="14"/>
          <w:szCs w:val="14"/>
          <w:lang w:eastAsia="sk-SK"/>
        </w:rPr>
      </w:pPr>
      <w:r>
        <w:rPr>
          <w:sz w:val="14"/>
          <w:szCs w:val="14"/>
          <w:lang w:eastAsia="sk-SK"/>
        </w:rPr>
        <w:t xml:space="preserve">                                                                                                        </w:t>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ormal"/>
        <w:jc w:val="left"/>
        <w:rPr>
          <w:rFonts w:cs="Arial"/>
          <w:b/>
          <w:b/>
          <w:bCs/>
          <w:iCs/>
          <w:szCs w:val="28"/>
        </w:rPr>
      </w:pPr>
      <w:r>
        <w:rPr>
          <w:rFonts w:cs="Arial"/>
          <w:b/>
          <w:bCs/>
          <w:iCs/>
          <w:szCs w:val="28"/>
        </w:rPr>
        <w:t>5.      Neobmedzené ručenie</w:t>
      </w:r>
    </w:p>
    <w:p>
      <w:pPr>
        <w:pStyle w:val="Normal"/>
        <w:jc w:val="left"/>
        <w:rPr>
          <w:rFonts w:cs="Arial"/>
          <w:b/>
          <w:b/>
          <w:bCs/>
          <w:iCs/>
          <w:szCs w:val="28"/>
        </w:rPr>
      </w:pPr>
      <w:r>
        <w:rPr>
          <w:rFonts w:cs="Arial"/>
          <w:b/>
          <w:bCs/>
          <w:iCs/>
          <w:szCs w:val="28"/>
        </w:rPr>
      </w:r>
    </w:p>
    <w:p>
      <w:pPr>
        <w:pStyle w:val="Normal"/>
        <w:jc w:val="left"/>
        <w:rPr>
          <w:rFonts w:cs="Arial"/>
          <w:b w:val="false"/>
          <w:b w:val="false"/>
          <w:bCs w:val="false"/>
          <w:iCs/>
          <w:szCs w:val="28"/>
        </w:rPr>
      </w:pPr>
      <w:r>
        <w:rPr>
          <w:rFonts w:cs="Arial"/>
          <w:b w:val="false"/>
          <w:bCs w:val="false"/>
          <w:iCs/>
          <w:szCs w:val="28"/>
        </w:rPr>
        <w:t>Spoločnosť Vault 13 s.r.o. nie je neobmedzene ručiacim spoločníkom v iných účtovných jednotkách podľa § 56 ods. 5 Obchodného zákonníka.</w:t>
      </w:r>
    </w:p>
    <w:p>
      <w:pPr>
        <w:pStyle w:val="Normal"/>
        <w:jc w:val="left"/>
        <w:rPr/>
      </w:pPr>
      <w:r>
        <w:rPr/>
      </w:r>
    </w:p>
    <w:p>
      <w:pPr>
        <w:pStyle w:val="Normal"/>
        <w:jc w:val="left"/>
        <w:rPr/>
      </w:pPr>
      <w:r>
        <w:rPr/>
      </w:r>
    </w:p>
    <w:p>
      <w:pPr>
        <w:pStyle w:val="Normal"/>
        <w:jc w:val="left"/>
        <w:rPr>
          <w:b/>
          <w:b/>
          <w:bCs/>
        </w:rPr>
      </w:pPr>
      <w:r>
        <w:rPr>
          <w:b/>
          <w:bCs/>
        </w:rPr>
        <w:t>6.      Konsolidovaná účtovná závierka</w:t>
      </w:r>
    </w:p>
    <w:p>
      <w:pPr>
        <w:pStyle w:val="Normal"/>
        <w:jc w:val="left"/>
        <w:rPr>
          <w:b/>
          <w:b/>
          <w:bCs/>
        </w:rPr>
      </w:pPr>
      <w:r>
        <w:rPr>
          <w:b/>
          <w:bCs/>
        </w:rPr>
      </w:r>
    </w:p>
    <w:p>
      <w:pPr>
        <w:pStyle w:val="Normal"/>
        <w:jc w:val="left"/>
        <w:rPr>
          <w:b w:val="false"/>
          <w:b w:val="false"/>
          <w:bCs w:val="false"/>
        </w:rPr>
      </w:pPr>
      <w:r>
        <w:rPr>
          <w:b/>
          <w:bCs/>
        </w:rPr>
        <w:t xml:space="preserve">- </w:t>
      </w:r>
      <w:r>
        <w:rPr>
          <w:b w:val="false"/>
          <w:bCs w:val="false"/>
        </w:rPr>
        <w:t>Spoločnosť v účtovnom období nevlastnila podiely v iných spoločnostiach,</w:t>
      </w:r>
    </w:p>
    <w:p>
      <w:pPr>
        <w:pStyle w:val="Normal"/>
        <w:jc w:val="left"/>
        <w:rPr>
          <w:b w:val="false"/>
          <w:b w:val="false"/>
          <w:bCs w:val="false"/>
        </w:rPr>
      </w:pPr>
      <w:r>
        <w:rPr>
          <w:b w:val="false"/>
          <w:bCs w:val="false"/>
        </w:rPr>
        <w:t>- Spoločnosť v účtovnom období nezostavovala konsolidovanú účtovnú závierku</w:t>
      </w:r>
    </w:p>
    <w:p>
      <w:pPr>
        <w:pStyle w:val="Nadpis2"/>
        <w:rPr/>
      </w:pPr>
      <w:r>
        <w:rPr/>
      </w:r>
    </w:p>
    <w:p>
      <w:pPr>
        <w:pStyle w:val="Normal"/>
        <w:rPr>
          <w:sz w:val="10"/>
          <w:szCs w:val="10"/>
          <w:lang w:eastAsia="sk-SK"/>
        </w:rPr>
      </w:pPr>
      <w:r>
        <w:rPr>
          <w:sz w:val="10"/>
          <w:szCs w:val="10"/>
          <w:lang w:eastAsia="sk-SK"/>
        </w:rPr>
      </w:r>
    </w:p>
    <w:p>
      <w:pPr>
        <w:pStyle w:val="Normal"/>
        <w:rPr>
          <w:sz w:val="10"/>
          <w:szCs w:val="10"/>
          <w:lang w:eastAsia="sk-SK"/>
        </w:rPr>
      </w:pPr>
      <w:r>
        <w:rPr>
          <w:sz w:val="10"/>
          <w:szCs w:val="10"/>
          <w:lang w:eastAsia="sk-SK"/>
        </w:rPr>
      </w:r>
    </w:p>
    <w:p>
      <w:pPr>
        <w:pStyle w:val="Nadpis1"/>
        <w:tabs>
          <w:tab w:val="clear" w:pos="720"/>
          <w:tab w:val="left" w:pos="75" w:leader="none"/>
        </w:tabs>
        <w:rPr>
          <w:rFonts w:cs="Arial"/>
          <w:b/>
          <w:b/>
          <w:bCs/>
          <w:iCs/>
          <w:szCs w:val="28"/>
        </w:rPr>
      </w:pPr>
      <w:r>
        <w:rPr>
          <w:rFonts w:cs="Arial"/>
          <w:b/>
          <w:bCs/>
          <w:iCs/>
          <w:szCs w:val="28"/>
          <w:u w:val="none"/>
        </w:rPr>
        <w:t xml:space="preserve">II.  </w:t>
      </w:r>
      <w:r>
        <w:rPr>
          <w:rFonts w:cs="Arial"/>
          <w:b/>
          <w:bCs/>
          <w:iCs/>
          <w:szCs w:val="28"/>
        </w:rPr>
        <w:t>NFORMÁCIE O ORGÁNOCH SPOLOČNOSTI</w:t>
      </w:r>
    </w:p>
    <w:p>
      <w:pPr>
        <w:pStyle w:val="Nadpis1"/>
        <w:rPr>
          <w:rFonts w:cs="Arial"/>
          <w:b/>
          <w:b/>
          <w:bCs/>
          <w:iCs/>
          <w:szCs w:val="28"/>
        </w:rPr>
      </w:pPr>
      <w:r>
        <w:rPr>
          <w:rFonts w:cs="Arial"/>
          <w:b/>
          <w:bCs/>
          <w:iCs/>
          <w:szCs w:val="28"/>
        </w:rPr>
      </w:r>
    </w:p>
    <w:p>
      <w:pPr>
        <w:pStyle w:val="Nadpis1"/>
        <w:rPr>
          <w:rFonts w:cs="Arial"/>
          <w:b/>
          <w:b/>
          <w:bCs/>
          <w:iCs/>
          <w:szCs w:val="28"/>
        </w:rPr>
      </w:pPr>
      <w:r>
        <w:rPr>
          <w:rFonts w:cs="Arial"/>
          <w:b/>
          <w:bCs/>
          <w:iCs/>
          <w:szCs w:val="28"/>
        </w:rPr>
      </w:r>
    </w:p>
    <w:p>
      <w:pPr>
        <w:pStyle w:val="Telotextu"/>
        <w:rPr>
          <w:b/>
          <w:b/>
          <w:bCs/>
          <w:sz w:val="16"/>
          <w:szCs w:val="16"/>
        </w:rPr>
      </w:pPr>
      <w:r>
        <w:rPr>
          <w:sz w:val="20"/>
          <w:szCs w:val="20"/>
        </w:rPr>
        <w:t>1.</w:t>
      </w:r>
      <w:r>
        <w:rPr/>
        <w:t xml:space="preserve"> </w:t>
      </w:r>
      <w:r>
        <w:rPr>
          <w:b/>
          <w:bCs/>
          <w:sz w:val="16"/>
          <w:szCs w:val="16"/>
        </w:rPr>
        <w:t>Záruky a iné zabezpečenia poskytnuté členom a orgánom spoločnosti</w:t>
      </w:r>
    </w:p>
    <w:p>
      <w:pPr>
        <w:pStyle w:val="Telotextu"/>
        <w:rPr>
          <w:b w:val="false"/>
          <w:b w:val="false"/>
          <w:bCs w:val="false"/>
          <w:sz w:val="18"/>
          <w:szCs w:val="18"/>
        </w:rPr>
      </w:pPr>
      <w:r>
        <w:rPr>
          <w:b w:val="false"/>
          <w:bCs w:val="false"/>
          <w:sz w:val="18"/>
          <w:szCs w:val="18"/>
        </w:rPr>
        <w:t>Spoločnosť nie je obmedzene ručiacim spoločníkom v iných účtovných jednotkách podľa § 56 ods. 5 Obchodného zákonníka.</w:t>
      </w:r>
    </w:p>
    <w:p>
      <w:pPr>
        <w:pStyle w:val="Telotextu"/>
        <w:rPr>
          <w:b w:val="false"/>
          <w:b w:val="false"/>
          <w:bCs w:val="false"/>
        </w:rPr>
      </w:pPr>
      <w:r>
        <w:rPr>
          <w:b w:val="false"/>
          <w:bCs w:val="false"/>
        </w:rPr>
      </w:r>
    </w:p>
    <w:p>
      <w:pPr>
        <w:pStyle w:val="Telotextu"/>
        <w:rPr>
          <w:b/>
          <w:b/>
          <w:bCs/>
          <w:sz w:val="16"/>
          <w:szCs w:val="16"/>
        </w:rPr>
      </w:pPr>
      <w:r>
        <w:rPr>
          <w:b/>
          <w:bCs/>
          <w:sz w:val="16"/>
          <w:szCs w:val="16"/>
        </w:rPr>
        <w:t>2.  Pôžičky poskytnuté členom orgánov spoločnosti</w:t>
      </w:r>
    </w:p>
    <w:p>
      <w:pPr>
        <w:pStyle w:val="Telotextu"/>
        <w:rPr/>
      </w:pPr>
      <w:r>
        <w:rPr>
          <w:b w:val="false"/>
          <w:bCs w:val="false"/>
          <w:sz w:val="18"/>
          <w:szCs w:val="18"/>
        </w:rPr>
        <w:t>Spoločnosť v účtovnom období 201</w:t>
      </w:r>
      <w:r>
        <w:rPr>
          <w:b w:val="false"/>
          <w:bCs w:val="false"/>
          <w:sz w:val="18"/>
          <w:szCs w:val="18"/>
        </w:rPr>
        <w:t>9</w:t>
      </w:r>
      <w:r>
        <w:rPr>
          <w:b w:val="false"/>
          <w:bCs w:val="false"/>
          <w:sz w:val="18"/>
          <w:szCs w:val="18"/>
        </w:rPr>
        <w:t xml:space="preserve"> neposkytla členom orgánov spoločnosti žiadne záruky alebo iné zabezpečenie a poskytnuté pôžičky.</w:t>
      </w:r>
    </w:p>
    <w:p>
      <w:pPr>
        <w:pStyle w:val="Telotextu"/>
        <w:rPr>
          <w:b w:val="false"/>
          <w:b w:val="false"/>
          <w:bCs w:val="false"/>
        </w:rPr>
      </w:pPr>
      <w:r>
        <w:rPr>
          <w:b w:val="false"/>
          <w:bCs w:val="false"/>
        </w:rPr>
      </w:r>
    </w:p>
    <w:p>
      <w:pPr>
        <w:pStyle w:val="Telotextu"/>
        <w:rPr>
          <w:b/>
          <w:b/>
          <w:bCs/>
          <w:sz w:val="16"/>
          <w:szCs w:val="16"/>
          <w:u w:val="single"/>
        </w:rPr>
      </w:pPr>
      <w:r>
        <w:rPr>
          <w:b/>
          <w:bCs/>
          <w:sz w:val="16"/>
          <w:szCs w:val="16"/>
        </w:rPr>
        <w:t xml:space="preserve">III.    </w:t>
      </w:r>
      <w:r>
        <w:rPr>
          <w:b/>
          <w:bCs/>
          <w:sz w:val="16"/>
          <w:szCs w:val="16"/>
          <w:u w:val="single"/>
        </w:rPr>
        <w:t>POUŽITÉ ÚČTOVNÉ ZÁSADY A ÚČTOVNÉ METÓDY</w:t>
      </w:r>
    </w:p>
    <w:p>
      <w:pPr>
        <w:pStyle w:val="Telotextu"/>
        <w:rPr>
          <w:b/>
          <w:b/>
          <w:bCs/>
        </w:rPr>
      </w:pPr>
      <w:r>
        <w:rPr>
          <w:b/>
          <w:bCs/>
        </w:rPr>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6"/>
          <w:szCs w:val="16"/>
          <w:u w:val="none"/>
        </w:rPr>
        <w:t xml:space="preserve">1. </w:t>
      </w:r>
      <w:r>
        <w:rPr>
          <w:b w:val="false"/>
          <w:bCs w:val="false"/>
          <w:sz w:val="18"/>
          <w:szCs w:val="18"/>
          <w:u w:val="none"/>
        </w:rPr>
        <w:t>Spoločnosť uplatňuje účtovné princípy a postupy účtovania v súlade so zákonom o účtovníctve a postupmi  účtovania pre podnikateľov, ktoré platia v Slovenskej republike. Účtovníctvo sa vedie v peňažných jednotkách  slovenskej meny, t. j. v eurách.</w:t>
      </w:r>
    </w:p>
    <w:p>
      <w:pPr>
        <w:pStyle w:val="Telotextu"/>
        <w:widowControl/>
        <w:suppressAutoHyphens w:val="true"/>
        <w:spacing w:before="0" w:after="120"/>
        <w:ind w:left="246" w:right="0" w:hanging="214"/>
        <w:jc w:val="both"/>
        <w:rPr/>
      </w:pPr>
      <w:r>
        <w:rPr>
          <w:b w:val="false"/>
          <w:bCs w:val="false"/>
          <w:sz w:val="18"/>
          <w:szCs w:val="18"/>
          <w:u w:val="none"/>
        </w:rPr>
        <w:t>2. Účtovná závierka za rok 201</w:t>
      </w:r>
      <w:r>
        <w:rPr>
          <w:b w:val="false"/>
          <w:bCs w:val="false"/>
          <w:sz w:val="18"/>
          <w:szCs w:val="18"/>
          <w:u w:val="none"/>
        </w:rPr>
        <w:t>9</w:t>
      </w:r>
      <w:r>
        <w:rPr>
          <w:b w:val="false"/>
          <w:bCs w:val="false"/>
          <w:sz w:val="18"/>
          <w:szCs w:val="18"/>
          <w:u w:val="none"/>
        </w:rPr>
        <w:t xml:space="preserve"> bola spracovaná za predpokladu nepretržitého pokračovania činnosti.</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3.Účtovníctvo sa vedie na základe dodržania časovej a vecnej súvislosti nákladov a výnosov. Za základ sa berú všetky náklady a výnosy, ktoré sa vzťahujú na účtovné obdobie bez ohľadu na dátum ich zaplatenia.</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4. Pri oceňovaní majetku a záväzkov sa uplatňuje zásada opatrnosti, t. j. Berú sa za základ všetky riziká, straty a zníženia hodnoty, ktoré sa týkajú majetku a záväzkov a ktoré sú známe ku dňu, ku ktorému sa zostavuje účtovná závierka.</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5. Moment zaúčtovania výnosov – výnosy sa účtujú při splnení dodacích podmienok, nakoľko v tomto okamihu prechádzajú na odberateľa významné riziká a vlastnícke práva.</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6. Dlhodobé a krátkodobé pohľadávky, záväzky, úvery a pôžičky – pohľadávky a záväzky sa v súvahe vykazujú jako dlhodobé alebo krátkodobé podľa zostatkovej doby splatnosti ku dňu, ku ktorému sa zostavuje účtovná závierka. Časť dlhodobej pohľadávky adlhodobého záväzku, ktorých splatnosť nie je dlhšia jako jeden rok odo dňa, ku ktorému sa zostavuje účtovná závierka, sa vykazujú v súvahe jako krátkodobá pohľadávka alebo krátkodobý záväzok.</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7. Použitie odhadov – zostavenie účtovnej závierky si vyžaduje, aby vedenie spoločnosti vypracovalo odhady a predpoklady, ktoré majú vplyv na vykazované sumy aktív a pasív, uvedenia možných budúcich aktív a pasív k dátumu, ku ktorému sa zostavuje účtovná závierka, jako aj na vykazovanú výšku výnosov a nákladov počas roka. Skutočné výsledky sa môžu od takýchto odhadov líšiť.</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8. Vykázané dane – slovenské daňové právo je relatívne mladé s nedostatkom existujúcich precedensov a podlieha neustálym novelizáciám. Nakoľko existujú rôzne interpretácie daňových zákonov a predpisov při uplatňovaní v rôznych typoch transakcií, sumy vykázané v účtovnej závierke sa môžu neskôr zmeniť podľa konečného stanoviska daňových úradov.</w:t>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b/>
          <w:bCs/>
          <w:u w:val="none"/>
        </w:rPr>
      </w:pPr>
      <w:r>
        <w:rPr>
          <w:b/>
          <w:bCs/>
          <w:u w:val="none"/>
        </w:rPr>
      </w:r>
    </w:p>
    <w:p>
      <w:pPr>
        <w:pStyle w:val="Telotextu"/>
        <w:widowControl/>
        <w:suppressAutoHyphens w:val="true"/>
        <w:spacing w:before="0" w:after="120"/>
        <w:ind w:left="246" w:right="0" w:hanging="214"/>
        <w:jc w:val="both"/>
        <w:rPr>
          <w:b/>
          <w:b/>
          <w:bCs/>
          <w:u w:val="none"/>
        </w:rPr>
      </w:pPr>
      <w:r>
        <w:rPr>
          <w:b/>
          <w:bCs/>
          <w:u w:val="none"/>
        </w:rPr>
      </w:r>
    </w:p>
    <w:p>
      <w:pPr>
        <w:pStyle w:val="Telotextu"/>
        <w:widowControl/>
        <w:suppressAutoHyphens w:val="true"/>
        <w:spacing w:before="0" w:after="120"/>
        <w:ind w:left="246" w:right="0" w:hanging="214"/>
        <w:jc w:val="both"/>
        <w:rPr>
          <w:b/>
          <w:b/>
          <w:bCs/>
          <w:sz w:val="18"/>
          <w:szCs w:val="18"/>
          <w:u w:val="none"/>
        </w:rPr>
      </w:pPr>
      <w:r>
        <w:rPr>
          <w:b/>
          <w:bCs/>
          <w:sz w:val="18"/>
          <w:szCs w:val="18"/>
          <w:u w:val="none"/>
        </w:rPr>
        <w:t>1. Spôsob ocenenia jednotlivých zložiek majetku a záväzkov – prvé ocenenie</w:t>
      </w:r>
    </w:p>
    <w:p>
      <w:pPr>
        <w:pStyle w:val="Telotextu"/>
        <w:widowControl/>
        <w:suppressAutoHyphens w:val="true"/>
        <w:spacing w:before="0" w:after="120"/>
        <w:ind w:left="246" w:right="0" w:hanging="214"/>
        <w:jc w:val="both"/>
        <w:rPr>
          <w:b/>
          <w:b/>
          <w:bCs/>
          <w:u w:val="none"/>
        </w:rPr>
      </w:pPr>
      <w:r>
        <w:rPr>
          <w:b/>
          <w:bCs/>
          <w:u w:val="none"/>
        </w:rPr>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xml:space="preserve">  </w:t>
      </w:r>
      <w:r>
        <w:rPr>
          <w:b w:val="false"/>
          <w:bCs w:val="false"/>
          <w:sz w:val="18"/>
          <w:szCs w:val="18"/>
          <w:u w:val="none"/>
        </w:rPr>
        <w:t>Pri obstaraní majetku sa uplatňuje princíp obstarávacích cien. Ocenenie jednotlivých položiek majetku a záväzkov je takéto:</w:t>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a) Dlhodobý hmotný a nehmotný majetok obstaraný kúpou – obstarávacou cenou. Obstarávacia cena je cena, za ktorú sa majetok obstaral a náklady súvisiace s obstaraním (prepravné, clo).</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b) Dlhodobý nehmotný a hmotný majetok obstaraný iným spôsobom – reprodukčnou obstarávacou cenou v prípade bezplatného nadobudnutia majetku alebo majetku novo zisteného při inventarizácii, t. j. Cenou, za ktorú by sa majetok obstaral v čase, keď sa o ňom účtuje.</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c) Zásoby obstarané kúpou: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Nakupovaný materiál – obstarávacou cenou, Pri úbytku rovnakého druhu zásob sa používa metóda FOFO. Do vedľajších nákladov vstupuje clo, prepravné a provízie.</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Nakupovaný tovar – obstarávacou cenou. Při úbytku rovnakého druhu zásob sa používa metóda FIFO. Do vedľajších nákladov patrí prepravné, clo a provízie.</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d) zásoby obstarané iným spôsobom – reprodukčnou obstarávacou cenou v prípade bezodplatného nadobudnutia zásob alebo zásob novozistených při inventarizácii, t. j. Cenou, za ktorú by sa majetok obstaral v čase, keď sa o ňom účtuje.</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e) Pohľadávky:</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Pri ich vzniku alebo bezodplatnom nadobudnutí – menovitou hodnotou.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Pri odplatnom nadobudnutí (postúpení) alebo nadobudnutí vkladom do základného imania – obstarávacou cenou.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f) Krátkodobý finančný majetok – obstarávacou cenou. Obstarávacia cena je cena, za ktorú sa majetok obstaral a náklady súvisiace s jeho obstaraním.</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xml:space="preserve">  </w:t>
      </w:r>
      <w:r>
        <w:rPr>
          <w:b w:val="false"/>
          <w:bCs w:val="false"/>
          <w:sz w:val="18"/>
          <w:szCs w:val="18"/>
          <w:u w:val="none"/>
        </w:rPr>
        <w:t>Finančné účty tvorí peňažná hotovosť  a zostatky na bankových účtoch, pričom riziko zmeny hodnoty je zanedbateľne nízke.</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g) Časové rozlíšenie na strane aktív súvahy – očakávanou menovitou hodnotou.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h) Záväzky:</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Pri ich vzniku – menovitou hodnotou.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Pri pervzatí – obstarávacou cenou.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i) Rezervy – v očakávanej výške záväzku alebo poistnomatematickými metódami.</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j) Časové rozlíšenie na strane pasív súvahy – očakávanou menovitou hodnotou.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k) Daň z príjmov splatná – podľa slovenského zákona o dani z príjmov sa splatné dane z príjmov určujú z účtovného zisku pred zdanením pri sadzbe 21% po úpravách o niektoré položky na daňové účely.</w:t>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b/>
          <w:bCs/>
          <w:sz w:val="18"/>
          <w:szCs w:val="18"/>
          <w:u w:val="none"/>
        </w:rPr>
      </w:pPr>
      <w:r>
        <w:rPr>
          <w:b w:val="false"/>
          <w:bCs w:val="false"/>
          <w:sz w:val="18"/>
          <w:szCs w:val="18"/>
          <w:u w:val="none"/>
        </w:rPr>
        <w:t xml:space="preserve">1. </w:t>
      </w:r>
      <w:r>
        <w:rPr>
          <w:b/>
          <w:bCs/>
          <w:sz w:val="18"/>
          <w:szCs w:val="18"/>
          <w:u w:val="none"/>
        </w:rPr>
        <w:t>Spôsob ocenenia jedmotlivých zložiek majetku a záväzkov – nasledujúce ocenenie</w:t>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a) Predpokladané riziká, straty a zníženia hodnoty, ktoré sa týkajú majetku a záväzkov sa vyjadrujú prostredníctvom rezerv, opravných položiek a odpisov.</w:t>
      </w:r>
    </w:p>
    <w:p>
      <w:pPr>
        <w:pStyle w:val="Telotextu"/>
        <w:widowControl/>
        <w:suppressAutoHyphens w:val="true"/>
        <w:spacing w:before="0" w:after="120"/>
        <w:ind w:left="246" w:right="0" w:hanging="214"/>
        <w:jc w:val="both"/>
        <w:rPr/>
      </w:pPr>
      <w:r>
        <w:rPr>
          <w:b w:val="false"/>
          <w:bCs w:val="false"/>
          <w:sz w:val="18"/>
          <w:szCs w:val="18"/>
          <w:u w:val="none"/>
        </w:rPr>
        <w:t xml:space="preserve">* </w:t>
      </w:r>
      <w:r>
        <w:rPr>
          <w:b w:val="false"/>
          <w:bCs w:val="false"/>
          <w:sz w:val="18"/>
          <w:szCs w:val="18"/>
          <w:u w:val="single"/>
        </w:rPr>
        <w:t>Rezervy</w:t>
      </w:r>
      <w:r>
        <w:rPr>
          <w:b w:val="false"/>
          <w:bCs w:val="false"/>
          <w:sz w:val="18"/>
          <w:szCs w:val="18"/>
          <w:u w:val="none"/>
        </w:rPr>
        <w:t xml:space="preserve"> – účtujú sa v očakávanej výške záväzku. Spoločnosti v účtovnom období roku 201</w:t>
      </w:r>
      <w:r>
        <w:rPr>
          <w:b w:val="false"/>
          <w:bCs w:val="false"/>
          <w:sz w:val="18"/>
          <w:szCs w:val="18"/>
          <w:u w:val="none"/>
        </w:rPr>
        <w:t>9</w:t>
      </w:r>
      <w:r>
        <w:rPr>
          <w:b w:val="false"/>
          <w:bCs w:val="false"/>
          <w:sz w:val="18"/>
          <w:szCs w:val="18"/>
          <w:u w:val="none"/>
        </w:rPr>
        <w:t xml:space="preserve"> nevyplynula povinnosť tvorby rezervy.</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xml:space="preserve">* </w:t>
      </w:r>
      <w:r>
        <w:rPr>
          <w:b w:val="false"/>
          <w:bCs w:val="false"/>
          <w:sz w:val="18"/>
          <w:szCs w:val="18"/>
          <w:u w:val="single"/>
        </w:rPr>
        <w:t>Opravné položky</w:t>
      </w:r>
      <w:r>
        <w:rPr>
          <w:b w:val="false"/>
          <w:bCs w:val="false"/>
          <w:sz w:val="18"/>
          <w:szCs w:val="18"/>
          <w:u w:val="none"/>
        </w:rPr>
        <w:t xml:space="preserve"> – účtujú sa v sume opodstatneného predpokladu zníženia hodnoty majetku oproti oceneniu v účtovníctve. Spoločnosti v účtovnom období roku 2018 nevyplynula povinnosť tvoriť opravné položky.</w:t>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Plán odpisov</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xml:space="preserve">   </w:t>
      </w:r>
      <w:r>
        <w:rPr>
          <w:b w:val="false"/>
          <w:bCs w:val="false"/>
          <w:sz w:val="18"/>
          <w:szCs w:val="18"/>
          <w:u w:val="none"/>
        </w:rPr>
        <w:t>Dlhodobý nehmotný a hmotný majetok sa odpisuje podľa plánu odpisov, ktorý bol stanovený vzhľadom na odhad reálnej ekonomickej živnosti. Majetok sa odpisuje počas predpokladanej doby používania zodpovedajúcej spotrebe budúcich ekonomických úžitkov z majetku, Účtovné odpisy sú rovnomerné. Majetok sa začína odpisovať v mesiaci nasledujúcom po mesiaci zaradenia do používania.</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xml:space="preserve">   </w:t>
      </w:r>
      <w:r>
        <w:rPr>
          <w:b w:val="false"/>
          <w:bCs w:val="false"/>
          <w:sz w:val="18"/>
          <w:szCs w:val="18"/>
          <w:u w:val="none"/>
        </w:rPr>
        <w:t>Daňové odpisy sa uplatňujú podľa sadzieb uvedených v zákone o dani z príjmov platných pre rovnomerné odpisovanie.</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b) Podiely na základnom imaní sa ponechávajú v pôvodnom ocenení.</w:t>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b/>
          <w:bCs/>
          <w:sz w:val="18"/>
          <w:szCs w:val="18"/>
          <w:u w:val="none"/>
        </w:rPr>
      </w:pPr>
      <w:r>
        <w:rPr>
          <w:b/>
          <w:bCs/>
          <w:sz w:val="18"/>
          <w:szCs w:val="18"/>
          <w:u w:val="none"/>
        </w:rPr>
        <w:t>2. Prepočet údajov v cudzích menách na slovenskú menu</w:t>
      </w:r>
    </w:p>
    <w:p>
      <w:pPr>
        <w:pStyle w:val="Telotextu"/>
        <w:widowControl/>
        <w:suppressAutoHyphens w:val="true"/>
        <w:spacing w:before="0" w:after="120"/>
        <w:ind w:left="246" w:right="0" w:hanging="214"/>
        <w:jc w:val="both"/>
        <w:rPr>
          <w:b/>
          <w:b/>
          <w:bCs/>
          <w:sz w:val="18"/>
          <w:szCs w:val="18"/>
          <w:u w:val="none"/>
        </w:rPr>
      </w:pPr>
      <w:r>
        <w:rPr>
          <w:b/>
          <w:bCs/>
          <w:sz w:val="18"/>
          <w:szCs w:val="18"/>
          <w:u w:val="none"/>
        </w:rPr>
      </w:r>
    </w:p>
    <w:p>
      <w:pPr>
        <w:pStyle w:val="Telotextu"/>
        <w:widowControl/>
        <w:suppressAutoHyphens w:val="true"/>
        <w:spacing w:before="0" w:after="120"/>
        <w:ind w:left="-11" w:right="0" w:firstLine="11"/>
        <w:jc w:val="both"/>
        <w:rPr>
          <w:b w:val="false"/>
          <w:b w:val="false"/>
          <w:bCs w:val="false"/>
          <w:sz w:val="18"/>
          <w:szCs w:val="18"/>
          <w:u w:val="none"/>
        </w:rPr>
      </w:pPr>
      <w:r>
        <w:rPr>
          <w:b w:val="false"/>
          <w:bCs w:val="false"/>
          <w:sz w:val="18"/>
          <w:szCs w:val="18"/>
          <w:u w:val="none"/>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w:t>
      </w:r>
    </w:p>
    <w:p>
      <w:pPr>
        <w:pStyle w:val="Telotextu"/>
        <w:widowControl/>
        <w:suppressAutoHyphens w:val="true"/>
        <w:spacing w:before="0" w:after="120"/>
        <w:ind w:left="-11" w:right="0" w:firstLine="11"/>
        <w:jc w:val="both"/>
        <w:rPr>
          <w:b w:val="false"/>
          <w:b w:val="false"/>
          <w:bCs w:val="false"/>
          <w:sz w:val="18"/>
          <w:szCs w:val="18"/>
          <w:u w:val="none"/>
        </w:rPr>
      </w:pPr>
      <w:r>
        <w:rPr>
          <w:b w:val="false"/>
          <w:bCs w:val="false"/>
          <w:sz w:val="18"/>
          <w:szCs w:val="18"/>
          <w:u w:val="none"/>
        </w:rPr>
        <w:t>Prijaté a poskytnuté preddavky v cudzej mene sa ku dňu, ku ktorému sa zostavuje účtovná závierka neprepočítavajú.</w:t>
      </w:r>
    </w:p>
    <w:p>
      <w:pPr>
        <w:pStyle w:val="Telotextu"/>
        <w:widowControl/>
        <w:suppressAutoHyphens w:val="true"/>
        <w:spacing w:before="0" w:after="120"/>
        <w:ind w:left="-11" w:right="0" w:firstLine="11"/>
        <w:jc w:val="both"/>
        <w:rPr>
          <w:b w:val="false"/>
          <w:b w:val="false"/>
          <w:bCs w:val="false"/>
          <w:sz w:val="18"/>
          <w:szCs w:val="18"/>
          <w:u w:val="none"/>
        </w:rPr>
      </w:pPr>
      <w:r>
        <w:rPr>
          <w:b w:val="false"/>
          <w:bCs w:val="false"/>
          <w:sz w:val="18"/>
          <w:szCs w:val="18"/>
          <w:u w:val="none"/>
        </w:rPr>
        <w:t>Pri kúpe a predaji cudzej meny za menu euro a při prevode peňažných prostriedkov z účtu zriadeného v cudzej mene na účet zriadený v eurách a z účtu zriadeného v eurách  na účet zriadený v cudzej mene sa použil kurz, za ktorý boli tieto hodnoty nakúpené alebo predané.</w:t>
      </w:r>
    </w:p>
    <w:p>
      <w:pPr>
        <w:pStyle w:val="Telotextu"/>
        <w:widowControl/>
        <w:suppressAutoHyphens w:val="true"/>
        <w:spacing w:before="0" w:after="120"/>
        <w:ind w:left="-11" w:right="0" w:firstLine="11"/>
        <w:jc w:val="both"/>
        <w:rPr>
          <w:b w:val="false"/>
          <w:b w:val="false"/>
          <w:bCs w:val="false"/>
          <w:sz w:val="18"/>
          <w:szCs w:val="18"/>
          <w:u w:val="none"/>
        </w:rPr>
      </w:pPr>
      <w:r>
        <w:rPr>
          <w:b w:val="false"/>
          <w:bCs w:val="false"/>
          <w:sz w:val="18"/>
          <w:szCs w:val="18"/>
          <w:u w:val="none"/>
        </w:rPr>
        <w:t>Ak sa predaj alebo kúpa  cudzej meny uskutoční za iný kurz jako ponúka komerčná banka v kurzovom lístku, použije sa kurz, ktorý komerčná banka v deň vysporiadania obchodu ponúka v kurzovom lístku.</w:t>
      </w:r>
    </w:p>
    <w:p>
      <w:pPr>
        <w:pStyle w:val="Telotextu"/>
        <w:widowControl/>
        <w:suppressAutoHyphens w:val="true"/>
        <w:spacing w:before="0" w:after="120"/>
        <w:ind w:left="-11" w:right="0" w:firstLine="11"/>
        <w:jc w:val="both"/>
        <w:rPr>
          <w:b w:val="false"/>
          <w:b w:val="false"/>
          <w:bCs w:val="false"/>
          <w:sz w:val="18"/>
          <w:szCs w:val="18"/>
          <w:u w:val="none"/>
        </w:rPr>
      </w:pPr>
      <w:r>
        <w:rPr>
          <w:b w:val="false"/>
          <w:bCs w:val="false"/>
          <w:sz w:val="18"/>
          <w:szCs w:val="18"/>
          <w:u w:val="none"/>
        </w:rPr>
        <w:t>Ak sa kúpa alebo predaj neuskutočnia s komerčnou bankou, použije sa referenčný výmenný kurz určený a vyhlásený ECB alebo NBS v deň predchádzajúci dňu vysporiadania obchodu.</w:t>
      </w:r>
    </w:p>
    <w:p>
      <w:pPr>
        <w:pStyle w:val="Telotextu"/>
        <w:widowControl/>
        <w:suppressAutoHyphens w:val="true"/>
        <w:spacing w:before="0" w:after="120"/>
        <w:ind w:left="-11" w:right="0" w:firstLine="11"/>
        <w:jc w:val="both"/>
        <w:rPr>
          <w:b w:val="false"/>
          <w:b w:val="false"/>
          <w:bCs w:val="false"/>
          <w:sz w:val="20"/>
          <w:szCs w:val="20"/>
          <w:u w:val="none"/>
        </w:rPr>
      </w:pPr>
      <w:r>
        <w:rPr>
          <w:b w:val="false"/>
          <w:bCs w:val="false"/>
          <w:sz w:val="20"/>
          <w:szCs w:val="20"/>
          <w:u w:val="none"/>
        </w:rPr>
      </w:r>
    </w:p>
    <w:p>
      <w:pPr>
        <w:pStyle w:val="Telotextu"/>
        <w:widowControl/>
        <w:suppressAutoHyphens w:val="true"/>
        <w:spacing w:before="0" w:after="120"/>
        <w:ind w:left="-11" w:right="0" w:firstLine="11"/>
        <w:jc w:val="both"/>
        <w:rPr>
          <w:b/>
          <w:b/>
          <w:bCs/>
          <w:sz w:val="18"/>
          <w:szCs w:val="18"/>
          <w:u w:val="none"/>
        </w:rPr>
      </w:pPr>
      <w:r>
        <w:rPr>
          <w:b/>
          <w:bCs/>
          <w:sz w:val="18"/>
          <w:szCs w:val="18"/>
          <w:u w:val="none"/>
        </w:rPr>
        <w:t>3. Zmeny účtovných zásad a účtovných metód</w:t>
      </w:r>
    </w:p>
    <w:p>
      <w:pPr>
        <w:pStyle w:val="Telotextu"/>
        <w:widowControl/>
        <w:suppressAutoHyphens w:val="true"/>
        <w:spacing w:before="0" w:after="120"/>
        <w:ind w:left="-11" w:right="0" w:firstLine="11"/>
        <w:jc w:val="both"/>
        <w:rPr>
          <w:b/>
          <w:b/>
          <w:bCs/>
          <w:sz w:val="18"/>
          <w:szCs w:val="18"/>
          <w:u w:val="none"/>
        </w:rPr>
      </w:pPr>
      <w:r>
        <w:rPr>
          <w:b/>
          <w:bCs/>
          <w:sz w:val="18"/>
          <w:szCs w:val="18"/>
          <w:u w:val="none"/>
        </w:rPr>
      </w:r>
    </w:p>
    <w:p>
      <w:pPr>
        <w:pStyle w:val="Telotextu"/>
        <w:widowControl/>
        <w:suppressAutoHyphens w:val="true"/>
        <w:spacing w:before="0" w:after="120"/>
        <w:ind w:left="-11" w:right="0" w:firstLine="11"/>
        <w:jc w:val="both"/>
        <w:rPr/>
      </w:pPr>
      <w:r>
        <w:rPr>
          <w:b w:val="false"/>
          <w:bCs w:val="false"/>
          <w:sz w:val="18"/>
          <w:szCs w:val="18"/>
          <w:u w:val="none"/>
        </w:rPr>
        <w:t>V účtovnom období roku 201</w:t>
      </w:r>
      <w:r>
        <w:rPr>
          <w:b w:val="false"/>
          <w:bCs w:val="false"/>
          <w:sz w:val="18"/>
          <w:szCs w:val="18"/>
          <w:u w:val="none"/>
        </w:rPr>
        <w:t>9</w:t>
      </w:r>
      <w:r>
        <w:rPr>
          <w:b w:val="false"/>
          <w:bCs w:val="false"/>
          <w:sz w:val="18"/>
          <w:szCs w:val="18"/>
          <w:u w:val="none"/>
        </w:rPr>
        <w:t xml:space="preserve"> nenastali v spoločnosti Vault 13 s.r.o. žiadne zmeny týkajúce sa účtovných zásad a účtovných metód.</w:t>
      </w:r>
    </w:p>
    <w:p>
      <w:pPr>
        <w:pStyle w:val="Telotextu"/>
        <w:widowControl/>
        <w:suppressAutoHyphens w:val="true"/>
        <w:spacing w:before="0" w:after="120"/>
        <w:ind w:left="-11" w:right="0" w:firstLine="11"/>
        <w:jc w:val="both"/>
        <w:rPr>
          <w:b w:val="false"/>
          <w:b w:val="false"/>
          <w:bCs w:val="false"/>
          <w:sz w:val="18"/>
          <w:szCs w:val="18"/>
          <w:u w:val="none"/>
        </w:rPr>
      </w:pPr>
      <w:r>
        <w:rPr>
          <w:b w:val="false"/>
          <w:bCs w:val="false"/>
          <w:sz w:val="18"/>
          <w:szCs w:val="18"/>
          <w:u w:val="none"/>
        </w:rPr>
      </w:r>
    </w:p>
    <w:p>
      <w:pPr>
        <w:pStyle w:val="Telotextu"/>
        <w:widowControl/>
        <w:suppressAutoHyphens w:val="true"/>
        <w:spacing w:before="0" w:after="120"/>
        <w:ind w:left="-11" w:right="0" w:firstLine="11"/>
        <w:jc w:val="both"/>
        <w:rPr>
          <w:b/>
          <w:b/>
          <w:bCs/>
          <w:sz w:val="18"/>
          <w:szCs w:val="18"/>
          <w:u w:val="none"/>
        </w:rPr>
      </w:pPr>
      <w:r>
        <w:rPr>
          <w:b/>
          <w:bCs/>
          <w:sz w:val="18"/>
          <w:szCs w:val="18"/>
          <w:u w:val="none"/>
        </w:rPr>
        <w:t>4.</w:t>
      </w:r>
      <w:r>
        <w:rPr>
          <w:b/>
          <w:bCs/>
          <w:sz w:val="20"/>
          <w:szCs w:val="20"/>
          <w:u w:val="none"/>
        </w:rPr>
        <w:t xml:space="preserve"> </w:t>
      </w:r>
      <w:r>
        <w:rPr>
          <w:b/>
          <w:bCs/>
          <w:sz w:val="18"/>
          <w:szCs w:val="18"/>
          <w:u w:val="none"/>
        </w:rPr>
        <w:t>Oprava významných chýb minulých období</w:t>
      </w:r>
    </w:p>
    <w:p>
      <w:pPr>
        <w:pStyle w:val="Telotextu"/>
        <w:widowControl/>
        <w:suppressAutoHyphens w:val="true"/>
        <w:spacing w:before="0" w:after="120"/>
        <w:ind w:left="-11" w:right="0" w:firstLine="11"/>
        <w:jc w:val="both"/>
        <w:rPr>
          <w:b w:val="false"/>
          <w:b w:val="false"/>
          <w:bCs w:val="false"/>
          <w:sz w:val="20"/>
          <w:szCs w:val="20"/>
          <w:u w:val="none"/>
        </w:rPr>
      </w:pPr>
      <w:r>
        <w:rPr>
          <w:b w:val="false"/>
          <w:bCs w:val="false"/>
          <w:sz w:val="20"/>
          <w:szCs w:val="20"/>
          <w:u w:val="none"/>
        </w:rPr>
      </w:r>
    </w:p>
    <w:p>
      <w:pPr>
        <w:pStyle w:val="Telotextu"/>
        <w:widowControl/>
        <w:suppressAutoHyphens w:val="true"/>
        <w:spacing w:before="0" w:after="120"/>
        <w:ind w:left="-11" w:right="0" w:firstLine="11"/>
        <w:jc w:val="both"/>
        <w:rPr/>
      </w:pPr>
      <w:r>
        <w:rPr>
          <w:b w:val="false"/>
          <w:bCs w:val="false"/>
          <w:sz w:val="18"/>
          <w:szCs w:val="18"/>
          <w:u w:val="none"/>
        </w:rPr>
        <w:t>V spoločnosti Vault 13 s.r.o. nedošlo v účtovnom období roku 201</w:t>
      </w:r>
      <w:r>
        <w:rPr>
          <w:b w:val="false"/>
          <w:bCs w:val="false"/>
          <w:sz w:val="18"/>
          <w:szCs w:val="18"/>
          <w:u w:val="none"/>
        </w:rPr>
        <w:t>9</w:t>
      </w:r>
      <w:r>
        <w:rPr>
          <w:b w:val="false"/>
          <w:bCs w:val="false"/>
          <w:sz w:val="18"/>
          <w:szCs w:val="18"/>
          <w:u w:val="none"/>
        </w:rPr>
        <w:t xml:space="preserve"> k žiadnzm opravám významných chýb minulých období.</w:t>
      </w:r>
    </w:p>
    <w:p>
      <w:pPr>
        <w:pStyle w:val="Telotextu"/>
        <w:widowControl/>
        <w:suppressAutoHyphens w:val="true"/>
        <w:spacing w:before="0" w:after="120"/>
        <w:ind w:left="246" w:right="0" w:hanging="214"/>
        <w:jc w:val="both"/>
        <w:rPr>
          <w:b w:val="false"/>
          <w:b w:val="false"/>
          <w:bCs w:val="false"/>
          <w:sz w:val="20"/>
          <w:szCs w:val="20"/>
          <w:u w:val="none"/>
        </w:rPr>
      </w:pPr>
      <w:r>
        <w:rPr>
          <w:b w:val="false"/>
          <w:bCs w:val="false"/>
          <w:sz w:val="20"/>
          <w:szCs w:val="20"/>
          <w:u w:val="none"/>
        </w:rPr>
      </w:r>
    </w:p>
    <w:p>
      <w:pPr>
        <w:pStyle w:val="Telotextu"/>
        <w:widowControl/>
        <w:suppressAutoHyphens w:val="true"/>
        <w:spacing w:before="0" w:after="120"/>
        <w:ind w:left="246" w:right="0" w:hanging="214"/>
        <w:jc w:val="both"/>
        <w:rPr>
          <w:b/>
          <w:b/>
          <w:bCs/>
          <w:sz w:val="18"/>
          <w:szCs w:val="18"/>
          <w:u w:val="single"/>
        </w:rPr>
      </w:pPr>
      <w:r>
        <w:rPr>
          <w:b/>
          <w:bCs/>
          <w:sz w:val="18"/>
          <w:szCs w:val="18"/>
          <w:u w:val="none"/>
        </w:rPr>
        <w:t>IV.</w:t>
      </w:r>
      <w:r>
        <w:rPr>
          <w:b/>
          <w:bCs/>
          <w:sz w:val="20"/>
          <w:szCs w:val="20"/>
          <w:u w:val="none"/>
        </w:rPr>
        <w:t xml:space="preserve"> </w:t>
      </w:r>
      <w:r>
        <w:rPr>
          <w:b/>
          <w:bCs/>
          <w:sz w:val="18"/>
          <w:szCs w:val="18"/>
          <w:u w:val="none"/>
        </w:rPr>
        <w:t xml:space="preserve"> </w:t>
      </w:r>
      <w:r>
        <w:rPr>
          <w:b/>
          <w:bCs/>
          <w:sz w:val="18"/>
          <w:szCs w:val="18"/>
          <w:u w:val="single"/>
        </w:rPr>
        <w:t>INFORMÁCIE O ÚDAJOCH NA STRANE AKTÍV A PASÍV SÚVAHY</w:t>
      </w:r>
    </w:p>
    <w:p>
      <w:pPr>
        <w:pStyle w:val="Telotextu"/>
        <w:widowControl/>
        <w:suppressAutoHyphens w:val="true"/>
        <w:spacing w:before="0" w:after="120"/>
        <w:ind w:left="246" w:right="0" w:hanging="214"/>
        <w:jc w:val="both"/>
        <w:rPr>
          <w:b/>
          <w:b/>
          <w:bCs/>
          <w:sz w:val="18"/>
          <w:szCs w:val="18"/>
          <w:u w:val="none"/>
        </w:rPr>
      </w:pPr>
      <w:r>
        <w:rPr>
          <w:b/>
          <w:bCs/>
          <w:sz w:val="18"/>
          <w:szCs w:val="18"/>
          <w:u w:val="none"/>
        </w:rPr>
      </w:r>
    </w:p>
    <w:p>
      <w:pPr>
        <w:pStyle w:val="Telotextu"/>
        <w:widowControl/>
        <w:suppressAutoHyphens w:val="true"/>
        <w:spacing w:before="0" w:after="120"/>
        <w:ind w:left="246" w:right="0" w:hanging="214"/>
        <w:jc w:val="both"/>
        <w:rPr>
          <w:b/>
          <w:b/>
          <w:bCs/>
          <w:sz w:val="18"/>
          <w:szCs w:val="18"/>
          <w:u w:val="none"/>
        </w:rPr>
      </w:pPr>
      <w:r>
        <w:rPr>
          <w:b/>
          <w:bCs/>
          <w:sz w:val="18"/>
          <w:szCs w:val="18"/>
          <w:u w:val="none"/>
        </w:rPr>
      </w:r>
    </w:p>
    <w:p>
      <w:pPr>
        <w:pStyle w:val="Telotextu"/>
        <w:widowControl/>
        <w:suppressAutoHyphens w:val="true"/>
        <w:spacing w:before="0" w:after="120"/>
        <w:ind w:left="246" w:right="0" w:hanging="214"/>
        <w:jc w:val="both"/>
        <w:rPr>
          <w:b/>
          <w:b/>
          <w:bCs/>
          <w:sz w:val="18"/>
          <w:szCs w:val="18"/>
          <w:u w:val="none"/>
        </w:rPr>
      </w:pPr>
      <w:r>
        <w:rPr>
          <w:b/>
          <w:bCs/>
          <w:sz w:val="18"/>
          <w:szCs w:val="18"/>
          <w:u w:val="none"/>
        </w:rPr>
        <w:t>1. Dlhodobý nehmotný a hmotný majetok</w:t>
      </w:r>
    </w:p>
    <w:p>
      <w:pPr>
        <w:pStyle w:val="Telotextu"/>
        <w:widowControl/>
        <w:suppressAutoHyphens w:val="true"/>
        <w:spacing w:before="0" w:after="120"/>
        <w:ind w:left="246" w:right="0" w:hanging="214"/>
        <w:jc w:val="both"/>
        <w:rPr>
          <w:b/>
          <w:b/>
          <w:bCs/>
          <w:u w:val="none"/>
        </w:rPr>
      </w:pPr>
      <w:r>
        <w:rPr>
          <w:b/>
          <w:bCs/>
          <w:u w:val="none"/>
        </w:rPr>
      </w:r>
    </w:p>
    <w:p>
      <w:pPr>
        <w:pStyle w:val="Telotextu"/>
        <w:widowControl/>
        <w:suppressAutoHyphens w:val="true"/>
        <w:spacing w:before="0" w:after="120"/>
        <w:ind w:left="75" w:right="0" w:hanging="214"/>
        <w:jc w:val="both"/>
        <w:rPr>
          <w:b w:val="false"/>
          <w:b w:val="false"/>
          <w:bCs w:val="false"/>
          <w:sz w:val="18"/>
          <w:szCs w:val="18"/>
          <w:u w:val="none"/>
        </w:rPr>
      </w:pPr>
      <w:r>
        <w:rPr>
          <w:b w:val="false"/>
          <w:bCs w:val="false"/>
          <w:sz w:val="18"/>
          <w:szCs w:val="18"/>
          <w:u w:val="none"/>
        </w:rPr>
        <w:t xml:space="preserve">   </w:t>
      </w:r>
      <w:r>
        <w:rPr>
          <w:b w:val="false"/>
          <w:bCs w:val="false"/>
          <w:sz w:val="18"/>
          <w:szCs w:val="18"/>
          <w:u w:val="none"/>
        </w:rPr>
        <w:t>Spoločnosť v bežnom účtovnom období a tiež v období bezprostredne predchádzajúcom neúčtovala o dlhodobom nehmotnom a hmotnom majetku</w:t>
      </w:r>
    </w:p>
    <w:p>
      <w:pPr>
        <w:pStyle w:val="Telotextu"/>
        <w:rPr>
          <w:b w:val="false"/>
          <w:b w:val="false"/>
          <w:bCs w:val="false"/>
          <w:sz w:val="18"/>
          <w:szCs w:val="18"/>
        </w:rPr>
      </w:pPr>
      <w:r>
        <w:rPr>
          <w:b w:val="false"/>
          <w:bCs w:val="false"/>
          <w:sz w:val="18"/>
          <w:szCs w:val="18"/>
        </w:rPr>
      </w:r>
    </w:p>
    <w:p>
      <w:pPr>
        <w:pStyle w:val="Telotextu"/>
        <w:rPr>
          <w:b w:val="false"/>
          <w:b w:val="false"/>
          <w:bCs w:val="false"/>
        </w:rPr>
      </w:pPr>
      <w:r>
        <w:rPr>
          <w:b w:val="false"/>
          <w:bCs w:val="false"/>
        </w:rPr>
      </w:r>
    </w:p>
    <w:p>
      <w:pPr>
        <w:pStyle w:val="Telotextu"/>
        <w:rPr>
          <w:b w:val="false"/>
          <w:b w:val="false"/>
          <w:bCs w:val="false"/>
        </w:rPr>
      </w:pPr>
      <w:r>
        <w:rPr>
          <w:b w:val="false"/>
          <w:bCs w:val="false"/>
        </w:rPr>
      </w:r>
    </w:p>
    <w:p>
      <w:pPr>
        <w:pStyle w:val="Telotextu"/>
        <w:rPr>
          <w:b w:val="false"/>
          <w:b w:val="false"/>
          <w:bCs w:val="false"/>
        </w:rPr>
      </w:pPr>
      <w:r>
        <w:rPr>
          <w:b w:val="false"/>
          <w:bCs w:val="false"/>
        </w:rPr>
      </w:r>
    </w:p>
    <w:p>
      <w:pPr>
        <w:pStyle w:val="Telotextu"/>
        <w:rPr>
          <w:b/>
          <w:b/>
          <w:bCs/>
          <w:sz w:val="18"/>
          <w:szCs w:val="18"/>
        </w:rPr>
      </w:pPr>
      <w:r>
        <w:rPr>
          <w:b/>
          <w:bCs/>
          <w:sz w:val="18"/>
          <w:szCs w:val="18"/>
        </w:rPr>
        <w:t>2.  Pohľadávky</w:t>
      </w:r>
    </w:p>
    <w:p>
      <w:pPr>
        <w:pStyle w:val="Telotextu"/>
        <w:rPr>
          <w:b/>
          <w:b/>
          <w:bCs/>
          <w:sz w:val="18"/>
          <w:szCs w:val="18"/>
        </w:rPr>
      </w:pPr>
      <w:r>
        <w:rPr>
          <w:b/>
          <w:bCs/>
          <w:sz w:val="18"/>
          <w:szCs w:val="18"/>
        </w:rPr>
      </w:r>
    </w:p>
    <w:tbl>
      <w:tblPr>
        <w:tblW w:w="7575" w:type="dxa"/>
        <w:jc w:val="left"/>
        <w:tblInd w:w="0" w:type="dxa"/>
        <w:tblCellMar>
          <w:top w:w="0" w:type="dxa"/>
          <w:left w:w="0" w:type="dxa"/>
          <w:bottom w:w="0" w:type="dxa"/>
          <w:right w:w="0" w:type="dxa"/>
        </w:tblCellMar>
      </w:tblPr>
      <w:tblGrid>
        <w:gridCol w:w="2805"/>
        <w:gridCol w:w="2379"/>
        <w:gridCol w:w="2391"/>
      </w:tblGrid>
      <w:tr>
        <w:trPr>
          <w:trHeight w:val="300" w:hRule="atLeast"/>
        </w:trPr>
        <w:tc>
          <w:tcPr>
            <w:tcW w:w="2805" w:type="dxa"/>
            <w:tcBorders/>
            <w:shd w:fill="FFFFFF" w:val="clear"/>
            <w:vAlign w:val="center"/>
          </w:tcPr>
          <w:p>
            <w:pPr>
              <w:pStyle w:val="Obsahtabuky"/>
              <w:rPr/>
            </w:pPr>
            <w:r>
              <w:rPr/>
              <w:t> </w:t>
            </w:r>
          </w:p>
        </w:tc>
        <w:tc>
          <w:tcPr>
            <w:tcW w:w="2379" w:type="dxa"/>
            <w:tcBorders/>
            <w:shd w:fill="FFFFFF" w:val="clear"/>
            <w:vAlign w:val="center"/>
          </w:tcPr>
          <w:p>
            <w:pPr>
              <w:pStyle w:val="Obsahtabuky"/>
              <w:rPr>
                <w:b/>
                <w:b/>
                <w:bCs/>
              </w:rPr>
            </w:pPr>
            <w:r>
              <w:rPr>
                <w:b/>
                <w:bCs/>
              </w:rPr>
              <w:t>bežné účtovné obdobie</w:t>
            </w:r>
          </w:p>
        </w:tc>
        <w:tc>
          <w:tcPr>
            <w:tcW w:w="2391" w:type="dxa"/>
            <w:tcBorders/>
            <w:shd w:fill="FFFFFF" w:val="clear"/>
            <w:vAlign w:val="center"/>
          </w:tcPr>
          <w:p>
            <w:pPr>
              <w:pStyle w:val="Obsahtabuky"/>
              <w:rPr>
                <w:b/>
                <w:b/>
                <w:bCs/>
              </w:rPr>
            </w:pPr>
            <w:r>
              <w:rPr>
                <w:b/>
                <w:bCs/>
              </w:rPr>
              <w:t>bezprostredne predchádzajúce</w:t>
            </w:r>
          </w:p>
        </w:tc>
      </w:tr>
      <w:tr>
        <w:trPr>
          <w:trHeight w:val="300" w:hRule="atLeast"/>
        </w:trPr>
        <w:tc>
          <w:tcPr>
            <w:tcW w:w="2805" w:type="dxa"/>
            <w:tcBorders/>
            <w:shd w:fill="FFFFFF" w:val="clear"/>
            <w:vAlign w:val="center"/>
          </w:tcPr>
          <w:p>
            <w:pPr>
              <w:pStyle w:val="Obsahtabuky"/>
              <w:rPr/>
            </w:pPr>
            <w:r>
              <w:rPr/>
              <w:t> </w:t>
            </w:r>
          </w:p>
        </w:tc>
        <w:tc>
          <w:tcPr>
            <w:tcW w:w="2379" w:type="dxa"/>
            <w:tcBorders/>
            <w:shd w:fill="FFFFFF" w:val="clear"/>
            <w:vAlign w:val="center"/>
          </w:tcPr>
          <w:p>
            <w:pPr>
              <w:pStyle w:val="Obsahtabuky"/>
              <w:rPr>
                <w:b/>
                <w:b/>
                <w:bCs/>
              </w:rPr>
            </w:pPr>
            <w:r>
              <w:rPr>
                <w:b/>
                <w:bCs/>
              </w:rPr>
              <w:t>obdobie</w:t>
            </w:r>
          </w:p>
        </w:tc>
        <w:tc>
          <w:tcPr>
            <w:tcW w:w="2391" w:type="dxa"/>
            <w:tcBorders/>
            <w:shd w:fill="FFFFFF" w:val="clear"/>
            <w:vAlign w:val="center"/>
          </w:tcPr>
          <w:p>
            <w:pPr>
              <w:pStyle w:val="Obsahtabuky"/>
              <w:rPr>
                <w:b/>
                <w:b/>
                <w:bCs/>
              </w:rPr>
            </w:pPr>
            <w:r>
              <w:rPr>
                <w:b/>
                <w:bCs/>
              </w:rPr>
              <w:t>účtovné obdobie</w:t>
            </w:r>
          </w:p>
        </w:tc>
      </w:tr>
      <w:tr>
        <w:trPr>
          <w:trHeight w:val="315" w:hRule="atLeast"/>
        </w:trPr>
        <w:tc>
          <w:tcPr>
            <w:tcW w:w="2805" w:type="dxa"/>
            <w:tcBorders/>
            <w:shd w:fill="FFFFFF" w:val="clear"/>
            <w:vAlign w:val="center"/>
          </w:tcPr>
          <w:p>
            <w:pPr>
              <w:pStyle w:val="Obsahtabuky"/>
              <w:rPr/>
            </w:pPr>
            <w:r>
              <w:rPr/>
              <w:t>Názov položky</w:t>
            </w:r>
          </w:p>
        </w:tc>
        <w:tc>
          <w:tcPr>
            <w:tcW w:w="2379" w:type="dxa"/>
            <w:tcBorders/>
            <w:shd w:fill="FFFFFF" w:val="clear"/>
            <w:vAlign w:val="center"/>
          </w:tcPr>
          <w:p>
            <w:pPr>
              <w:pStyle w:val="Obsahtabuky"/>
              <w:rPr/>
            </w:pPr>
            <w:r>
              <w:rPr/>
              <w:t> </w:t>
            </w:r>
          </w:p>
        </w:tc>
        <w:tc>
          <w:tcPr>
            <w:tcW w:w="2391" w:type="dxa"/>
            <w:tcBorders/>
            <w:shd w:fill="FFFFFF" w:val="clear"/>
            <w:vAlign w:val="center"/>
          </w:tcPr>
          <w:p>
            <w:pPr>
              <w:pStyle w:val="Obsahtabuky"/>
              <w:rPr/>
            </w:pPr>
            <w:r>
              <w:rPr/>
              <w:t> </w:t>
            </w:r>
          </w:p>
        </w:tc>
      </w:tr>
      <w:tr>
        <w:trPr>
          <w:trHeight w:val="300" w:hRule="atLeast"/>
        </w:trPr>
        <w:tc>
          <w:tcPr>
            <w:tcW w:w="2805" w:type="dxa"/>
            <w:tcBorders/>
            <w:shd w:fill="FFFFFF" w:val="clear"/>
            <w:vAlign w:val="center"/>
          </w:tcPr>
          <w:p>
            <w:pPr>
              <w:pStyle w:val="Obsahtabuky"/>
              <w:rPr/>
            </w:pPr>
            <w:r>
              <w:rPr/>
              <w:t> </w:t>
            </w:r>
          </w:p>
        </w:tc>
        <w:tc>
          <w:tcPr>
            <w:tcW w:w="2379" w:type="dxa"/>
            <w:tcBorders/>
            <w:shd w:fill="FFFFFF" w:val="clear"/>
            <w:vAlign w:val="center"/>
          </w:tcPr>
          <w:p>
            <w:pPr>
              <w:pStyle w:val="Obsahtabuky"/>
              <w:rPr/>
            </w:pPr>
            <w:r>
              <w:rPr/>
              <w:t> </w:t>
            </w:r>
          </w:p>
        </w:tc>
        <w:tc>
          <w:tcPr>
            <w:tcW w:w="2391" w:type="dxa"/>
            <w:tcBorders/>
            <w:shd w:fill="FFFFFF" w:val="clear"/>
            <w:vAlign w:val="center"/>
          </w:tcPr>
          <w:p>
            <w:pPr>
              <w:pStyle w:val="Obsahtabuky"/>
              <w:rPr/>
            </w:pPr>
            <w:r>
              <w:rPr/>
              <w:t> </w:t>
            </w:r>
          </w:p>
        </w:tc>
      </w:tr>
      <w:tr>
        <w:trPr>
          <w:trHeight w:val="300" w:hRule="atLeast"/>
        </w:trPr>
        <w:tc>
          <w:tcPr>
            <w:tcW w:w="2805" w:type="dxa"/>
            <w:tcBorders/>
            <w:shd w:fill="FFFFFF" w:val="clear"/>
            <w:vAlign w:val="center"/>
          </w:tcPr>
          <w:p>
            <w:pPr>
              <w:pStyle w:val="Obsahtabuky"/>
              <w:rPr/>
            </w:pPr>
            <w:r>
              <w:rPr/>
              <w:t>Pohľadávky z obchodného styku</w:t>
            </w:r>
          </w:p>
        </w:tc>
        <w:tc>
          <w:tcPr>
            <w:tcW w:w="2379" w:type="dxa"/>
            <w:tcBorders/>
            <w:shd w:fill="FFFFFF" w:val="clear"/>
            <w:vAlign w:val="center"/>
          </w:tcPr>
          <w:p>
            <w:pPr>
              <w:pStyle w:val="Obsahtabuky"/>
              <w:rPr/>
            </w:pPr>
            <w:r>
              <w:rPr/>
              <w:t xml:space="preserve">                   </w:t>
            </w:r>
            <w:r>
              <w:rPr/>
              <w:t>0</w:t>
            </w:r>
          </w:p>
        </w:tc>
        <w:tc>
          <w:tcPr>
            <w:tcW w:w="2391" w:type="dxa"/>
            <w:tcBorders/>
            <w:shd w:fill="FFFFFF" w:val="clear"/>
            <w:vAlign w:val="center"/>
          </w:tcPr>
          <w:p>
            <w:pPr>
              <w:pStyle w:val="Obsahtabuky"/>
              <w:jc w:val="center"/>
              <w:rPr/>
            </w:pPr>
            <w:r>
              <w:rPr/>
              <w:t>0</w:t>
            </w:r>
          </w:p>
        </w:tc>
      </w:tr>
      <w:tr>
        <w:trPr>
          <w:trHeight w:val="300" w:hRule="atLeast"/>
        </w:trPr>
        <w:tc>
          <w:tcPr>
            <w:tcW w:w="2805" w:type="dxa"/>
            <w:tcBorders/>
            <w:shd w:fill="FFFFFF" w:val="clear"/>
            <w:vAlign w:val="center"/>
          </w:tcPr>
          <w:p>
            <w:pPr>
              <w:pStyle w:val="Obsahtabuky"/>
              <w:rPr/>
            </w:pPr>
            <w:r>
              <w:rPr/>
              <w:t>Daňové pohľadávky</w:t>
            </w:r>
          </w:p>
        </w:tc>
        <w:tc>
          <w:tcPr>
            <w:tcW w:w="2379" w:type="dxa"/>
            <w:tcBorders/>
            <w:shd w:fill="FFFFFF" w:val="clear"/>
            <w:vAlign w:val="center"/>
          </w:tcPr>
          <w:p>
            <w:pPr>
              <w:pStyle w:val="Obsahtabuky"/>
              <w:rPr/>
            </w:pPr>
            <w:r>
              <w:rPr/>
              <w:t xml:space="preserve">                   </w:t>
            </w:r>
            <w:r>
              <w:rPr/>
              <w:t>0</w:t>
            </w:r>
          </w:p>
        </w:tc>
        <w:tc>
          <w:tcPr>
            <w:tcW w:w="2391" w:type="dxa"/>
            <w:tcBorders/>
            <w:shd w:fill="FFFFFF" w:val="clear"/>
            <w:vAlign w:val="center"/>
          </w:tcPr>
          <w:p>
            <w:pPr>
              <w:pStyle w:val="Obsahtabuky"/>
              <w:jc w:val="center"/>
              <w:rPr/>
            </w:pPr>
            <w:r>
              <w:rPr/>
              <w:t>0</w:t>
            </w:r>
          </w:p>
        </w:tc>
      </w:tr>
      <w:tr>
        <w:trPr>
          <w:trHeight w:val="300" w:hRule="atLeast"/>
        </w:trPr>
        <w:tc>
          <w:tcPr>
            <w:tcW w:w="2805" w:type="dxa"/>
            <w:tcBorders/>
            <w:shd w:fill="FFFFFF" w:val="clear"/>
            <w:vAlign w:val="center"/>
          </w:tcPr>
          <w:p>
            <w:pPr>
              <w:pStyle w:val="Obsahtabuky"/>
              <w:rPr/>
            </w:pPr>
            <w:r>
              <w:rPr/>
              <w:t>Ostatné pohľadávky</w:t>
            </w:r>
          </w:p>
        </w:tc>
        <w:tc>
          <w:tcPr>
            <w:tcW w:w="2379" w:type="dxa"/>
            <w:tcBorders/>
            <w:shd w:fill="FFFFFF" w:val="clear"/>
            <w:vAlign w:val="center"/>
          </w:tcPr>
          <w:p>
            <w:pPr>
              <w:pStyle w:val="Obsahtabuky"/>
              <w:rPr/>
            </w:pPr>
            <w:r>
              <w:rPr/>
              <w:t> </w:t>
            </w:r>
          </w:p>
        </w:tc>
        <w:tc>
          <w:tcPr>
            <w:tcW w:w="2391" w:type="dxa"/>
            <w:tcBorders/>
            <w:shd w:fill="FFFFFF" w:val="clear"/>
            <w:vAlign w:val="center"/>
          </w:tcPr>
          <w:p>
            <w:pPr>
              <w:pStyle w:val="Obsahtabuky"/>
              <w:jc w:val="center"/>
              <w:rPr/>
            </w:pPr>
            <w:r>
              <w:rPr/>
            </w:r>
          </w:p>
        </w:tc>
      </w:tr>
      <w:tr>
        <w:trPr>
          <w:trHeight w:val="315" w:hRule="atLeast"/>
        </w:trPr>
        <w:tc>
          <w:tcPr>
            <w:tcW w:w="2805" w:type="dxa"/>
            <w:tcBorders/>
            <w:shd w:fill="FFFFFF" w:val="clear"/>
            <w:vAlign w:val="center"/>
          </w:tcPr>
          <w:p>
            <w:pPr>
              <w:pStyle w:val="Obsahtabuky"/>
              <w:rPr/>
            </w:pPr>
            <w:r>
              <w:rPr/>
              <w:t> </w:t>
            </w:r>
          </w:p>
        </w:tc>
        <w:tc>
          <w:tcPr>
            <w:tcW w:w="2379" w:type="dxa"/>
            <w:tcBorders/>
            <w:shd w:fill="FFFFFF" w:val="clear"/>
            <w:vAlign w:val="center"/>
          </w:tcPr>
          <w:p>
            <w:pPr>
              <w:pStyle w:val="Obsahtabuky"/>
              <w:rPr/>
            </w:pPr>
            <w:r>
              <w:rPr/>
              <w:t> </w:t>
            </w:r>
          </w:p>
        </w:tc>
        <w:tc>
          <w:tcPr>
            <w:tcW w:w="2391" w:type="dxa"/>
            <w:tcBorders/>
            <w:shd w:fill="FFFFFF" w:val="clear"/>
            <w:vAlign w:val="center"/>
          </w:tcPr>
          <w:p>
            <w:pPr>
              <w:pStyle w:val="Obsahtabuky"/>
              <w:jc w:val="center"/>
              <w:rPr/>
            </w:pPr>
            <w:r>
              <w:rPr/>
            </w:r>
          </w:p>
        </w:tc>
      </w:tr>
      <w:tr>
        <w:trPr>
          <w:trHeight w:val="300" w:hRule="atLeast"/>
        </w:trPr>
        <w:tc>
          <w:tcPr>
            <w:tcW w:w="2805" w:type="dxa"/>
            <w:tcBorders/>
            <w:shd w:fill="FFFFFF" w:val="clear"/>
            <w:vAlign w:val="center"/>
          </w:tcPr>
          <w:p>
            <w:pPr>
              <w:pStyle w:val="Obsahtabuky"/>
              <w:rPr>
                <w:b/>
                <w:b/>
                <w:bCs/>
              </w:rPr>
            </w:pPr>
            <w:r>
              <w:rPr>
                <w:b/>
                <w:bCs/>
              </w:rPr>
              <w:t>Pohľadávky spolu:</w:t>
            </w:r>
          </w:p>
        </w:tc>
        <w:tc>
          <w:tcPr>
            <w:tcW w:w="2379" w:type="dxa"/>
            <w:tcBorders/>
            <w:shd w:fill="FFFFFF" w:val="clear"/>
            <w:vAlign w:val="center"/>
          </w:tcPr>
          <w:p>
            <w:pPr>
              <w:pStyle w:val="Obsahtabuky"/>
              <w:rPr/>
            </w:pPr>
            <w:r>
              <w:rPr>
                <w:b/>
                <w:bCs/>
              </w:rPr>
              <w:t xml:space="preserve">                   </w:t>
            </w:r>
            <w:r>
              <w:rPr>
                <w:b/>
                <w:bCs/>
              </w:rPr>
              <w:t>0</w:t>
            </w:r>
          </w:p>
        </w:tc>
        <w:tc>
          <w:tcPr>
            <w:tcW w:w="2391" w:type="dxa"/>
            <w:tcBorders/>
            <w:shd w:fill="FFFFFF" w:val="clear"/>
            <w:vAlign w:val="center"/>
          </w:tcPr>
          <w:p>
            <w:pPr>
              <w:pStyle w:val="Obsahtabuky"/>
              <w:jc w:val="center"/>
              <w:rPr>
                <w:b/>
                <w:b/>
                <w:bCs/>
              </w:rPr>
            </w:pPr>
            <w:r>
              <w:rPr>
                <w:b/>
                <w:bCs/>
              </w:rPr>
              <w:t>0</w:t>
            </w:r>
          </w:p>
        </w:tc>
      </w:tr>
      <w:tr>
        <w:trPr>
          <w:trHeight w:val="315" w:hRule="atLeast"/>
        </w:trPr>
        <w:tc>
          <w:tcPr>
            <w:tcW w:w="2805" w:type="dxa"/>
            <w:tcBorders/>
            <w:shd w:fill="FFFFFF" w:val="clear"/>
            <w:vAlign w:val="center"/>
          </w:tcPr>
          <w:p>
            <w:pPr>
              <w:pStyle w:val="Obsahtabuky"/>
              <w:rPr/>
            </w:pPr>
            <w:r>
              <w:rPr/>
              <w:t> </w:t>
            </w:r>
          </w:p>
        </w:tc>
        <w:tc>
          <w:tcPr>
            <w:tcW w:w="2379" w:type="dxa"/>
            <w:tcBorders/>
            <w:shd w:fill="FFFFFF" w:val="clear"/>
            <w:vAlign w:val="center"/>
          </w:tcPr>
          <w:p>
            <w:pPr>
              <w:pStyle w:val="Obsahtabuky"/>
              <w:rPr/>
            </w:pPr>
            <w:r>
              <w:rPr/>
              <w:t> </w:t>
            </w:r>
          </w:p>
        </w:tc>
        <w:tc>
          <w:tcPr>
            <w:tcW w:w="2391" w:type="dxa"/>
            <w:tcBorders/>
            <w:shd w:fill="FFFFFF" w:val="clear"/>
            <w:vAlign w:val="center"/>
          </w:tcPr>
          <w:p>
            <w:pPr>
              <w:pStyle w:val="Obsahtabuky"/>
              <w:jc w:val="center"/>
              <w:rPr/>
            </w:pPr>
            <w:r>
              <w:rPr/>
              <w:t> </w:t>
            </w:r>
          </w:p>
        </w:tc>
      </w:tr>
    </w:tbl>
    <w:p>
      <w:pPr>
        <w:pStyle w:val="Telotextu"/>
        <w:rPr>
          <w:b/>
          <w:b/>
          <w:bCs/>
          <w:sz w:val="18"/>
          <w:szCs w:val="18"/>
        </w:rPr>
      </w:pPr>
      <w:r>
        <w:rPr>
          <w:b/>
          <w:bCs/>
          <w:sz w:val="18"/>
          <w:szCs w:val="18"/>
        </w:rPr>
      </w:r>
    </w:p>
    <w:p>
      <w:pPr>
        <w:pStyle w:val="Telotextu"/>
        <w:rPr>
          <w:b w:val="false"/>
          <w:b w:val="false"/>
          <w:bCs w:val="false"/>
          <w:sz w:val="18"/>
          <w:szCs w:val="18"/>
        </w:rPr>
      </w:pPr>
      <w:r>
        <w:rPr>
          <w:b w:val="false"/>
          <w:bCs w:val="false"/>
          <w:sz w:val="18"/>
          <w:szCs w:val="18"/>
        </w:rPr>
        <w:t xml:space="preserve">V časti pohľadávok spoločnosť nevykazuje žiadne pohľadávky.  </w:t>
      </w:r>
    </w:p>
    <w:p>
      <w:pPr>
        <w:pStyle w:val="Telotextu"/>
        <w:rPr/>
      </w:pPr>
      <w:r>
        <w:rPr/>
      </w:r>
    </w:p>
    <w:p>
      <w:pPr>
        <w:pStyle w:val="Telotextu"/>
        <w:rPr/>
      </w:pPr>
      <w:r>
        <w:rPr>
          <w:b w:val="false"/>
          <w:bCs w:val="false"/>
          <w:sz w:val="18"/>
          <w:szCs w:val="18"/>
        </w:rPr>
        <w:t>Tým, že spoločnosť neeviduje k 31.12.201</w:t>
      </w:r>
      <w:r>
        <w:rPr>
          <w:b w:val="false"/>
          <w:bCs w:val="false"/>
          <w:sz w:val="18"/>
          <w:szCs w:val="18"/>
        </w:rPr>
        <w:t>9</w:t>
      </w:r>
      <w:r>
        <w:rPr>
          <w:b w:val="false"/>
          <w:bCs w:val="false"/>
          <w:sz w:val="18"/>
          <w:szCs w:val="18"/>
        </w:rPr>
        <w:t xml:space="preserve"> pohľadávky žiadne pohľadávky, nebolo </w:t>
      </w:r>
    </w:p>
    <w:p>
      <w:pPr>
        <w:pStyle w:val="Telotextu"/>
        <w:rPr>
          <w:b w:val="false"/>
          <w:b w:val="false"/>
          <w:bCs w:val="false"/>
          <w:sz w:val="18"/>
          <w:szCs w:val="18"/>
        </w:rPr>
      </w:pPr>
      <w:r>
        <w:rPr>
          <w:b w:val="false"/>
          <w:bCs w:val="false"/>
          <w:sz w:val="18"/>
          <w:szCs w:val="18"/>
        </w:rPr>
        <w:t>potrebné tvoriť opravné položky k pohľadávkam.</w:t>
      </w:r>
    </w:p>
    <w:p>
      <w:pPr>
        <w:pStyle w:val="Telotextu"/>
        <w:rPr>
          <w:b w:val="false"/>
          <w:b w:val="false"/>
          <w:bCs w:val="false"/>
          <w:sz w:val="18"/>
          <w:szCs w:val="18"/>
        </w:rPr>
      </w:pPr>
      <w:r>
        <w:rPr>
          <w:b w:val="false"/>
          <w:bCs w:val="false"/>
          <w:sz w:val="18"/>
          <w:szCs w:val="18"/>
        </w:rPr>
      </w:r>
    </w:p>
    <w:p>
      <w:pPr>
        <w:pStyle w:val="Telotextu"/>
        <w:rPr>
          <w:b/>
          <w:b/>
          <w:bCs/>
          <w:sz w:val="18"/>
          <w:szCs w:val="18"/>
        </w:rPr>
      </w:pPr>
      <w:r>
        <w:rPr>
          <w:b/>
          <w:bCs/>
          <w:sz w:val="18"/>
          <w:szCs w:val="18"/>
        </w:rPr>
        <w:t>3.  Krátkodobý finančný majetok</w:t>
      </w:r>
    </w:p>
    <w:p>
      <w:pPr>
        <w:pStyle w:val="Telotextu"/>
        <w:rPr>
          <w:b/>
          <w:b/>
          <w:bCs/>
          <w:sz w:val="18"/>
          <w:szCs w:val="18"/>
        </w:rPr>
      </w:pPr>
      <w:r>
        <w:rPr>
          <w:b/>
          <w:bCs/>
          <w:sz w:val="18"/>
          <w:szCs w:val="18"/>
        </w:rPr>
      </w:r>
    </w:p>
    <w:tbl>
      <w:tblPr>
        <w:tblW w:w="7575" w:type="dxa"/>
        <w:jc w:val="left"/>
        <w:tblInd w:w="0" w:type="dxa"/>
        <w:tblCellMar>
          <w:top w:w="0" w:type="dxa"/>
          <w:left w:w="0" w:type="dxa"/>
          <w:bottom w:w="0" w:type="dxa"/>
          <w:right w:w="0" w:type="dxa"/>
        </w:tblCellMar>
      </w:tblPr>
      <w:tblGrid>
        <w:gridCol w:w="2805"/>
        <w:gridCol w:w="2379"/>
        <w:gridCol w:w="2391"/>
      </w:tblGrid>
      <w:tr>
        <w:trPr>
          <w:trHeight w:val="300" w:hRule="atLeast"/>
        </w:trPr>
        <w:tc>
          <w:tcPr>
            <w:tcW w:w="2805" w:type="dxa"/>
            <w:tcBorders/>
            <w:shd w:fill="FFFFFF" w:val="clear"/>
            <w:vAlign w:val="center"/>
          </w:tcPr>
          <w:p>
            <w:pPr>
              <w:pStyle w:val="Obsahtabuky"/>
              <w:rPr/>
            </w:pPr>
            <w:r>
              <w:rPr/>
              <w:t> </w:t>
            </w:r>
          </w:p>
        </w:tc>
        <w:tc>
          <w:tcPr>
            <w:tcW w:w="2379" w:type="dxa"/>
            <w:tcBorders/>
            <w:shd w:fill="FFFFFF" w:val="clear"/>
            <w:vAlign w:val="center"/>
          </w:tcPr>
          <w:p>
            <w:pPr>
              <w:pStyle w:val="Obsahtabuky"/>
              <w:rPr>
                <w:b/>
                <w:b/>
                <w:bCs/>
              </w:rPr>
            </w:pPr>
            <w:r>
              <w:rPr>
                <w:b/>
                <w:bCs/>
              </w:rPr>
              <w:t>bežné účtovné obdobie</w:t>
            </w:r>
          </w:p>
        </w:tc>
        <w:tc>
          <w:tcPr>
            <w:tcW w:w="2391" w:type="dxa"/>
            <w:tcBorders/>
            <w:shd w:fill="FFFFFF" w:val="clear"/>
            <w:vAlign w:val="center"/>
          </w:tcPr>
          <w:p>
            <w:pPr>
              <w:pStyle w:val="Obsahtabuky"/>
              <w:rPr>
                <w:b/>
                <w:b/>
                <w:bCs/>
              </w:rPr>
            </w:pPr>
            <w:r>
              <w:rPr>
                <w:b/>
                <w:bCs/>
              </w:rPr>
              <w:t>bezprostredne predchádzajúce</w:t>
            </w:r>
          </w:p>
        </w:tc>
      </w:tr>
      <w:tr>
        <w:trPr>
          <w:trHeight w:val="300" w:hRule="atLeast"/>
        </w:trPr>
        <w:tc>
          <w:tcPr>
            <w:tcW w:w="2805" w:type="dxa"/>
            <w:tcBorders/>
            <w:shd w:fill="FFFFFF" w:val="clear"/>
            <w:vAlign w:val="center"/>
          </w:tcPr>
          <w:p>
            <w:pPr>
              <w:pStyle w:val="Obsahtabuky"/>
              <w:rPr/>
            </w:pPr>
            <w:r>
              <w:rPr/>
              <w:t> </w:t>
            </w:r>
          </w:p>
        </w:tc>
        <w:tc>
          <w:tcPr>
            <w:tcW w:w="2379" w:type="dxa"/>
            <w:tcBorders/>
            <w:shd w:fill="FFFFFF" w:val="clear"/>
            <w:vAlign w:val="center"/>
          </w:tcPr>
          <w:p>
            <w:pPr>
              <w:pStyle w:val="Obsahtabuky"/>
              <w:rPr>
                <w:b/>
                <w:b/>
                <w:bCs/>
              </w:rPr>
            </w:pPr>
            <w:r>
              <w:rPr>
                <w:b/>
                <w:bCs/>
              </w:rPr>
              <w:t>obdobie</w:t>
            </w:r>
          </w:p>
        </w:tc>
        <w:tc>
          <w:tcPr>
            <w:tcW w:w="2391" w:type="dxa"/>
            <w:tcBorders/>
            <w:shd w:fill="FFFFFF" w:val="clear"/>
            <w:vAlign w:val="center"/>
          </w:tcPr>
          <w:p>
            <w:pPr>
              <w:pStyle w:val="Obsahtabuky"/>
              <w:rPr>
                <w:b/>
                <w:b/>
                <w:bCs/>
              </w:rPr>
            </w:pPr>
            <w:r>
              <w:rPr>
                <w:b/>
                <w:bCs/>
              </w:rPr>
              <w:t>účtovné obdobie</w:t>
            </w:r>
          </w:p>
        </w:tc>
      </w:tr>
      <w:tr>
        <w:trPr>
          <w:trHeight w:val="315" w:hRule="atLeast"/>
        </w:trPr>
        <w:tc>
          <w:tcPr>
            <w:tcW w:w="2805" w:type="dxa"/>
            <w:tcBorders/>
            <w:shd w:fill="FFFFFF" w:val="clear"/>
            <w:vAlign w:val="center"/>
          </w:tcPr>
          <w:p>
            <w:pPr>
              <w:pStyle w:val="Obsahtabuky"/>
              <w:rPr/>
            </w:pPr>
            <w:r>
              <w:rPr/>
              <w:t>Názov položky</w:t>
            </w:r>
          </w:p>
        </w:tc>
        <w:tc>
          <w:tcPr>
            <w:tcW w:w="2379" w:type="dxa"/>
            <w:tcBorders/>
            <w:shd w:fill="FFFFFF" w:val="clear"/>
            <w:vAlign w:val="center"/>
          </w:tcPr>
          <w:p>
            <w:pPr>
              <w:pStyle w:val="Obsahtabuky"/>
              <w:rPr/>
            </w:pPr>
            <w:r>
              <w:rPr/>
              <w:t> </w:t>
            </w:r>
          </w:p>
        </w:tc>
        <w:tc>
          <w:tcPr>
            <w:tcW w:w="2391" w:type="dxa"/>
            <w:tcBorders/>
            <w:shd w:fill="FFFFFF" w:val="clear"/>
            <w:vAlign w:val="center"/>
          </w:tcPr>
          <w:p>
            <w:pPr>
              <w:pStyle w:val="Obsahtabuky"/>
              <w:rPr/>
            </w:pPr>
            <w:r>
              <w:rPr/>
              <w:t> </w:t>
            </w:r>
          </w:p>
        </w:tc>
      </w:tr>
      <w:tr>
        <w:trPr>
          <w:trHeight w:val="300" w:hRule="atLeast"/>
        </w:trPr>
        <w:tc>
          <w:tcPr>
            <w:tcW w:w="2805" w:type="dxa"/>
            <w:tcBorders/>
            <w:shd w:fill="FFFFFF" w:val="clear"/>
            <w:vAlign w:val="center"/>
          </w:tcPr>
          <w:p>
            <w:pPr>
              <w:pStyle w:val="Obsahtabuky"/>
              <w:rPr/>
            </w:pPr>
            <w:r>
              <w:rPr/>
              <w:t> </w:t>
            </w:r>
          </w:p>
        </w:tc>
        <w:tc>
          <w:tcPr>
            <w:tcW w:w="2379" w:type="dxa"/>
            <w:tcBorders/>
            <w:shd w:fill="FFFFFF" w:val="clear"/>
            <w:vAlign w:val="center"/>
          </w:tcPr>
          <w:p>
            <w:pPr>
              <w:pStyle w:val="Obsahtabuky"/>
              <w:rPr/>
            </w:pPr>
            <w:r>
              <w:rPr/>
              <w:t> </w:t>
            </w:r>
          </w:p>
        </w:tc>
        <w:tc>
          <w:tcPr>
            <w:tcW w:w="2391" w:type="dxa"/>
            <w:tcBorders/>
            <w:shd w:fill="FFFFFF" w:val="clear"/>
            <w:vAlign w:val="center"/>
          </w:tcPr>
          <w:p>
            <w:pPr>
              <w:pStyle w:val="Obsahtabuky"/>
              <w:rPr/>
            </w:pPr>
            <w:r>
              <w:rPr/>
              <w:t> </w:t>
            </w:r>
          </w:p>
        </w:tc>
      </w:tr>
      <w:tr>
        <w:trPr>
          <w:trHeight w:val="300" w:hRule="atLeast"/>
        </w:trPr>
        <w:tc>
          <w:tcPr>
            <w:tcW w:w="2805" w:type="dxa"/>
            <w:tcBorders/>
            <w:shd w:fill="FFFFFF" w:val="clear"/>
            <w:vAlign w:val="center"/>
          </w:tcPr>
          <w:p>
            <w:pPr>
              <w:pStyle w:val="Obsahtabuky"/>
              <w:rPr/>
            </w:pPr>
            <w:r>
              <w:rPr/>
              <w:t>Pokladnica</w:t>
            </w:r>
          </w:p>
        </w:tc>
        <w:tc>
          <w:tcPr>
            <w:tcW w:w="2379" w:type="dxa"/>
            <w:tcBorders/>
            <w:shd w:fill="FFFFFF" w:val="clear"/>
            <w:vAlign w:val="center"/>
          </w:tcPr>
          <w:p>
            <w:pPr>
              <w:pStyle w:val="Obsahtabuky"/>
              <w:rPr/>
            </w:pPr>
            <w:r>
              <w:rPr/>
              <w:t xml:space="preserve">                   </w:t>
            </w:r>
            <w:r>
              <w:rPr/>
              <w:t>52</w:t>
            </w:r>
            <w:r>
              <w:rPr/>
              <w:t>58</w:t>
            </w:r>
            <w:r>
              <w:rPr/>
              <w:t xml:space="preserve"> </w:t>
            </w:r>
          </w:p>
        </w:tc>
        <w:tc>
          <w:tcPr>
            <w:tcW w:w="2391" w:type="dxa"/>
            <w:tcBorders/>
            <w:shd w:fill="FFFFFF" w:val="clear"/>
            <w:vAlign w:val="center"/>
          </w:tcPr>
          <w:p>
            <w:pPr>
              <w:pStyle w:val="Obsahtabuky"/>
              <w:rPr/>
            </w:pPr>
            <w:r>
              <w:rPr/>
              <w:t xml:space="preserve">          </w:t>
            </w:r>
            <w:r>
              <w:rPr/>
              <w:t>5258</w:t>
            </w:r>
          </w:p>
        </w:tc>
      </w:tr>
      <w:tr>
        <w:trPr>
          <w:trHeight w:val="300" w:hRule="atLeast"/>
        </w:trPr>
        <w:tc>
          <w:tcPr>
            <w:tcW w:w="2805" w:type="dxa"/>
            <w:tcBorders/>
            <w:shd w:fill="FFFFFF" w:val="clear"/>
            <w:vAlign w:val="center"/>
          </w:tcPr>
          <w:p>
            <w:pPr>
              <w:pStyle w:val="Obsahtabuky"/>
              <w:rPr/>
            </w:pPr>
            <w:r>
              <w:rPr/>
              <w:t>ceniny</w:t>
            </w:r>
          </w:p>
        </w:tc>
        <w:tc>
          <w:tcPr>
            <w:tcW w:w="2379" w:type="dxa"/>
            <w:tcBorders/>
            <w:shd w:fill="FFFFFF" w:val="clear"/>
            <w:vAlign w:val="center"/>
          </w:tcPr>
          <w:p>
            <w:pPr>
              <w:pStyle w:val="Obsahtabuky"/>
              <w:rPr/>
            </w:pPr>
            <w:r>
              <w:rPr/>
            </w:r>
          </w:p>
        </w:tc>
        <w:tc>
          <w:tcPr>
            <w:tcW w:w="2391" w:type="dxa"/>
            <w:tcBorders/>
            <w:shd w:fill="FFFFFF" w:val="clear"/>
            <w:vAlign w:val="center"/>
          </w:tcPr>
          <w:p>
            <w:pPr>
              <w:pStyle w:val="Obsahtabuky"/>
              <w:rPr/>
            </w:pPr>
            <w:r>
              <w:rPr/>
              <w:t> </w:t>
            </w:r>
          </w:p>
        </w:tc>
      </w:tr>
      <w:tr>
        <w:trPr>
          <w:trHeight w:val="300" w:hRule="atLeast"/>
        </w:trPr>
        <w:tc>
          <w:tcPr>
            <w:tcW w:w="2805" w:type="dxa"/>
            <w:tcBorders/>
            <w:shd w:fill="FFFFFF" w:val="clear"/>
            <w:vAlign w:val="center"/>
          </w:tcPr>
          <w:p>
            <w:pPr>
              <w:pStyle w:val="Obsahtabuky"/>
              <w:rPr/>
            </w:pPr>
            <w:r>
              <w:rPr/>
              <w:t>Bankový účet v mene EUR</w:t>
            </w:r>
          </w:p>
        </w:tc>
        <w:tc>
          <w:tcPr>
            <w:tcW w:w="2379" w:type="dxa"/>
            <w:tcBorders/>
            <w:shd w:fill="FFFFFF" w:val="clear"/>
            <w:vAlign w:val="center"/>
          </w:tcPr>
          <w:p>
            <w:pPr>
              <w:pStyle w:val="Obsahtabuky"/>
              <w:rPr/>
            </w:pPr>
            <w:r>
              <w:rPr/>
              <w:t xml:space="preserve">                   </w:t>
            </w:r>
            <w:r>
              <w:rPr/>
              <w:t>3650</w:t>
            </w:r>
          </w:p>
        </w:tc>
        <w:tc>
          <w:tcPr>
            <w:tcW w:w="2391" w:type="dxa"/>
            <w:tcBorders/>
            <w:shd w:fill="FFFFFF" w:val="clear"/>
            <w:vAlign w:val="center"/>
          </w:tcPr>
          <w:p>
            <w:pPr>
              <w:pStyle w:val="Obsahtabuky"/>
              <w:rPr/>
            </w:pPr>
            <w:r>
              <w:rPr/>
              <w:t xml:space="preserve">           </w:t>
            </w:r>
            <w:r>
              <w:rPr/>
              <w:t>4058</w:t>
            </w:r>
          </w:p>
        </w:tc>
      </w:tr>
      <w:tr>
        <w:trPr>
          <w:trHeight w:val="300" w:hRule="atLeast"/>
        </w:trPr>
        <w:tc>
          <w:tcPr>
            <w:tcW w:w="2805" w:type="dxa"/>
            <w:tcBorders/>
            <w:shd w:fill="FFFFFF" w:val="clear"/>
            <w:vAlign w:val="center"/>
          </w:tcPr>
          <w:p>
            <w:pPr>
              <w:pStyle w:val="Obsahtabuky"/>
              <w:rPr/>
            </w:pPr>
            <w:r>
              <w:rPr/>
              <w:t>Bankový účet v mene PLN</w:t>
            </w:r>
          </w:p>
        </w:tc>
        <w:tc>
          <w:tcPr>
            <w:tcW w:w="2379" w:type="dxa"/>
            <w:tcBorders/>
            <w:shd w:fill="FFFFFF" w:val="clear"/>
            <w:vAlign w:val="center"/>
          </w:tcPr>
          <w:p>
            <w:pPr>
              <w:pStyle w:val="Obsahtabuky"/>
              <w:rPr/>
            </w:pPr>
            <w:r>
              <w:rPr/>
            </w:r>
          </w:p>
        </w:tc>
        <w:tc>
          <w:tcPr>
            <w:tcW w:w="2391" w:type="dxa"/>
            <w:tcBorders/>
            <w:shd w:fill="FFFFFF" w:val="clear"/>
            <w:vAlign w:val="center"/>
          </w:tcPr>
          <w:p>
            <w:pPr>
              <w:pStyle w:val="Obsahtabuky"/>
              <w:rPr/>
            </w:pPr>
            <w:r>
              <w:rPr/>
            </w:r>
          </w:p>
        </w:tc>
      </w:tr>
      <w:tr>
        <w:trPr>
          <w:trHeight w:val="300" w:hRule="atLeast"/>
        </w:trPr>
        <w:tc>
          <w:tcPr>
            <w:tcW w:w="2805" w:type="dxa"/>
            <w:tcBorders/>
            <w:shd w:fill="FFFFFF" w:val="clear"/>
            <w:vAlign w:val="center"/>
          </w:tcPr>
          <w:p>
            <w:pPr>
              <w:pStyle w:val="Obsahtabuky"/>
              <w:rPr/>
            </w:pPr>
            <w:r>
              <w:rPr/>
              <w:t>PeyPal</w:t>
            </w:r>
          </w:p>
        </w:tc>
        <w:tc>
          <w:tcPr>
            <w:tcW w:w="2379" w:type="dxa"/>
            <w:tcBorders/>
            <w:shd w:fill="FFFFFF" w:val="clear"/>
            <w:vAlign w:val="center"/>
          </w:tcPr>
          <w:p>
            <w:pPr>
              <w:pStyle w:val="Obsahtabuky"/>
              <w:rPr/>
            </w:pPr>
            <w:r>
              <w:rPr/>
            </w:r>
          </w:p>
        </w:tc>
        <w:tc>
          <w:tcPr>
            <w:tcW w:w="2391" w:type="dxa"/>
            <w:tcBorders/>
            <w:shd w:fill="FFFFFF" w:val="clear"/>
            <w:vAlign w:val="center"/>
          </w:tcPr>
          <w:p>
            <w:pPr>
              <w:pStyle w:val="Obsahtabuky"/>
              <w:rPr/>
            </w:pPr>
            <w:r>
              <w:rPr/>
            </w:r>
          </w:p>
        </w:tc>
      </w:tr>
      <w:tr>
        <w:trPr>
          <w:trHeight w:val="315" w:hRule="atLeast"/>
        </w:trPr>
        <w:tc>
          <w:tcPr>
            <w:tcW w:w="2805" w:type="dxa"/>
            <w:tcBorders/>
            <w:shd w:fill="FFFFFF" w:val="clear"/>
            <w:vAlign w:val="center"/>
          </w:tcPr>
          <w:p>
            <w:pPr>
              <w:pStyle w:val="Obsahtabuky"/>
              <w:rPr/>
            </w:pPr>
            <w:r>
              <w:rPr/>
              <w:t>Peniaze na ceste</w:t>
            </w:r>
          </w:p>
        </w:tc>
        <w:tc>
          <w:tcPr>
            <w:tcW w:w="2379" w:type="dxa"/>
            <w:tcBorders/>
            <w:shd w:fill="FFFFFF" w:val="clear"/>
            <w:vAlign w:val="center"/>
          </w:tcPr>
          <w:p>
            <w:pPr>
              <w:pStyle w:val="Obsahtabuky"/>
              <w:rPr/>
            </w:pPr>
            <w:r>
              <w:rPr/>
            </w:r>
          </w:p>
        </w:tc>
        <w:tc>
          <w:tcPr>
            <w:tcW w:w="2391" w:type="dxa"/>
            <w:tcBorders/>
            <w:shd w:fill="FFFFFF" w:val="clear"/>
            <w:vAlign w:val="center"/>
          </w:tcPr>
          <w:p>
            <w:pPr>
              <w:pStyle w:val="Obsahtabuky"/>
              <w:rPr/>
            </w:pPr>
            <w:r>
              <w:rPr/>
              <w:t> </w:t>
            </w:r>
          </w:p>
        </w:tc>
      </w:tr>
      <w:tr>
        <w:trPr>
          <w:trHeight w:val="315" w:hRule="atLeast"/>
        </w:trPr>
        <w:tc>
          <w:tcPr>
            <w:tcW w:w="2805" w:type="dxa"/>
            <w:tcBorders/>
            <w:shd w:fill="FFFFFF" w:val="clear"/>
            <w:vAlign w:val="center"/>
          </w:tcPr>
          <w:p>
            <w:pPr>
              <w:pStyle w:val="Obsahtabuky"/>
              <w:rPr>
                <w:b/>
                <w:b/>
                <w:bCs/>
              </w:rPr>
            </w:pPr>
            <w:r>
              <w:rPr/>
              <w:t> </w:t>
            </w:r>
            <w:r>
              <w:rPr>
                <w:b/>
                <w:bCs/>
              </w:rPr>
              <w:t>Spolu:</w:t>
            </w:r>
          </w:p>
        </w:tc>
        <w:tc>
          <w:tcPr>
            <w:tcW w:w="2379" w:type="dxa"/>
            <w:tcBorders/>
            <w:shd w:fill="FFFFFF" w:val="clear"/>
            <w:vAlign w:val="center"/>
          </w:tcPr>
          <w:p>
            <w:pPr>
              <w:pStyle w:val="Obsahtabuky"/>
              <w:rPr/>
            </w:pPr>
            <w:r>
              <w:rPr>
                <w:b/>
                <w:bCs/>
              </w:rPr>
              <w:t xml:space="preserve">                    </w:t>
            </w:r>
            <w:r>
              <w:rPr>
                <w:b/>
                <w:bCs/>
              </w:rPr>
              <w:t>8908</w:t>
            </w:r>
          </w:p>
        </w:tc>
        <w:tc>
          <w:tcPr>
            <w:tcW w:w="2391" w:type="dxa"/>
            <w:tcBorders/>
            <w:shd w:fill="FFFFFF" w:val="clear"/>
            <w:vAlign w:val="center"/>
          </w:tcPr>
          <w:p>
            <w:pPr>
              <w:pStyle w:val="Obsahtabuky"/>
              <w:rPr/>
            </w:pPr>
            <w:r>
              <w:rPr>
                <w:b/>
                <w:bCs/>
              </w:rPr>
              <w:t xml:space="preserve">            </w:t>
            </w:r>
            <w:r>
              <w:rPr>
                <w:b/>
                <w:bCs/>
              </w:rPr>
              <w:t>9316</w:t>
            </w:r>
          </w:p>
        </w:tc>
      </w:tr>
    </w:tbl>
    <w:p>
      <w:pPr>
        <w:pStyle w:val="Telotextu"/>
        <w:rPr>
          <w:b/>
          <w:b/>
          <w:bCs/>
          <w:sz w:val="18"/>
          <w:szCs w:val="18"/>
        </w:rPr>
      </w:pPr>
      <w:r>
        <w:rPr>
          <w:b/>
          <w:bCs/>
          <w:sz w:val="18"/>
          <w:szCs w:val="18"/>
        </w:rPr>
      </w:r>
    </w:p>
    <w:p>
      <w:pPr>
        <w:pStyle w:val="Telotextu"/>
        <w:rPr>
          <w:b w:val="false"/>
          <w:b w:val="false"/>
          <w:bCs w:val="false"/>
          <w:sz w:val="18"/>
          <w:szCs w:val="18"/>
        </w:rPr>
      </w:pPr>
      <w:r>
        <w:rPr>
          <w:b w:val="false"/>
          <w:bCs w:val="false"/>
          <w:sz w:val="18"/>
          <w:szCs w:val="18"/>
        </w:rPr>
        <w:t>Spoločnosť má zriadený  účt vo Fio banke, a.s., pobočka zahraničnej banky, Nám.</w:t>
      </w:r>
    </w:p>
    <w:p>
      <w:pPr>
        <w:pStyle w:val="Telotextu"/>
        <w:rPr>
          <w:b w:val="false"/>
          <w:b w:val="false"/>
          <w:bCs w:val="false"/>
          <w:sz w:val="18"/>
          <w:szCs w:val="18"/>
        </w:rPr>
      </w:pPr>
      <w:r>
        <w:rPr>
          <w:b w:val="false"/>
          <w:bCs w:val="false"/>
          <w:sz w:val="18"/>
          <w:szCs w:val="18"/>
        </w:rPr>
        <w:t>SNP 21, Bratislava.</w:t>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b/>
          <w:bCs/>
          <w:sz w:val="18"/>
          <w:szCs w:val="18"/>
        </w:rPr>
      </w:pPr>
      <w:r>
        <w:rPr>
          <w:b/>
          <w:bCs/>
          <w:sz w:val="18"/>
          <w:szCs w:val="18"/>
        </w:rPr>
        <w:t>4.  Informácie o rozdelení účtovného zisku alebo vysporiadanie účtovnej straty.</w:t>
      </w:r>
    </w:p>
    <w:p>
      <w:pPr>
        <w:pStyle w:val="Telotextu"/>
        <w:rPr>
          <w:b/>
          <w:b/>
          <w:bCs/>
          <w:sz w:val="18"/>
          <w:szCs w:val="18"/>
        </w:rPr>
      </w:pPr>
      <w:r>
        <w:rPr>
          <w:b/>
          <w:bCs/>
          <w:sz w:val="18"/>
          <w:szCs w:val="18"/>
        </w:rPr>
      </w:r>
    </w:p>
    <w:tbl>
      <w:tblPr>
        <w:tblW w:w="7180" w:type="dxa"/>
        <w:jc w:val="left"/>
        <w:tblInd w:w="0" w:type="dxa"/>
        <w:tblCellMar>
          <w:top w:w="0" w:type="dxa"/>
          <w:left w:w="0" w:type="dxa"/>
          <w:bottom w:w="0" w:type="dxa"/>
          <w:right w:w="0" w:type="dxa"/>
        </w:tblCellMar>
      </w:tblPr>
      <w:tblGrid>
        <w:gridCol w:w="4130"/>
        <w:gridCol w:w="3049"/>
      </w:tblGrid>
      <w:tr>
        <w:trPr>
          <w:trHeight w:val="315" w:hRule="atLeast"/>
        </w:trPr>
        <w:tc>
          <w:tcPr>
            <w:tcW w:w="4130" w:type="dxa"/>
            <w:tcBorders/>
            <w:shd w:fill="FFFFFF" w:val="clear"/>
            <w:vAlign w:val="center"/>
          </w:tcPr>
          <w:p>
            <w:pPr>
              <w:pStyle w:val="Obsahtabuky"/>
              <w:rPr/>
            </w:pPr>
            <w:r>
              <w:rPr/>
              <w:t>tabuľka č. 1</w:t>
            </w:r>
          </w:p>
        </w:tc>
        <w:tc>
          <w:tcPr>
            <w:tcW w:w="3049" w:type="dxa"/>
            <w:tcBorders/>
            <w:shd w:fill="FFFFFF" w:val="clear"/>
            <w:vAlign w:val="center"/>
          </w:tcPr>
          <w:p>
            <w:pPr>
              <w:pStyle w:val="Obsahtabuky"/>
              <w:rPr>
                <w:sz w:val="4"/>
                <w:szCs w:val="4"/>
              </w:rPr>
            </w:pPr>
            <w:r>
              <w:rPr>
                <w:sz w:val="4"/>
                <w:szCs w:val="4"/>
              </w:rPr>
            </w:r>
          </w:p>
        </w:tc>
      </w:tr>
      <w:tr>
        <w:trPr>
          <w:trHeight w:val="300" w:hRule="atLeast"/>
        </w:trPr>
        <w:tc>
          <w:tcPr>
            <w:tcW w:w="4130" w:type="dxa"/>
            <w:tcBorders/>
            <w:shd w:fill="FFFFFF" w:val="clear"/>
            <w:vAlign w:val="center"/>
          </w:tcPr>
          <w:p>
            <w:pPr>
              <w:pStyle w:val="Obsahtabuky"/>
              <w:rPr>
                <w:b/>
                <w:b/>
                <w:bCs/>
              </w:rPr>
            </w:pPr>
            <w:r>
              <w:rPr/>
              <w:t>N</w:t>
            </w:r>
            <w:r>
              <w:rPr>
                <w:b/>
                <w:bCs/>
              </w:rPr>
              <w:t>ázov položky</w:t>
            </w:r>
          </w:p>
        </w:tc>
        <w:tc>
          <w:tcPr>
            <w:tcW w:w="3049" w:type="dxa"/>
            <w:tcBorders/>
            <w:shd w:fill="FFFFFF" w:val="clear"/>
            <w:vAlign w:val="center"/>
          </w:tcPr>
          <w:p>
            <w:pPr>
              <w:pStyle w:val="Obsahtabuky"/>
              <w:rPr>
                <w:b/>
                <w:b/>
                <w:bCs/>
              </w:rPr>
            </w:pPr>
            <w:r>
              <w:rPr>
                <w:b/>
                <w:bCs/>
              </w:rPr>
              <w:t>Bezprostredne predchádzajúce</w:t>
            </w:r>
          </w:p>
        </w:tc>
      </w:tr>
      <w:tr>
        <w:trPr>
          <w:trHeight w:val="315" w:hRule="atLeast"/>
        </w:trPr>
        <w:tc>
          <w:tcPr>
            <w:tcW w:w="4130" w:type="dxa"/>
            <w:tcBorders/>
            <w:shd w:fill="FFFFFF" w:val="clear"/>
            <w:vAlign w:val="center"/>
          </w:tcPr>
          <w:p>
            <w:pPr>
              <w:pStyle w:val="Obsahtabuky"/>
              <w:rPr/>
            </w:pPr>
            <w:r>
              <w:rPr/>
              <w:t> </w:t>
            </w:r>
          </w:p>
        </w:tc>
        <w:tc>
          <w:tcPr>
            <w:tcW w:w="3049" w:type="dxa"/>
            <w:tcBorders/>
            <w:shd w:fill="FFFFFF" w:val="clear"/>
            <w:vAlign w:val="center"/>
          </w:tcPr>
          <w:p>
            <w:pPr>
              <w:pStyle w:val="Obsahtabuky"/>
              <w:jc w:val="center"/>
              <w:rPr>
                <w:b/>
                <w:b/>
                <w:bCs/>
              </w:rPr>
            </w:pPr>
            <w:r>
              <w:rPr>
                <w:b/>
                <w:bCs/>
              </w:rPr>
              <w:t>účtovné obdobie</w:t>
            </w:r>
          </w:p>
        </w:tc>
      </w:tr>
      <w:tr>
        <w:trPr>
          <w:trHeight w:val="300" w:hRule="atLeast"/>
        </w:trPr>
        <w:tc>
          <w:tcPr>
            <w:tcW w:w="4130" w:type="dxa"/>
            <w:tcBorders/>
            <w:shd w:fill="FFFFFF" w:val="clear"/>
            <w:vAlign w:val="center"/>
          </w:tcPr>
          <w:p>
            <w:pPr>
              <w:pStyle w:val="Obsahtabuky"/>
              <w:rPr>
                <w:b/>
                <w:b/>
                <w:bCs/>
              </w:rPr>
            </w:pPr>
            <w:r>
              <w:rPr>
                <w:b/>
                <w:bCs/>
              </w:rPr>
              <w:t>Účtovný zisk</w:t>
            </w:r>
          </w:p>
        </w:tc>
        <w:tc>
          <w:tcPr>
            <w:tcW w:w="3049" w:type="dxa"/>
            <w:tcBorders/>
            <w:shd w:fill="FFFFFF" w:val="clear"/>
            <w:vAlign w:val="center"/>
          </w:tcPr>
          <w:p>
            <w:pPr>
              <w:pStyle w:val="Obsahtabuky"/>
              <w:rPr/>
            </w:pPr>
            <w:r>
              <w:rPr/>
              <w:t xml:space="preserve">                   </w:t>
            </w:r>
            <w:r>
              <w:rPr/>
              <w:t>1534</w:t>
            </w:r>
          </w:p>
        </w:tc>
      </w:tr>
      <w:tr>
        <w:trPr>
          <w:trHeight w:val="300" w:hRule="atLeast"/>
        </w:trPr>
        <w:tc>
          <w:tcPr>
            <w:tcW w:w="4130" w:type="dxa"/>
            <w:tcBorders/>
            <w:shd w:fill="FFFFFF" w:val="clear"/>
            <w:vAlign w:val="center"/>
          </w:tcPr>
          <w:p>
            <w:pPr>
              <w:pStyle w:val="Obsahtabuky"/>
              <w:rPr/>
            </w:pPr>
            <w:r>
              <w:rPr/>
              <w:t> </w:t>
            </w:r>
          </w:p>
        </w:tc>
        <w:tc>
          <w:tcPr>
            <w:tcW w:w="3049" w:type="dxa"/>
            <w:tcBorders/>
            <w:shd w:fill="FFFFFF" w:val="clear"/>
            <w:vAlign w:val="center"/>
          </w:tcPr>
          <w:p>
            <w:pPr>
              <w:pStyle w:val="Obsahtabuky"/>
              <w:rPr/>
            </w:pPr>
            <w:r>
              <w:rPr/>
              <w:t> </w:t>
            </w:r>
          </w:p>
        </w:tc>
      </w:tr>
      <w:tr>
        <w:trPr>
          <w:trHeight w:val="300" w:hRule="atLeast"/>
        </w:trPr>
        <w:tc>
          <w:tcPr>
            <w:tcW w:w="4130" w:type="dxa"/>
            <w:tcBorders/>
            <w:shd w:fill="FFFFFF" w:val="clear"/>
            <w:vAlign w:val="center"/>
          </w:tcPr>
          <w:p>
            <w:pPr>
              <w:pStyle w:val="Obsahtabuky"/>
              <w:rPr/>
            </w:pPr>
            <w:r>
              <w:rPr/>
              <w:t>Rozdelenie účtovného zisku</w:t>
            </w:r>
          </w:p>
        </w:tc>
        <w:tc>
          <w:tcPr>
            <w:tcW w:w="3049" w:type="dxa"/>
            <w:tcBorders/>
            <w:shd w:fill="FFFFFF" w:val="clear"/>
            <w:vAlign w:val="center"/>
          </w:tcPr>
          <w:p>
            <w:pPr>
              <w:pStyle w:val="Obsahtabuky"/>
              <w:jc w:val="center"/>
              <w:rPr>
                <w:b/>
                <w:b/>
                <w:bCs/>
              </w:rPr>
            </w:pPr>
            <w:r>
              <w:rPr>
                <w:b/>
                <w:bCs/>
              </w:rPr>
              <w:t>Bežné účtovné obdobie</w:t>
            </w:r>
          </w:p>
        </w:tc>
      </w:tr>
      <w:tr>
        <w:trPr>
          <w:trHeight w:val="300" w:hRule="atLeast"/>
        </w:trPr>
        <w:tc>
          <w:tcPr>
            <w:tcW w:w="4130" w:type="dxa"/>
            <w:tcBorders/>
            <w:shd w:fill="FFFFFF" w:val="clear"/>
            <w:vAlign w:val="center"/>
          </w:tcPr>
          <w:p>
            <w:pPr>
              <w:pStyle w:val="Obsahtabuky"/>
              <w:rPr/>
            </w:pPr>
            <w:r>
              <w:rPr/>
              <w:t>Prídel do zákonného rezervného fondu</w:t>
            </w:r>
          </w:p>
        </w:tc>
        <w:tc>
          <w:tcPr>
            <w:tcW w:w="3049" w:type="dxa"/>
            <w:tcBorders/>
            <w:shd w:fill="FFFFFF" w:val="clear"/>
            <w:vAlign w:val="center"/>
          </w:tcPr>
          <w:p>
            <w:pPr>
              <w:pStyle w:val="Obsahtabuky"/>
              <w:rPr/>
            </w:pPr>
            <w:r>
              <w:rPr/>
              <w:t xml:space="preserve">                    </w:t>
            </w:r>
            <w:r>
              <w:rPr/>
              <w:t>144</w:t>
            </w:r>
          </w:p>
        </w:tc>
      </w:tr>
      <w:tr>
        <w:trPr>
          <w:trHeight w:val="300" w:hRule="atLeast"/>
        </w:trPr>
        <w:tc>
          <w:tcPr>
            <w:tcW w:w="4130" w:type="dxa"/>
            <w:tcBorders/>
            <w:shd w:fill="FFFFFF" w:val="clear"/>
            <w:vAlign w:val="center"/>
          </w:tcPr>
          <w:p>
            <w:pPr>
              <w:pStyle w:val="Obsahtabuky"/>
              <w:rPr/>
            </w:pPr>
            <w:r>
              <w:rPr/>
              <w:t>Prídel do štatutárnych a ostatných fondov</w:t>
            </w:r>
          </w:p>
        </w:tc>
        <w:tc>
          <w:tcPr>
            <w:tcW w:w="3049" w:type="dxa"/>
            <w:tcBorders/>
            <w:shd w:fill="FFFFFF" w:val="clear"/>
            <w:vAlign w:val="center"/>
          </w:tcPr>
          <w:p>
            <w:pPr>
              <w:pStyle w:val="Obsahtabuky"/>
              <w:rPr/>
            </w:pPr>
            <w:r>
              <w:rPr/>
              <w:t> </w:t>
            </w:r>
          </w:p>
        </w:tc>
      </w:tr>
      <w:tr>
        <w:trPr>
          <w:trHeight w:val="300" w:hRule="atLeast"/>
        </w:trPr>
        <w:tc>
          <w:tcPr>
            <w:tcW w:w="4130" w:type="dxa"/>
            <w:tcBorders/>
            <w:shd w:fill="FFFFFF" w:val="clear"/>
            <w:vAlign w:val="center"/>
          </w:tcPr>
          <w:p>
            <w:pPr>
              <w:pStyle w:val="Obsahtabuky"/>
              <w:rPr/>
            </w:pPr>
            <w:r>
              <w:rPr/>
              <w:t>Prídel do sociálneho fondu</w:t>
            </w:r>
          </w:p>
        </w:tc>
        <w:tc>
          <w:tcPr>
            <w:tcW w:w="3049" w:type="dxa"/>
            <w:tcBorders/>
            <w:shd w:fill="FFFFFF" w:val="clear"/>
            <w:vAlign w:val="center"/>
          </w:tcPr>
          <w:p>
            <w:pPr>
              <w:pStyle w:val="Obsahtabuky"/>
              <w:rPr/>
            </w:pPr>
            <w:r>
              <w:rPr/>
              <w:t> </w:t>
            </w:r>
          </w:p>
        </w:tc>
      </w:tr>
      <w:tr>
        <w:trPr>
          <w:trHeight w:val="300" w:hRule="atLeast"/>
        </w:trPr>
        <w:tc>
          <w:tcPr>
            <w:tcW w:w="4130" w:type="dxa"/>
            <w:tcBorders/>
            <w:shd w:fill="FFFFFF" w:val="clear"/>
            <w:vAlign w:val="center"/>
          </w:tcPr>
          <w:p>
            <w:pPr>
              <w:pStyle w:val="Obsahtabuky"/>
              <w:rPr/>
            </w:pPr>
            <w:r>
              <w:rPr/>
              <w:t>Prídel na zvýšenie základného imania</w:t>
            </w:r>
          </w:p>
        </w:tc>
        <w:tc>
          <w:tcPr>
            <w:tcW w:w="3049" w:type="dxa"/>
            <w:tcBorders/>
            <w:shd w:fill="FFFFFF" w:val="clear"/>
            <w:vAlign w:val="center"/>
          </w:tcPr>
          <w:p>
            <w:pPr>
              <w:pStyle w:val="Obsahtabuky"/>
              <w:rPr/>
            </w:pPr>
            <w:r>
              <w:rPr/>
              <w:t> </w:t>
            </w:r>
          </w:p>
        </w:tc>
      </w:tr>
      <w:tr>
        <w:trPr>
          <w:trHeight w:val="300" w:hRule="atLeast"/>
        </w:trPr>
        <w:tc>
          <w:tcPr>
            <w:tcW w:w="4130" w:type="dxa"/>
            <w:tcBorders/>
            <w:shd w:fill="FFFFFF" w:val="clear"/>
            <w:vAlign w:val="center"/>
          </w:tcPr>
          <w:p>
            <w:pPr>
              <w:pStyle w:val="Obsahtabuky"/>
              <w:rPr/>
            </w:pPr>
            <w:r>
              <w:rPr/>
              <w:t>Úhrada straty minulých období</w:t>
            </w:r>
          </w:p>
        </w:tc>
        <w:tc>
          <w:tcPr>
            <w:tcW w:w="3049" w:type="dxa"/>
            <w:tcBorders/>
            <w:shd w:fill="FFFFFF" w:val="clear"/>
            <w:vAlign w:val="center"/>
          </w:tcPr>
          <w:p>
            <w:pPr>
              <w:pStyle w:val="Obsahtabuky"/>
              <w:rPr/>
            </w:pPr>
            <w:r>
              <w:rPr/>
              <w:t> </w:t>
            </w:r>
          </w:p>
        </w:tc>
      </w:tr>
      <w:tr>
        <w:trPr>
          <w:trHeight w:val="300" w:hRule="atLeast"/>
        </w:trPr>
        <w:tc>
          <w:tcPr>
            <w:tcW w:w="4130" w:type="dxa"/>
            <w:tcBorders/>
            <w:shd w:fill="FFFFFF" w:val="clear"/>
            <w:vAlign w:val="center"/>
          </w:tcPr>
          <w:p>
            <w:pPr>
              <w:pStyle w:val="Obsahtabuky"/>
              <w:rPr/>
            </w:pPr>
            <w:r>
              <w:rPr/>
              <w:t>Prevod do nerozdeleného zisku minulých rokov</w:t>
            </w:r>
          </w:p>
        </w:tc>
        <w:tc>
          <w:tcPr>
            <w:tcW w:w="3049" w:type="dxa"/>
            <w:tcBorders/>
            <w:shd w:fill="FFFFFF" w:val="clear"/>
            <w:vAlign w:val="center"/>
          </w:tcPr>
          <w:p>
            <w:pPr>
              <w:pStyle w:val="Obsahtabuky"/>
              <w:rPr/>
            </w:pPr>
            <w:r>
              <w:rPr/>
              <w:t xml:space="preserve">                 </w:t>
            </w:r>
            <w:r>
              <w:rPr/>
              <w:t>1390</w:t>
            </w:r>
            <w:r>
              <w:rPr/>
              <w:t xml:space="preserve">   </w:t>
            </w:r>
          </w:p>
        </w:tc>
      </w:tr>
      <w:tr>
        <w:trPr>
          <w:trHeight w:val="300" w:hRule="atLeast"/>
        </w:trPr>
        <w:tc>
          <w:tcPr>
            <w:tcW w:w="4130" w:type="dxa"/>
            <w:tcBorders/>
            <w:shd w:fill="FFFFFF" w:val="clear"/>
            <w:vAlign w:val="center"/>
          </w:tcPr>
          <w:p>
            <w:pPr>
              <w:pStyle w:val="Obsahtabuky"/>
              <w:rPr/>
            </w:pPr>
            <w:r>
              <w:rPr/>
              <w:t>Rozdelenie podielu na zisku spoločníkom</w:t>
            </w:r>
          </w:p>
        </w:tc>
        <w:tc>
          <w:tcPr>
            <w:tcW w:w="3049" w:type="dxa"/>
            <w:tcBorders/>
            <w:shd w:fill="FFFFFF" w:val="clear"/>
            <w:vAlign w:val="center"/>
          </w:tcPr>
          <w:p>
            <w:pPr>
              <w:pStyle w:val="Obsahtabuky"/>
              <w:rPr/>
            </w:pPr>
            <w:r>
              <w:rPr/>
              <w:t> </w:t>
            </w:r>
          </w:p>
        </w:tc>
      </w:tr>
      <w:tr>
        <w:trPr>
          <w:trHeight w:val="300" w:hRule="atLeast"/>
        </w:trPr>
        <w:tc>
          <w:tcPr>
            <w:tcW w:w="4130" w:type="dxa"/>
            <w:tcBorders/>
            <w:shd w:fill="FFFFFF" w:val="clear"/>
            <w:vAlign w:val="center"/>
          </w:tcPr>
          <w:p>
            <w:pPr>
              <w:pStyle w:val="Obsahtabuky"/>
              <w:rPr/>
            </w:pPr>
            <w:r>
              <w:rPr/>
            </w:r>
          </w:p>
        </w:tc>
        <w:tc>
          <w:tcPr>
            <w:tcW w:w="3049" w:type="dxa"/>
            <w:tcBorders/>
            <w:shd w:fill="FFFFFF" w:val="clear"/>
            <w:vAlign w:val="center"/>
          </w:tcPr>
          <w:p>
            <w:pPr>
              <w:pStyle w:val="Obsahtabuky"/>
              <w:rPr/>
            </w:pPr>
            <w:r>
              <w:rPr/>
              <w:t xml:space="preserve">                      </w:t>
            </w:r>
          </w:p>
        </w:tc>
      </w:tr>
      <w:tr>
        <w:trPr>
          <w:trHeight w:val="315" w:hRule="atLeast"/>
        </w:trPr>
        <w:tc>
          <w:tcPr>
            <w:tcW w:w="4130" w:type="dxa"/>
            <w:tcBorders/>
            <w:shd w:fill="FFFFFF" w:val="clear"/>
            <w:vAlign w:val="center"/>
          </w:tcPr>
          <w:p>
            <w:pPr>
              <w:pStyle w:val="Obsahtabuky"/>
              <w:rPr/>
            </w:pPr>
            <w:r>
              <w:rPr/>
              <w:t>iné</w:t>
            </w:r>
          </w:p>
        </w:tc>
        <w:tc>
          <w:tcPr>
            <w:tcW w:w="3049" w:type="dxa"/>
            <w:tcBorders/>
            <w:shd w:fill="FFFFFF" w:val="clear"/>
            <w:vAlign w:val="center"/>
          </w:tcPr>
          <w:p>
            <w:pPr>
              <w:pStyle w:val="Obsahtabuky"/>
              <w:rPr/>
            </w:pPr>
            <w:r>
              <w:rPr/>
              <w:t> </w:t>
            </w:r>
          </w:p>
        </w:tc>
      </w:tr>
      <w:tr>
        <w:trPr>
          <w:trHeight w:val="315" w:hRule="atLeast"/>
        </w:trPr>
        <w:tc>
          <w:tcPr>
            <w:tcW w:w="4130" w:type="dxa"/>
            <w:tcBorders/>
            <w:shd w:fill="FFFFFF" w:val="clear"/>
            <w:vAlign w:val="center"/>
          </w:tcPr>
          <w:p>
            <w:pPr>
              <w:pStyle w:val="Obsahtabuky"/>
              <w:rPr>
                <w:b/>
                <w:b/>
                <w:bCs/>
              </w:rPr>
            </w:pPr>
            <w:r>
              <w:rPr>
                <w:b/>
                <w:bCs/>
              </w:rPr>
              <w:t>Spolu:</w:t>
            </w:r>
          </w:p>
        </w:tc>
        <w:tc>
          <w:tcPr>
            <w:tcW w:w="3049" w:type="dxa"/>
            <w:tcBorders/>
            <w:shd w:fill="FFFFFF" w:val="clear"/>
            <w:vAlign w:val="center"/>
          </w:tcPr>
          <w:p>
            <w:pPr>
              <w:pStyle w:val="Obsahtabuky"/>
              <w:rPr/>
            </w:pPr>
            <w:r>
              <w:rPr/>
              <w:t xml:space="preserve">              </w:t>
            </w:r>
            <w:r>
              <w:rPr>
                <w:b/>
                <w:bCs/>
              </w:rPr>
              <w:t xml:space="preserve">   </w:t>
            </w:r>
            <w:r>
              <w:rPr>
                <w:b/>
                <w:bCs/>
              </w:rPr>
              <w:t>1534</w:t>
            </w:r>
          </w:p>
        </w:tc>
      </w:tr>
    </w:tbl>
    <w:p>
      <w:pPr>
        <w:pStyle w:val="Telotextu"/>
        <w:rPr>
          <w:b w:val="false"/>
          <w:b w:val="false"/>
          <w:bCs w:val="false"/>
          <w:sz w:val="18"/>
          <w:szCs w:val="18"/>
        </w:rPr>
      </w:pPr>
      <w:r>
        <w:rPr>
          <w:b w:val="false"/>
          <w:bCs w:val="false"/>
          <w:sz w:val="18"/>
          <w:szCs w:val="18"/>
        </w:rPr>
        <w:t>Spoločnosť v účtovnom období nevykázala zisk, účtovala iba o odloženej dani.</w:t>
      </w:r>
    </w:p>
    <w:p>
      <w:pPr>
        <w:pStyle w:val="Telotextu"/>
        <w:rPr>
          <w:b w:val="false"/>
          <w:b w:val="false"/>
          <w:bCs w:val="false"/>
          <w:sz w:val="18"/>
          <w:szCs w:val="18"/>
        </w:rPr>
      </w:pPr>
      <w:r>
        <w:rPr>
          <w:b w:val="false"/>
          <w:bCs w:val="false"/>
          <w:sz w:val="18"/>
          <w:szCs w:val="18"/>
        </w:rPr>
      </w:r>
    </w:p>
    <w:tbl>
      <w:tblPr>
        <w:tblW w:w="7180" w:type="dxa"/>
        <w:jc w:val="left"/>
        <w:tblInd w:w="0" w:type="dxa"/>
        <w:tblCellMar>
          <w:top w:w="0" w:type="dxa"/>
          <w:left w:w="0" w:type="dxa"/>
          <w:bottom w:w="0" w:type="dxa"/>
          <w:right w:w="0" w:type="dxa"/>
        </w:tblCellMar>
      </w:tblPr>
      <w:tblGrid>
        <w:gridCol w:w="4165"/>
        <w:gridCol w:w="3014"/>
      </w:tblGrid>
      <w:tr>
        <w:trPr>
          <w:trHeight w:val="315" w:hRule="atLeast"/>
        </w:trPr>
        <w:tc>
          <w:tcPr>
            <w:tcW w:w="4165" w:type="dxa"/>
            <w:tcBorders/>
            <w:shd w:fill="FFFFFF" w:val="clear"/>
            <w:vAlign w:val="center"/>
          </w:tcPr>
          <w:p>
            <w:pPr>
              <w:pStyle w:val="Obsahtabuky"/>
              <w:rPr/>
            </w:pPr>
            <w:r>
              <w:rPr/>
              <w:t>tabuľka č. 2</w:t>
            </w:r>
          </w:p>
        </w:tc>
        <w:tc>
          <w:tcPr>
            <w:tcW w:w="3014" w:type="dxa"/>
            <w:tcBorders/>
            <w:shd w:fill="FFFFFF" w:val="clear"/>
            <w:vAlign w:val="center"/>
          </w:tcPr>
          <w:p>
            <w:pPr>
              <w:pStyle w:val="Obsahtabuky"/>
              <w:rPr>
                <w:sz w:val="4"/>
                <w:szCs w:val="4"/>
              </w:rPr>
            </w:pPr>
            <w:r>
              <w:rPr>
                <w:sz w:val="4"/>
                <w:szCs w:val="4"/>
              </w:rPr>
            </w:r>
          </w:p>
        </w:tc>
      </w:tr>
      <w:tr>
        <w:trPr>
          <w:trHeight w:val="300" w:hRule="atLeast"/>
        </w:trPr>
        <w:tc>
          <w:tcPr>
            <w:tcW w:w="4165" w:type="dxa"/>
            <w:tcBorders/>
            <w:shd w:fill="FFFFFF" w:val="clear"/>
            <w:vAlign w:val="center"/>
          </w:tcPr>
          <w:p>
            <w:pPr>
              <w:pStyle w:val="Obsahtabuky"/>
              <w:rPr>
                <w:b/>
                <w:b/>
                <w:bCs/>
              </w:rPr>
            </w:pPr>
            <w:r>
              <w:rPr>
                <w:b/>
                <w:bCs/>
              </w:rPr>
              <w:t>Názov položky</w:t>
            </w:r>
          </w:p>
        </w:tc>
        <w:tc>
          <w:tcPr>
            <w:tcW w:w="3014" w:type="dxa"/>
            <w:tcBorders/>
            <w:shd w:fill="FFFFFF" w:val="clear"/>
            <w:vAlign w:val="center"/>
          </w:tcPr>
          <w:p>
            <w:pPr>
              <w:pStyle w:val="Obsahtabuky"/>
              <w:rPr>
                <w:b/>
                <w:b/>
                <w:bCs/>
              </w:rPr>
            </w:pPr>
            <w:r>
              <w:rPr>
                <w:b/>
                <w:bCs/>
              </w:rPr>
              <w:t>Bezprostredne predchádzajúce</w:t>
            </w:r>
          </w:p>
        </w:tc>
      </w:tr>
      <w:tr>
        <w:trPr>
          <w:trHeight w:val="315" w:hRule="atLeast"/>
        </w:trPr>
        <w:tc>
          <w:tcPr>
            <w:tcW w:w="4165" w:type="dxa"/>
            <w:tcBorders/>
            <w:shd w:fill="FFFFFF" w:val="clear"/>
            <w:vAlign w:val="center"/>
          </w:tcPr>
          <w:p>
            <w:pPr>
              <w:pStyle w:val="Obsahtabuky"/>
              <w:rPr/>
            </w:pPr>
            <w:r>
              <w:rPr/>
              <w:t> </w:t>
            </w:r>
          </w:p>
        </w:tc>
        <w:tc>
          <w:tcPr>
            <w:tcW w:w="3014" w:type="dxa"/>
            <w:tcBorders/>
            <w:shd w:fill="FFFFFF" w:val="clear"/>
            <w:vAlign w:val="center"/>
          </w:tcPr>
          <w:p>
            <w:pPr>
              <w:pStyle w:val="Obsahtabuky"/>
              <w:jc w:val="center"/>
              <w:rPr>
                <w:b/>
                <w:b/>
                <w:bCs/>
              </w:rPr>
            </w:pPr>
            <w:r>
              <w:rPr>
                <w:b/>
                <w:bCs/>
              </w:rPr>
              <w:t>účtovné obdobie</w:t>
            </w:r>
          </w:p>
        </w:tc>
      </w:tr>
      <w:tr>
        <w:trPr>
          <w:trHeight w:val="300" w:hRule="atLeast"/>
        </w:trPr>
        <w:tc>
          <w:tcPr>
            <w:tcW w:w="4165" w:type="dxa"/>
            <w:tcBorders/>
            <w:shd w:fill="FFFFFF" w:val="clear"/>
            <w:vAlign w:val="center"/>
          </w:tcPr>
          <w:p>
            <w:pPr>
              <w:pStyle w:val="Obsahtabuky"/>
              <w:rPr>
                <w:b/>
                <w:b/>
                <w:bCs/>
              </w:rPr>
            </w:pPr>
            <w:r>
              <w:rPr>
                <w:b/>
                <w:bCs/>
              </w:rPr>
              <w:t>Účtovná strata</w:t>
            </w:r>
          </w:p>
        </w:tc>
        <w:tc>
          <w:tcPr>
            <w:tcW w:w="3014" w:type="dxa"/>
            <w:tcBorders/>
            <w:shd w:fill="FFFFFF" w:val="clear"/>
            <w:vAlign w:val="center"/>
          </w:tcPr>
          <w:p>
            <w:pPr>
              <w:pStyle w:val="Obsahtabuky"/>
              <w:jc w:val="center"/>
              <w:rPr/>
            </w:pPr>
            <w:r>
              <w:rPr/>
              <w:t> </w:t>
            </w:r>
          </w:p>
        </w:tc>
      </w:tr>
      <w:tr>
        <w:trPr>
          <w:trHeight w:val="300" w:hRule="atLeast"/>
        </w:trPr>
        <w:tc>
          <w:tcPr>
            <w:tcW w:w="4165" w:type="dxa"/>
            <w:tcBorders/>
            <w:shd w:fill="FFFFFF" w:val="clear"/>
            <w:vAlign w:val="center"/>
          </w:tcPr>
          <w:p>
            <w:pPr>
              <w:pStyle w:val="Obsahtabuky"/>
              <w:rPr/>
            </w:pPr>
            <w:r>
              <w:rPr/>
              <w:t> </w:t>
            </w:r>
          </w:p>
        </w:tc>
        <w:tc>
          <w:tcPr>
            <w:tcW w:w="3014" w:type="dxa"/>
            <w:tcBorders/>
            <w:shd w:fill="FFFFFF" w:val="clear"/>
            <w:vAlign w:val="center"/>
          </w:tcPr>
          <w:p>
            <w:pPr>
              <w:pStyle w:val="Obsahtabuky"/>
              <w:rPr/>
            </w:pPr>
            <w:r>
              <w:rPr/>
              <w:t> </w:t>
            </w:r>
          </w:p>
        </w:tc>
      </w:tr>
      <w:tr>
        <w:trPr>
          <w:trHeight w:val="300" w:hRule="atLeast"/>
        </w:trPr>
        <w:tc>
          <w:tcPr>
            <w:tcW w:w="4165" w:type="dxa"/>
            <w:tcBorders/>
            <w:shd w:fill="FFFFFF" w:val="clear"/>
            <w:vAlign w:val="center"/>
          </w:tcPr>
          <w:p>
            <w:pPr>
              <w:pStyle w:val="Obsahtabuky"/>
              <w:rPr/>
            </w:pPr>
            <w:r>
              <w:rPr/>
              <w:t>vysporiadanie účtovnej straty</w:t>
            </w:r>
          </w:p>
        </w:tc>
        <w:tc>
          <w:tcPr>
            <w:tcW w:w="3014" w:type="dxa"/>
            <w:tcBorders/>
            <w:shd w:fill="FFFFFF" w:val="clear"/>
            <w:vAlign w:val="center"/>
          </w:tcPr>
          <w:p>
            <w:pPr>
              <w:pStyle w:val="Obsahtabuky"/>
              <w:jc w:val="center"/>
              <w:rPr>
                <w:b/>
                <w:b/>
                <w:bCs/>
              </w:rPr>
            </w:pPr>
            <w:r>
              <w:rPr>
                <w:b/>
                <w:bCs/>
              </w:rPr>
              <w:t>Bežné účtovné obdobie</w:t>
            </w:r>
          </w:p>
        </w:tc>
      </w:tr>
      <w:tr>
        <w:trPr>
          <w:trHeight w:val="300" w:hRule="atLeast"/>
        </w:trPr>
        <w:tc>
          <w:tcPr>
            <w:tcW w:w="4165" w:type="dxa"/>
            <w:tcBorders/>
            <w:shd w:fill="FFFFFF" w:val="clear"/>
            <w:vAlign w:val="center"/>
          </w:tcPr>
          <w:p>
            <w:pPr>
              <w:pStyle w:val="Obsahtabuky"/>
              <w:rPr/>
            </w:pPr>
            <w:r>
              <w:rPr/>
              <w:t>Prídel do zákonného rezervného fondu</w:t>
            </w:r>
          </w:p>
        </w:tc>
        <w:tc>
          <w:tcPr>
            <w:tcW w:w="3014" w:type="dxa"/>
            <w:tcBorders/>
            <w:shd w:fill="FFFFFF" w:val="clear"/>
            <w:vAlign w:val="center"/>
          </w:tcPr>
          <w:p>
            <w:pPr>
              <w:pStyle w:val="Obsahtabuky"/>
              <w:rPr/>
            </w:pPr>
            <w:r>
              <w:rPr/>
              <w:t> </w:t>
            </w:r>
          </w:p>
        </w:tc>
      </w:tr>
      <w:tr>
        <w:trPr>
          <w:trHeight w:val="300" w:hRule="atLeast"/>
        </w:trPr>
        <w:tc>
          <w:tcPr>
            <w:tcW w:w="4165" w:type="dxa"/>
            <w:tcBorders/>
            <w:shd w:fill="FFFFFF" w:val="clear"/>
            <w:vAlign w:val="center"/>
          </w:tcPr>
          <w:p>
            <w:pPr>
              <w:pStyle w:val="Obsahtabuky"/>
              <w:rPr/>
            </w:pPr>
            <w:r>
              <w:rPr/>
              <w:t>Prídel do štatutárnych a ostatných fondov</w:t>
            </w:r>
          </w:p>
        </w:tc>
        <w:tc>
          <w:tcPr>
            <w:tcW w:w="3014" w:type="dxa"/>
            <w:tcBorders/>
            <w:shd w:fill="FFFFFF" w:val="clear"/>
            <w:vAlign w:val="center"/>
          </w:tcPr>
          <w:p>
            <w:pPr>
              <w:pStyle w:val="Obsahtabuky"/>
              <w:rPr/>
            </w:pPr>
            <w:r>
              <w:rPr/>
              <w:t> </w:t>
            </w:r>
          </w:p>
        </w:tc>
      </w:tr>
      <w:tr>
        <w:trPr>
          <w:trHeight w:val="300" w:hRule="atLeast"/>
        </w:trPr>
        <w:tc>
          <w:tcPr>
            <w:tcW w:w="4165" w:type="dxa"/>
            <w:tcBorders/>
            <w:shd w:fill="FFFFFF" w:val="clear"/>
            <w:vAlign w:val="center"/>
          </w:tcPr>
          <w:p>
            <w:pPr>
              <w:pStyle w:val="Obsahtabuky"/>
              <w:rPr/>
            </w:pPr>
            <w:r>
              <w:rPr/>
              <w:t>Prídel do sociálneho fondu</w:t>
            </w:r>
          </w:p>
        </w:tc>
        <w:tc>
          <w:tcPr>
            <w:tcW w:w="3014" w:type="dxa"/>
            <w:tcBorders/>
            <w:shd w:fill="FFFFFF" w:val="clear"/>
            <w:vAlign w:val="center"/>
          </w:tcPr>
          <w:p>
            <w:pPr>
              <w:pStyle w:val="Obsahtabuky"/>
              <w:rPr/>
            </w:pPr>
            <w:r>
              <w:rPr/>
              <w:t> </w:t>
            </w:r>
          </w:p>
        </w:tc>
      </w:tr>
      <w:tr>
        <w:trPr>
          <w:trHeight w:val="300" w:hRule="atLeast"/>
        </w:trPr>
        <w:tc>
          <w:tcPr>
            <w:tcW w:w="4165" w:type="dxa"/>
            <w:tcBorders/>
            <w:shd w:fill="FFFFFF" w:val="clear"/>
            <w:vAlign w:val="center"/>
          </w:tcPr>
          <w:p>
            <w:pPr>
              <w:pStyle w:val="Obsahtabuky"/>
              <w:rPr/>
            </w:pPr>
            <w:r>
              <w:rPr/>
              <w:t>Prídel na zvýšenie základného imania</w:t>
            </w:r>
          </w:p>
        </w:tc>
        <w:tc>
          <w:tcPr>
            <w:tcW w:w="3014" w:type="dxa"/>
            <w:tcBorders/>
            <w:shd w:fill="FFFFFF" w:val="clear"/>
            <w:vAlign w:val="center"/>
          </w:tcPr>
          <w:p>
            <w:pPr>
              <w:pStyle w:val="Obsahtabuky"/>
              <w:rPr/>
            </w:pPr>
            <w:r>
              <w:rPr/>
              <w:t> </w:t>
            </w:r>
          </w:p>
        </w:tc>
      </w:tr>
      <w:tr>
        <w:trPr>
          <w:trHeight w:val="300" w:hRule="atLeast"/>
        </w:trPr>
        <w:tc>
          <w:tcPr>
            <w:tcW w:w="4165" w:type="dxa"/>
            <w:tcBorders/>
            <w:shd w:fill="FFFFFF" w:val="clear"/>
            <w:vAlign w:val="center"/>
          </w:tcPr>
          <w:p>
            <w:pPr>
              <w:pStyle w:val="Obsahtabuky"/>
              <w:rPr/>
            </w:pPr>
            <w:r>
              <w:rPr/>
              <w:t>Úhrada straty minulých období</w:t>
            </w:r>
          </w:p>
        </w:tc>
        <w:tc>
          <w:tcPr>
            <w:tcW w:w="3014" w:type="dxa"/>
            <w:tcBorders/>
            <w:shd w:fill="FFFFFF" w:val="clear"/>
            <w:vAlign w:val="center"/>
          </w:tcPr>
          <w:p>
            <w:pPr>
              <w:pStyle w:val="Obsahtabuky"/>
              <w:rPr/>
            </w:pPr>
            <w:r>
              <w:rPr/>
              <w:t> </w:t>
            </w:r>
          </w:p>
        </w:tc>
      </w:tr>
      <w:tr>
        <w:trPr>
          <w:trHeight w:val="300" w:hRule="atLeast"/>
        </w:trPr>
        <w:tc>
          <w:tcPr>
            <w:tcW w:w="4165" w:type="dxa"/>
            <w:tcBorders/>
            <w:shd w:fill="FFFFFF" w:val="clear"/>
            <w:vAlign w:val="center"/>
          </w:tcPr>
          <w:p>
            <w:pPr>
              <w:pStyle w:val="Obsahtabuky"/>
              <w:rPr/>
            </w:pPr>
            <w:r>
              <w:rPr/>
              <w:t>Prevod do nerozdeleného zisku minulých rokov</w:t>
            </w:r>
          </w:p>
        </w:tc>
        <w:tc>
          <w:tcPr>
            <w:tcW w:w="3014" w:type="dxa"/>
            <w:tcBorders/>
            <w:shd w:fill="FFFFFF" w:val="clear"/>
            <w:vAlign w:val="center"/>
          </w:tcPr>
          <w:p>
            <w:pPr>
              <w:pStyle w:val="Obsahtabuky"/>
              <w:rPr/>
            </w:pPr>
            <w:r>
              <w:rPr/>
              <w:t> </w:t>
            </w:r>
          </w:p>
        </w:tc>
      </w:tr>
      <w:tr>
        <w:trPr>
          <w:trHeight w:val="300" w:hRule="atLeast"/>
        </w:trPr>
        <w:tc>
          <w:tcPr>
            <w:tcW w:w="4165" w:type="dxa"/>
            <w:tcBorders/>
            <w:shd w:fill="FFFFFF" w:val="clear"/>
            <w:vAlign w:val="center"/>
          </w:tcPr>
          <w:p>
            <w:pPr>
              <w:pStyle w:val="Obsahtabuky"/>
              <w:rPr/>
            </w:pPr>
            <w:r>
              <w:rPr/>
              <w:t>Rozdelenie podielu na zisku spoločníkom</w:t>
            </w:r>
          </w:p>
        </w:tc>
        <w:tc>
          <w:tcPr>
            <w:tcW w:w="3014" w:type="dxa"/>
            <w:tcBorders/>
            <w:shd w:fill="FFFFFF" w:val="clear"/>
            <w:vAlign w:val="center"/>
          </w:tcPr>
          <w:p>
            <w:pPr>
              <w:pStyle w:val="Obsahtabuky"/>
              <w:rPr/>
            </w:pPr>
            <w:r>
              <w:rPr/>
              <w:t> </w:t>
            </w:r>
          </w:p>
        </w:tc>
      </w:tr>
      <w:tr>
        <w:trPr>
          <w:trHeight w:val="315" w:hRule="atLeast"/>
        </w:trPr>
        <w:tc>
          <w:tcPr>
            <w:tcW w:w="4165" w:type="dxa"/>
            <w:tcBorders/>
            <w:shd w:fill="FFFFFF" w:val="clear"/>
            <w:vAlign w:val="center"/>
          </w:tcPr>
          <w:p>
            <w:pPr>
              <w:pStyle w:val="Obsahtabuky"/>
              <w:rPr/>
            </w:pPr>
            <w:r>
              <w:rPr/>
              <w:t>Daňová licencia</w:t>
            </w:r>
          </w:p>
        </w:tc>
        <w:tc>
          <w:tcPr>
            <w:tcW w:w="3014" w:type="dxa"/>
            <w:tcBorders/>
            <w:shd w:fill="FFFFFF" w:val="clear"/>
            <w:vAlign w:val="center"/>
          </w:tcPr>
          <w:p>
            <w:pPr>
              <w:pStyle w:val="Obsahtabuky"/>
              <w:jc w:val="center"/>
              <w:rPr/>
            </w:pPr>
            <w:r>
              <w:rPr/>
            </w:r>
          </w:p>
        </w:tc>
      </w:tr>
      <w:tr>
        <w:trPr>
          <w:trHeight w:val="315" w:hRule="atLeast"/>
        </w:trPr>
        <w:tc>
          <w:tcPr>
            <w:tcW w:w="4165" w:type="dxa"/>
            <w:tcBorders/>
            <w:shd w:fill="FFFFFF" w:val="clear"/>
            <w:vAlign w:val="center"/>
          </w:tcPr>
          <w:p>
            <w:pPr>
              <w:pStyle w:val="Obsahtabuky"/>
              <w:rPr>
                <w:b/>
                <w:b/>
                <w:bCs/>
              </w:rPr>
            </w:pPr>
            <w:r>
              <w:rPr>
                <w:b/>
                <w:bCs/>
              </w:rPr>
              <w:t>Spolu:</w:t>
            </w:r>
          </w:p>
        </w:tc>
        <w:tc>
          <w:tcPr>
            <w:tcW w:w="3014" w:type="dxa"/>
            <w:tcBorders/>
            <w:shd w:fill="FFFFFF" w:val="clear"/>
            <w:vAlign w:val="center"/>
          </w:tcPr>
          <w:p>
            <w:pPr>
              <w:pStyle w:val="Obsahtabuky"/>
              <w:jc w:val="center"/>
              <w:rPr/>
            </w:pPr>
            <w:r>
              <w:rPr/>
            </w:r>
          </w:p>
        </w:tc>
      </w:tr>
    </w:tbl>
    <w:p>
      <w:pPr>
        <w:pStyle w:val="Telotextu"/>
        <w:rPr>
          <w:b w:val="false"/>
          <w:b w:val="false"/>
          <w:bCs w:val="false"/>
          <w:sz w:val="18"/>
          <w:szCs w:val="18"/>
        </w:rPr>
      </w:pPr>
      <w:r>
        <w:rPr>
          <w:b w:val="false"/>
          <w:bCs w:val="false"/>
          <w:sz w:val="18"/>
          <w:szCs w:val="18"/>
        </w:rPr>
      </w:r>
    </w:p>
    <w:p>
      <w:pPr>
        <w:pStyle w:val="Telotextu"/>
        <w:rPr/>
      </w:pPr>
      <w:r>
        <w:rPr>
          <w:b w:val="false"/>
          <w:bCs w:val="false"/>
          <w:sz w:val="18"/>
          <w:szCs w:val="18"/>
        </w:rPr>
        <w:t>Na základe rozhodnutia Valného zhromaždenia, ktoré sa konalo dňa 3</w:t>
      </w:r>
      <w:r>
        <w:rPr>
          <w:b w:val="false"/>
          <w:bCs w:val="false"/>
          <w:sz w:val="18"/>
          <w:szCs w:val="18"/>
        </w:rPr>
        <w:t>0</w:t>
      </w:r>
      <w:r>
        <w:rPr>
          <w:b w:val="false"/>
          <w:bCs w:val="false"/>
          <w:sz w:val="18"/>
          <w:szCs w:val="18"/>
        </w:rPr>
        <w:t>.0</w:t>
      </w:r>
      <w:r>
        <w:rPr>
          <w:b w:val="false"/>
          <w:bCs w:val="false"/>
          <w:sz w:val="18"/>
          <w:szCs w:val="18"/>
        </w:rPr>
        <w:t>4</w:t>
      </w:r>
      <w:r>
        <w:rPr>
          <w:b w:val="false"/>
          <w:bCs w:val="false"/>
          <w:sz w:val="18"/>
          <w:szCs w:val="18"/>
        </w:rPr>
        <w:t>.201</w:t>
      </w:r>
      <w:r>
        <w:rPr>
          <w:b w:val="false"/>
          <w:bCs w:val="false"/>
          <w:sz w:val="18"/>
          <w:szCs w:val="18"/>
        </w:rPr>
        <w:t>9</w:t>
      </w:r>
    </w:p>
    <w:p>
      <w:pPr>
        <w:pStyle w:val="Telotextu"/>
        <w:rPr/>
      </w:pPr>
      <w:r>
        <w:rPr>
          <w:b w:val="false"/>
          <w:bCs w:val="false"/>
          <w:sz w:val="18"/>
          <w:szCs w:val="18"/>
        </w:rPr>
        <w:t xml:space="preserve">spoločnosť </w:t>
      </w:r>
      <w:r>
        <w:rPr>
          <w:b w:val="false"/>
          <w:bCs w:val="false"/>
          <w:sz w:val="18"/>
          <w:szCs w:val="18"/>
        </w:rPr>
        <w:t>vytvorila zisk v celkovej sume 1.534 €. Tento spoločnosť rozdelila nasledovne:</w:t>
      </w:r>
    </w:p>
    <w:p>
      <w:pPr>
        <w:pStyle w:val="Telotextu"/>
        <w:rPr/>
      </w:pPr>
      <w:r>
        <w:rPr>
          <w:b w:val="false"/>
          <w:bCs w:val="false"/>
          <w:sz w:val="18"/>
          <w:szCs w:val="18"/>
        </w:rPr>
        <w:t>Doplnenie rezervného fondu do výšky 5% základného imania vo výške 144,00 €,</w:t>
      </w:r>
    </w:p>
    <w:p>
      <w:pPr>
        <w:pStyle w:val="Telotextu"/>
        <w:rPr/>
      </w:pPr>
      <w:r>
        <w:rPr>
          <w:b w:val="false"/>
          <w:bCs w:val="false"/>
          <w:sz w:val="18"/>
          <w:szCs w:val="18"/>
        </w:rPr>
        <w:t>Rozdiel 1.380 € bol preúčtovaný na nerozdelený zisk minulých rokov.</w:t>
      </w:r>
    </w:p>
    <w:p>
      <w:pPr>
        <w:pStyle w:val="Telotextu"/>
        <w:rPr>
          <w:b w:val="false"/>
          <w:b w:val="false"/>
          <w:bCs w:val="false"/>
          <w:sz w:val="18"/>
          <w:szCs w:val="18"/>
        </w:rPr>
      </w:pPr>
      <w:r>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b/>
          <w:bCs/>
          <w:sz w:val="18"/>
          <w:szCs w:val="18"/>
        </w:rPr>
      </w:pPr>
      <w:r>
        <w:rPr>
          <w:b/>
          <w:bCs/>
          <w:sz w:val="18"/>
          <w:szCs w:val="18"/>
        </w:rPr>
        <w:t>5.  Informácie o rezervách</w:t>
      </w:r>
    </w:p>
    <w:p>
      <w:pPr>
        <w:pStyle w:val="Telotextu"/>
        <w:rPr>
          <w:b w:val="false"/>
          <w:b w:val="false"/>
          <w:bCs w:val="false"/>
          <w:sz w:val="18"/>
          <w:szCs w:val="18"/>
        </w:rPr>
      </w:pPr>
      <w:r>
        <w:rPr>
          <w:b w:val="false"/>
          <w:bCs w:val="false"/>
          <w:sz w:val="18"/>
          <w:szCs w:val="18"/>
        </w:rPr>
        <w:t>Spoločnosť v bežnom účtovnom období nemala povinnosť tvoriť rezervy.</w:t>
      </w:r>
    </w:p>
    <w:p>
      <w:pPr>
        <w:pStyle w:val="Telotextu"/>
        <w:rPr>
          <w:b w:val="false"/>
          <w:b w:val="false"/>
          <w:bCs w:val="false"/>
          <w:sz w:val="18"/>
          <w:szCs w:val="18"/>
        </w:rPr>
      </w:pPr>
      <w:r>
        <w:rPr>
          <w:b w:val="false"/>
          <w:bCs w:val="false"/>
          <w:sz w:val="18"/>
          <w:szCs w:val="18"/>
        </w:rPr>
      </w:r>
    </w:p>
    <w:p>
      <w:pPr>
        <w:pStyle w:val="Telotextu"/>
        <w:rPr>
          <w:b/>
          <w:b/>
          <w:bCs/>
          <w:sz w:val="18"/>
          <w:szCs w:val="18"/>
        </w:rPr>
      </w:pPr>
      <w:r>
        <w:rPr>
          <w:b/>
          <w:bCs/>
          <w:sz w:val="18"/>
          <w:szCs w:val="18"/>
        </w:rPr>
        <w:t>6.  Informácie o záväzkoch</w:t>
      </w:r>
    </w:p>
    <w:p>
      <w:pPr>
        <w:pStyle w:val="Telotextu"/>
        <w:rPr>
          <w:b w:val="false"/>
          <w:b w:val="false"/>
          <w:bCs w:val="false"/>
          <w:sz w:val="18"/>
          <w:szCs w:val="18"/>
        </w:rPr>
      </w:pPr>
      <w:r>
        <w:rPr>
          <w:b w:val="false"/>
          <w:bCs w:val="false"/>
          <w:sz w:val="18"/>
          <w:szCs w:val="18"/>
        </w:rPr>
      </w:r>
    </w:p>
    <w:tbl>
      <w:tblPr>
        <w:tblW w:w="7876" w:type="dxa"/>
        <w:jc w:val="left"/>
        <w:tblInd w:w="7" w:type="dxa"/>
        <w:tblCellMar>
          <w:top w:w="0" w:type="dxa"/>
          <w:left w:w="0" w:type="dxa"/>
          <w:bottom w:w="0" w:type="dxa"/>
          <w:right w:w="0" w:type="dxa"/>
        </w:tblCellMar>
      </w:tblPr>
      <w:tblGrid>
        <w:gridCol w:w="2899"/>
        <w:gridCol w:w="2484"/>
        <w:gridCol w:w="2493"/>
      </w:tblGrid>
      <w:tr>
        <w:trPr>
          <w:trHeight w:val="300" w:hRule="atLeast"/>
        </w:trPr>
        <w:tc>
          <w:tcPr>
            <w:tcW w:w="2899" w:type="dxa"/>
            <w:tcBorders/>
            <w:shd w:fill="FFFFFF" w:val="clear"/>
            <w:vAlign w:val="center"/>
          </w:tcPr>
          <w:p>
            <w:pPr>
              <w:pStyle w:val="Obsahtabuky"/>
              <w:rPr>
                <w:b/>
                <w:b/>
                <w:bCs/>
              </w:rPr>
            </w:pPr>
            <w:r>
              <w:rPr>
                <w:b/>
                <w:bCs/>
              </w:rPr>
              <w:t>Názov položky</w:t>
            </w:r>
          </w:p>
        </w:tc>
        <w:tc>
          <w:tcPr>
            <w:tcW w:w="2484" w:type="dxa"/>
            <w:tcBorders/>
            <w:shd w:fill="FFFFFF" w:val="clear"/>
            <w:vAlign w:val="center"/>
          </w:tcPr>
          <w:p>
            <w:pPr>
              <w:pStyle w:val="Obsahtabuky"/>
              <w:jc w:val="center"/>
              <w:rPr>
                <w:b/>
                <w:b/>
                <w:bCs/>
              </w:rPr>
            </w:pPr>
            <w:r>
              <w:rPr>
                <w:b/>
                <w:bCs/>
              </w:rPr>
              <w:t>Bežné účtovné obdobie</w:t>
            </w:r>
          </w:p>
        </w:tc>
        <w:tc>
          <w:tcPr>
            <w:tcW w:w="2493" w:type="dxa"/>
            <w:tcBorders/>
            <w:shd w:fill="FFFFFF" w:val="clear"/>
            <w:vAlign w:val="center"/>
          </w:tcPr>
          <w:p>
            <w:pPr>
              <w:pStyle w:val="Obsahtabuky"/>
              <w:jc w:val="center"/>
              <w:rPr>
                <w:b/>
                <w:b/>
                <w:bCs/>
              </w:rPr>
            </w:pPr>
            <w:r>
              <w:rPr>
                <w:b/>
                <w:bCs/>
              </w:rPr>
              <w:t>Bezprostredne predchádzajúce</w:t>
            </w:r>
          </w:p>
        </w:tc>
      </w:tr>
      <w:tr>
        <w:trPr>
          <w:trHeight w:val="315" w:hRule="atLeast"/>
        </w:trPr>
        <w:tc>
          <w:tcPr>
            <w:tcW w:w="2899" w:type="dxa"/>
            <w:tcBorders/>
            <w:shd w:fill="FFFFFF" w:val="clear"/>
            <w:vAlign w:val="center"/>
          </w:tcPr>
          <w:p>
            <w:pPr>
              <w:pStyle w:val="Obsahtabuky"/>
              <w:rPr/>
            </w:pPr>
            <w:r>
              <w:rPr/>
              <w:t> </w:t>
            </w:r>
          </w:p>
        </w:tc>
        <w:tc>
          <w:tcPr>
            <w:tcW w:w="2484" w:type="dxa"/>
            <w:tcBorders/>
            <w:shd w:fill="FFFFFF" w:val="clear"/>
            <w:vAlign w:val="center"/>
          </w:tcPr>
          <w:p>
            <w:pPr>
              <w:pStyle w:val="Obsahtabuky"/>
              <w:jc w:val="center"/>
              <w:rPr>
                <w:b/>
                <w:b/>
                <w:bCs/>
              </w:rPr>
            </w:pPr>
            <w:r>
              <w:rPr>
                <w:b/>
                <w:bCs/>
              </w:rPr>
              <w:t>účtovné obdobie</w:t>
            </w:r>
          </w:p>
        </w:tc>
        <w:tc>
          <w:tcPr>
            <w:tcW w:w="2493" w:type="dxa"/>
            <w:tcBorders/>
            <w:shd w:fill="FFFFFF" w:val="clear"/>
            <w:vAlign w:val="center"/>
          </w:tcPr>
          <w:p>
            <w:pPr>
              <w:pStyle w:val="Obsahtabuky"/>
              <w:jc w:val="center"/>
              <w:rPr>
                <w:b/>
                <w:b/>
                <w:bCs/>
              </w:rPr>
            </w:pPr>
            <w:r>
              <w:rPr>
                <w:b/>
                <w:bCs/>
              </w:rPr>
              <w:t>účtovné obdobie</w:t>
            </w:r>
          </w:p>
        </w:tc>
      </w:tr>
      <w:tr>
        <w:trPr>
          <w:trHeight w:val="300" w:hRule="atLeast"/>
        </w:trPr>
        <w:tc>
          <w:tcPr>
            <w:tcW w:w="2899" w:type="dxa"/>
            <w:tcBorders/>
            <w:shd w:fill="FFFFFF" w:val="clear"/>
            <w:vAlign w:val="center"/>
          </w:tcPr>
          <w:p>
            <w:pPr>
              <w:pStyle w:val="Obsahtabuky"/>
              <w:rPr/>
            </w:pPr>
            <w:r>
              <w:rPr/>
              <w:t>Záväzky z obchodného styku</w:t>
            </w:r>
          </w:p>
        </w:tc>
        <w:tc>
          <w:tcPr>
            <w:tcW w:w="2484" w:type="dxa"/>
            <w:tcBorders/>
            <w:shd w:fill="FFFFFF" w:val="clear"/>
            <w:vAlign w:val="center"/>
          </w:tcPr>
          <w:p>
            <w:pPr>
              <w:pStyle w:val="Obsahtabuky"/>
              <w:rPr/>
            </w:pPr>
            <w:r>
              <w:rPr/>
              <w:t xml:space="preserve">                    </w:t>
            </w:r>
            <w:r>
              <w:rPr/>
              <w:t>39</w:t>
            </w:r>
          </w:p>
        </w:tc>
        <w:tc>
          <w:tcPr>
            <w:tcW w:w="2493" w:type="dxa"/>
            <w:tcBorders/>
            <w:shd w:fill="FFFFFF" w:val="clear"/>
            <w:vAlign w:val="center"/>
          </w:tcPr>
          <w:p>
            <w:pPr>
              <w:pStyle w:val="Obsahtabuky"/>
              <w:rPr/>
            </w:pPr>
            <w:r>
              <w:rPr/>
              <w:t xml:space="preserve">                  </w:t>
            </w:r>
          </w:p>
        </w:tc>
      </w:tr>
      <w:tr>
        <w:trPr>
          <w:trHeight w:val="300" w:hRule="atLeast"/>
        </w:trPr>
        <w:tc>
          <w:tcPr>
            <w:tcW w:w="2899" w:type="dxa"/>
            <w:tcBorders/>
            <w:shd w:fill="FFFFFF" w:val="clear"/>
            <w:vAlign w:val="center"/>
          </w:tcPr>
          <w:p>
            <w:pPr>
              <w:pStyle w:val="Obsahtabuky"/>
              <w:rPr/>
            </w:pPr>
            <w:r>
              <w:rPr/>
              <w:t>Záväzky voči daňovému úradu</w:t>
            </w:r>
          </w:p>
        </w:tc>
        <w:tc>
          <w:tcPr>
            <w:tcW w:w="2484" w:type="dxa"/>
            <w:tcBorders/>
            <w:shd w:fill="FFFFFF" w:val="clear"/>
            <w:vAlign w:val="center"/>
          </w:tcPr>
          <w:p>
            <w:pPr>
              <w:pStyle w:val="Obsahtabuky"/>
              <w:rPr/>
            </w:pPr>
            <w:r>
              <w:rPr/>
              <w:t xml:space="preserve">              </w:t>
            </w:r>
            <w:r>
              <w:rPr>
                <w:sz w:val="16"/>
                <w:szCs w:val="16"/>
              </w:rPr>
              <w:t xml:space="preserve">     </w:t>
            </w:r>
          </w:p>
        </w:tc>
        <w:tc>
          <w:tcPr>
            <w:tcW w:w="2493" w:type="dxa"/>
            <w:tcBorders/>
            <w:shd w:fill="FFFFFF" w:val="clear"/>
            <w:vAlign w:val="center"/>
          </w:tcPr>
          <w:p>
            <w:pPr>
              <w:pStyle w:val="Obsahtabuky"/>
              <w:rPr/>
            </w:pPr>
            <w:r>
              <w:rPr/>
              <w:t xml:space="preserve">                 </w:t>
            </w:r>
            <w:r>
              <w:rPr/>
              <w:t>408</w:t>
            </w:r>
            <w:r>
              <w:rPr/>
              <w:t xml:space="preserve"> </w:t>
            </w:r>
          </w:p>
        </w:tc>
      </w:tr>
      <w:tr>
        <w:trPr>
          <w:trHeight w:val="315" w:hRule="atLeast"/>
        </w:trPr>
        <w:tc>
          <w:tcPr>
            <w:tcW w:w="2899" w:type="dxa"/>
            <w:tcBorders/>
            <w:shd w:fill="FFFFFF" w:val="clear"/>
            <w:vAlign w:val="center"/>
          </w:tcPr>
          <w:p>
            <w:pPr>
              <w:pStyle w:val="Obsahtabuky"/>
              <w:rPr/>
            </w:pPr>
            <w:r>
              <w:rPr/>
              <w:t>Iné záväzky</w:t>
            </w:r>
          </w:p>
        </w:tc>
        <w:tc>
          <w:tcPr>
            <w:tcW w:w="2484" w:type="dxa"/>
            <w:tcBorders/>
            <w:shd w:fill="FFFFFF" w:val="clear"/>
            <w:vAlign w:val="center"/>
          </w:tcPr>
          <w:p>
            <w:pPr>
              <w:pStyle w:val="Obsahtabuky"/>
              <w:rPr/>
            </w:pPr>
            <w:r>
              <w:rPr/>
              <w:t> </w:t>
            </w:r>
          </w:p>
        </w:tc>
        <w:tc>
          <w:tcPr>
            <w:tcW w:w="2493" w:type="dxa"/>
            <w:tcBorders/>
            <w:shd w:fill="FFFFFF" w:val="clear"/>
            <w:vAlign w:val="center"/>
          </w:tcPr>
          <w:p>
            <w:pPr>
              <w:pStyle w:val="Obsahtabuky"/>
              <w:rPr/>
            </w:pPr>
            <w:r>
              <w:rPr/>
              <w:t> </w:t>
            </w:r>
          </w:p>
        </w:tc>
      </w:tr>
      <w:tr>
        <w:trPr>
          <w:trHeight w:val="315" w:hRule="atLeast"/>
        </w:trPr>
        <w:tc>
          <w:tcPr>
            <w:tcW w:w="2899" w:type="dxa"/>
            <w:tcBorders/>
            <w:shd w:fill="FFFFFF" w:val="clear"/>
            <w:vAlign w:val="center"/>
          </w:tcPr>
          <w:p>
            <w:pPr>
              <w:pStyle w:val="Obsahtabuky"/>
              <w:rPr>
                <w:b/>
                <w:b/>
                <w:bCs/>
              </w:rPr>
            </w:pPr>
            <w:r>
              <w:rPr>
                <w:b/>
                <w:bCs/>
              </w:rPr>
              <w:t>Krátkodobé záväzky spolu:</w:t>
            </w:r>
          </w:p>
        </w:tc>
        <w:tc>
          <w:tcPr>
            <w:tcW w:w="2484" w:type="dxa"/>
            <w:tcBorders/>
            <w:shd w:fill="FFFFFF" w:val="clear"/>
            <w:vAlign w:val="center"/>
          </w:tcPr>
          <w:p>
            <w:pPr>
              <w:pStyle w:val="Obsahtabuky"/>
              <w:rPr>
                <w:b/>
                <w:b/>
                <w:bCs/>
                <w:sz w:val="16"/>
                <w:szCs w:val="16"/>
              </w:rPr>
            </w:pPr>
            <w:r>
              <w:rPr/>
            </w:r>
          </w:p>
          <w:p>
            <w:pPr>
              <w:pStyle w:val="Obsahtabuky"/>
              <w:rPr/>
            </w:pPr>
            <w:r>
              <w:rPr>
                <w:b/>
                <w:bCs/>
                <w:sz w:val="16"/>
                <w:szCs w:val="16"/>
              </w:rPr>
              <w:t xml:space="preserve">                     </w:t>
            </w:r>
            <w:r>
              <w:rPr>
                <w:b/>
                <w:bCs/>
                <w:sz w:val="16"/>
                <w:szCs w:val="16"/>
              </w:rPr>
              <w:t>39</w:t>
            </w:r>
          </w:p>
        </w:tc>
        <w:tc>
          <w:tcPr>
            <w:tcW w:w="2493" w:type="dxa"/>
            <w:tcBorders/>
            <w:shd w:fill="FFFFFF" w:val="clear"/>
            <w:vAlign w:val="center"/>
          </w:tcPr>
          <w:p>
            <w:pPr>
              <w:pStyle w:val="Obsahtabuky"/>
              <w:rPr/>
            </w:pPr>
            <w:r>
              <w:rPr>
                <w:b/>
                <w:bCs/>
                <w:sz w:val="16"/>
                <w:szCs w:val="16"/>
              </w:rPr>
              <w:t xml:space="preserve">                   </w:t>
            </w:r>
            <w:r>
              <w:rPr>
                <w:b/>
                <w:bCs/>
                <w:sz w:val="16"/>
                <w:szCs w:val="16"/>
              </w:rPr>
              <w:t>408</w:t>
            </w:r>
          </w:p>
        </w:tc>
      </w:tr>
      <w:tr>
        <w:trPr>
          <w:trHeight w:val="300" w:hRule="atLeast"/>
        </w:trPr>
        <w:tc>
          <w:tcPr>
            <w:tcW w:w="2899" w:type="dxa"/>
            <w:tcBorders/>
            <w:shd w:fill="FFFFFF" w:val="clear"/>
            <w:vAlign w:val="center"/>
          </w:tcPr>
          <w:p>
            <w:pPr>
              <w:pStyle w:val="Obsahtabuky"/>
              <w:rPr/>
            </w:pPr>
            <w:r>
              <w:rPr/>
              <w:t>Záväzky s dobou splatnosti 1-5</w:t>
            </w:r>
          </w:p>
        </w:tc>
        <w:tc>
          <w:tcPr>
            <w:tcW w:w="2484" w:type="dxa"/>
            <w:tcBorders/>
            <w:shd w:fill="FFFFFF" w:val="clear"/>
            <w:vAlign w:val="center"/>
          </w:tcPr>
          <w:p>
            <w:pPr>
              <w:pStyle w:val="Obsahtabuky"/>
              <w:rPr/>
            </w:pPr>
            <w:r>
              <w:rPr/>
            </w:r>
          </w:p>
        </w:tc>
        <w:tc>
          <w:tcPr>
            <w:tcW w:w="2493" w:type="dxa"/>
            <w:tcBorders/>
            <w:shd w:fill="FFFFFF" w:val="clear"/>
            <w:vAlign w:val="center"/>
          </w:tcPr>
          <w:p>
            <w:pPr>
              <w:pStyle w:val="Obsahtabuky"/>
              <w:rPr/>
            </w:pPr>
            <w:r>
              <w:rPr/>
            </w:r>
          </w:p>
        </w:tc>
      </w:tr>
      <w:tr>
        <w:trPr>
          <w:trHeight w:val="315" w:hRule="atLeast"/>
        </w:trPr>
        <w:tc>
          <w:tcPr>
            <w:tcW w:w="2899" w:type="dxa"/>
            <w:tcBorders/>
            <w:shd w:fill="FFFFFF" w:val="clear"/>
            <w:vAlign w:val="center"/>
          </w:tcPr>
          <w:p>
            <w:pPr>
              <w:pStyle w:val="Obsahtabuky"/>
              <w:rPr/>
            </w:pPr>
            <w:r>
              <w:rPr/>
              <w:t>Záväzky s dobou splatnosti nad 5</w:t>
            </w:r>
          </w:p>
        </w:tc>
        <w:tc>
          <w:tcPr>
            <w:tcW w:w="2484" w:type="dxa"/>
            <w:tcBorders/>
            <w:shd w:fill="FFFFFF" w:val="clear"/>
            <w:vAlign w:val="center"/>
          </w:tcPr>
          <w:p>
            <w:pPr>
              <w:pStyle w:val="Obsahtabuky"/>
              <w:rPr/>
            </w:pPr>
            <w:r>
              <w:rPr/>
            </w:r>
          </w:p>
        </w:tc>
        <w:tc>
          <w:tcPr>
            <w:tcW w:w="2493" w:type="dxa"/>
            <w:tcBorders/>
            <w:shd w:fill="FFFFFF" w:val="clear"/>
            <w:vAlign w:val="center"/>
          </w:tcPr>
          <w:p>
            <w:pPr>
              <w:pStyle w:val="Obsahtabuky"/>
              <w:rPr/>
            </w:pPr>
            <w:r>
              <w:rPr/>
            </w:r>
          </w:p>
        </w:tc>
      </w:tr>
      <w:tr>
        <w:trPr>
          <w:trHeight w:val="315" w:hRule="atLeast"/>
        </w:trPr>
        <w:tc>
          <w:tcPr>
            <w:tcW w:w="2899" w:type="dxa"/>
            <w:tcBorders/>
            <w:shd w:fill="FFFFFF" w:val="clear"/>
            <w:vAlign w:val="center"/>
          </w:tcPr>
          <w:p>
            <w:pPr>
              <w:pStyle w:val="Obsahtabuky"/>
              <w:rPr>
                <w:b/>
                <w:b/>
                <w:bCs/>
              </w:rPr>
            </w:pPr>
            <w:r>
              <w:rPr>
                <w:b/>
                <w:bCs/>
              </w:rPr>
              <w:t>Záväzky spolu:</w:t>
            </w:r>
          </w:p>
        </w:tc>
        <w:tc>
          <w:tcPr>
            <w:tcW w:w="2484" w:type="dxa"/>
            <w:tcBorders/>
            <w:shd w:fill="FFFFFF" w:val="clear"/>
            <w:vAlign w:val="center"/>
          </w:tcPr>
          <w:p>
            <w:pPr>
              <w:pStyle w:val="Obsahtabuky"/>
              <w:jc w:val="center"/>
              <w:rPr/>
            </w:pPr>
            <w:r>
              <w:rPr>
                <w:b/>
                <w:bCs/>
                <w:sz w:val="16"/>
                <w:szCs w:val="16"/>
              </w:rPr>
              <w:t xml:space="preserve"> </w:t>
            </w:r>
            <w:r>
              <w:rPr>
                <w:b/>
                <w:bCs/>
                <w:sz w:val="16"/>
                <w:szCs w:val="16"/>
              </w:rPr>
              <w:t>39</w:t>
            </w:r>
            <w:r>
              <w:rPr>
                <w:b/>
                <w:bCs/>
                <w:sz w:val="16"/>
                <w:szCs w:val="16"/>
              </w:rPr>
              <w:t xml:space="preserve">                                                           </w:t>
            </w:r>
          </w:p>
        </w:tc>
        <w:tc>
          <w:tcPr>
            <w:tcW w:w="2493" w:type="dxa"/>
            <w:tcBorders/>
            <w:shd w:fill="FFFFFF" w:val="clear"/>
            <w:vAlign w:val="center"/>
          </w:tcPr>
          <w:p>
            <w:pPr>
              <w:pStyle w:val="Obsahtabuky"/>
              <w:rPr/>
            </w:pPr>
            <w:r>
              <w:rPr>
                <w:b/>
                <w:bCs/>
                <w:sz w:val="16"/>
                <w:szCs w:val="16"/>
              </w:rPr>
              <w:t xml:space="preserve">                   </w:t>
            </w:r>
            <w:r>
              <w:rPr>
                <w:b/>
                <w:bCs/>
                <w:sz w:val="16"/>
                <w:szCs w:val="16"/>
              </w:rPr>
              <w:t>408</w:t>
            </w:r>
          </w:p>
        </w:tc>
      </w:tr>
    </w:tbl>
    <w:p>
      <w:pPr>
        <w:pStyle w:val="Telotextu"/>
        <w:rPr>
          <w:b w:val="false"/>
          <w:b w:val="false"/>
          <w:bCs w:val="false"/>
          <w:sz w:val="18"/>
          <w:szCs w:val="18"/>
        </w:rPr>
      </w:pPr>
      <w:r>
        <w:rPr>
          <w:b w:val="false"/>
          <w:bCs w:val="false"/>
          <w:sz w:val="18"/>
          <w:szCs w:val="18"/>
        </w:rPr>
      </w:r>
    </w:p>
    <w:p>
      <w:pPr>
        <w:pStyle w:val="Telotextu"/>
        <w:rPr>
          <w:b w:val="false"/>
          <w:b w:val="false"/>
          <w:bCs w:val="false"/>
          <w:sz w:val="16"/>
          <w:szCs w:val="16"/>
        </w:rPr>
      </w:pPr>
      <w:r>
        <w:rPr>
          <w:b w:val="false"/>
          <w:bCs w:val="false"/>
          <w:sz w:val="16"/>
          <w:szCs w:val="16"/>
        </w:rPr>
        <w:t>Spoločnosť vykazuje za hodnotiace obdobie iba krátkodobé záväzky v lehote splatnosti</w:t>
      </w:r>
    </w:p>
    <w:p>
      <w:pPr>
        <w:pStyle w:val="Telotextu"/>
        <w:rPr>
          <w:b w:val="false"/>
          <w:b w:val="false"/>
          <w:bCs w:val="false"/>
          <w:sz w:val="16"/>
          <w:szCs w:val="16"/>
        </w:rPr>
      </w:pPr>
      <w:r>
        <w:rPr>
          <w:b w:val="false"/>
          <w:bCs w:val="false"/>
          <w:sz w:val="16"/>
          <w:szCs w:val="16"/>
        </w:rPr>
      </w:r>
    </w:p>
    <w:tbl>
      <w:tblPr>
        <w:tblW w:w="7889" w:type="dxa"/>
        <w:jc w:val="left"/>
        <w:tblInd w:w="0" w:type="dxa"/>
        <w:tblCellMar>
          <w:top w:w="0" w:type="dxa"/>
          <w:left w:w="0" w:type="dxa"/>
          <w:bottom w:w="0" w:type="dxa"/>
          <w:right w:w="0" w:type="dxa"/>
        </w:tblCellMar>
      </w:tblPr>
      <w:tblGrid>
        <w:gridCol w:w="2904"/>
        <w:gridCol w:w="2487"/>
        <w:gridCol w:w="2498"/>
      </w:tblGrid>
      <w:tr>
        <w:trPr>
          <w:trHeight w:val="300" w:hRule="atLeast"/>
        </w:trPr>
        <w:tc>
          <w:tcPr>
            <w:tcW w:w="2904" w:type="dxa"/>
            <w:tcBorders/>
            <w:shd w:fill="FFFFFF" w:val="clear"/>
            <w:vAlign w:val="center"/>
          </w:tcPr>
          <w:p>
            <w:pPr>
              <w:pStyle w:val="Obsahtabuky"/>
              <w:rPr>
                <w:b/>
                <w:b/>
                <w:bCs/>
                <w:sz w:val="16"/>
                <w:szCs w:val="16"/>
              </w:rPr>
            </w:pPr>
            <w:r>
              <w:rPr>
                <w:b/>
                <w:bCs/>
                <w:sz w:val="16"/>
                <w:szCs w:val="16"/>
              </w:rPr>
              <w:t>Názov položky</w:t>
            </w:r>
          </w:p>
        </w:tc>
        <w:tc>
          <w:tcPr>
            <w:tcW w:w="2487" w:type="dxa"/>
            <w:tcBorders/>
            <w:shd w:fill="FFFFFF" w:val="clear"/>
            <w:vAlign w:val="center"/>
          </w:tcPr>
          <w:p>
            <w:pPr>
              <w:pStyle w:val="Obsahtabuky"/>
              <w:jc w:val="center"/>
              <w:rPr>
                <w:b/>
                <w:b/>
                <w:bCs/>
                <w:sz w:val="16"/>
                <w:szCs w:val="16"/>
              </w:rPr>
            </w:pPr>
            <w:r>
              <w:rPr>
                <w:b/>
                <w:bCs/>
                <w:sz w:val="16"/>
                <w:szCs w:val="16"/>
              </w:rPr>
              <w:t>Bežné účtovné obdobie</w:t>
            </w:r>
          </w:p>
        </w:tc>
        <w:tc>
          <w:tcPr>
            <w:tcW w:w="2498" w:type="dxa"/>
            <w:tcBorders/>
            <w:shd w:fill="FFFFFF" w:val="clear"/>
            <w:vAlign w:val="center"/>
          </w:tcPr>
          <w:p>
            <w:pPr>
              <w:pStyle w:val="Obsahtabuky"/>
              <w:jc w:val="center"/>
              <w:rPr>
                <w:b/>
                <w:b/>
                <w:bCs/>
                <w:sz w:val="16"/>
                <w:szCs w:val="16"/>
              </w:rPr>
            </w:pPr>
            <w:r>
              <w:rPr>
                <w:b/>
                <w:bCs/>
                <w:sz w:val="16"/>
                <w:szCs w:val="16"/>
              </w:rPr>
              <w:t>Bezprostredne predchádzajúce</w:t>
            </w:r>
          </w:p>
        </w:tc>
      </w:tr>
      <w:tr>
        <w:trPr>
          <w:trHeight w:val="315" w:hRule="atLeast"/>
        </w:trPr>
        <w:tc>
          <w:tcPr>
            <w:tcW w:w="2904" w:type="dxa"/>
            <w:tcBorders/>
            <w:shd w:fill="FFFFFF" w:val="clear"/>
            <w:vAlign w:val="center"/>
          </w:tcPr>
          <w:p>
            <w:pPr>
              <w:pStyle w:val="Obsahtabuky"/>
              <w:rPr>
                <w:sz w:val="16"/>
                <w:szCs w:val="16"/>
              </w:rPr>
            </w:pPr>
            <w:r>
              <w:rPr>
                <w:sz w:val="16"/>
                <w:szCs w:val="16"/>
              </w:rPr>
              <w:t> </w:t>
            </w:r>
          </w:p>
        </w:tc>
        <w:tc>
          <w:tcPr>
            <w:tcW w:w="2487" w:type="dxa"/>
            <w:tcBorders/>
            <w:shd w:fill="FFFFFF" w:val="clear"/>
            <w:vAlign w:val="center"/>
          </w:tcPr>
          <w:p>
            <w:pPr>
              <w:pStyle w:val="Obsahtabuky"/>
              <w:jc w:val="center"/>
              <w:rPr>
                <w:b/>
                <w:b/>
                <w:bCs/>
                <w:sz w:val="16"/>
                <w:szCs w:val="16"/>
              </w:rPr>
            </w:pPr>
            <w:r>
              <w:rPr>
                <w:b/>
                <w:bCs/>
                <w:sz w:val="16"/>
                <w:szCs w:val="16"/>
              </w:rPr>
              <w:t>účtovné obdobie</w:t>
            </w:r>
          </w:p>
        </w:tc>
        <w:tc>
          <w:tcPr>
            <w:tcW w:w="2498" w:type="dxa"/>
            <w:tcBorders/>
            <w:shd w:fill="FFFFFF" w:val="clear"/>
            <w:vAlign w:val="center"/>
          </w:tcPr>
          <w:p>
            <w:pPr>
              <w:pStyle w:val="Obsahtabuky"/>
              <w:jc w:val="center"/>
              <w:rPr>
                <w:b/>
                <w:b/>
                <w:bCs/>
                <w:sz w:val="16"/>
                <w:szCs w:val="16"/>
              </w:rPr>
            </w:pPr>
            <w:r>
              <w:rPr>
                <w:b/>
                <w:bCs/>
                <w:sz w:val="16"/>
                <w:szCs w:val="16"/>
              </w:rPr>
              <w:t>účtovné obdobie</w:t>
            </w:r>
          </w:p>
        </w:tc>
      </w:tr>
      <w:tr>
        <w:trPr>
          <w:trHeight w:val="315" w:hRule="atLeast"/>
        </w:trPr>
        <w:tc>
          <w:tcPr>
            <w:tcW w:w="2904" w:type="dxa"/>
            <w:tcBorders/>
            <w:shd w:fill="FFFFFF" w:val="clear"/>
            <w:vAlign w:val="center"/>
          </w:tcPr>
          <w:p>
            <w:pPr>
              <w:pStyle w:val="Obsahtabuky"/>
              <w:rPr>
                <w:b/>
                <w:b/>
                <w:bCs/>
                <w:sz w:val="16"/>
                <w:szCs w:val="16"/>
              </w:rPr>
            </w:pPr>
            <w:r>
              <w:rPr>
                <w:b/>
                <w:bCs/>
                <w:sz w:val="16"/>
                <w:szCs w:val="16"/>
              </w:rPr>
              <w:t>Krátkodobé pôžičky</w:t>
            </w:r>
          </w:p>
        </w:tc>
        <w:tc>
          <w:tcPr>
            <w:tcW w:w="2487" w:type="dxa"/>
            <w:tcBorders/>
            <w:shd w:fill="FFFFFF" w:val="clear"/>
            <w:vAlign w:val="center"/>
          </w:tcPr>
          <w:p>
            <w:pPr>
              <w:pStyle w:val="Obsahtabuky"/>
              <w:rPr>
                <w:sz w:val="16"/>
                <w:szCs w:val="16"/>
              </w:rPr>
            </w:pPr>
            <w:r>
              <w:rPr>
                <w:sz w:val="16"/>
                <w:szCs w:val="16"/>
              </w:rPr>
              <w:t> </w:t>
            </w:r>
          </w:p>
        </w:tc>
        <w:tc>
          <w:tcPr>
            <w:tcW w:w="2498" w:type="dxa"/>
            <w:tcBorders/>
            <w:shd w:fill="FFFFFF" w:val="clear"/>
            <w:vAlign w:val="center"/>
          </w:tcPr>
          <w:p>
            <w:pPr>
              <w:pStyle w:val="Obsahtabuky"/>
              <w:rPr>
                <w:sz w:val="16"/>
                <w:szCs w:val="16"/>
              </w:rPr>
            </w:pPr>
            <w:r>
              <w:rPr>
                <w:sz w:val="16"/>
                <w:szCs w:val="16"/>
              </w:rPr>
              <w:t> </w:t>
            </w:r>
          </w:p>
        </w:tc>
      </w:tr>
      <w:tr>
        <w:trPr>
          <w:trHeight w:val="300" w:hRule="atLeast"/>
        </w:trPr>
        <w:tc>
          <w:tcPr>
            <w:tcW w:w="2904" w:type="dxa"/>
            <w:tcBorders/>
            <w:shd w:fill="FFFFFF" w:val="clear"/>
            <w:vAlign w:val="center"/>
          </w:tcPr>
          <w:p>
            <w:pPr>
              <w:pStyle w:val="Obsahtabuky"/>
              <w:rPr>
                <w:sz w:val="16"/>
                <w:szCs w:val="16"/>
              </w:rPr>
            </w:pPr>
            <w:r>
              <w:rPr>
                <w:sz w:val="16"/>
                <w:szCs w:val="16"/>
              </w:rPr>
              <w:t> </w:t>
            </w:r>
          </w:p>
        </w:tc>
        <w:tc>
          <w:tcPr>
            <w:tcW w:w="2487" w:type="dxa"/>
            <w:tcBorders/>
            <w:shd w:fill="FFFFFF" w:val="clear"/>
            <w:vAlign w:val="center"/>
          </w:tcPr>
          <w:p>
            <w:pPr>
              <w:pStyle w:val="Obsahtabuky"/>
              <w:rPr>
                <w:sz w:val="16"/>
                <w:szCs w:val="16"/>
              </w:rPr>
            </w:pPr>
            <w:r>
              <w:rPr>
                <w:sz w:val="16"/>
                <w:szCs w:val="16"/>
              </w:rPr>
              <w:t> </w:t>
            </w:r>
          </w:p>
        </w:tc>
        <w:tc>
          <w:tcPr>
            <w:tcW w:w="2498" w:type="dxa"/>
            <w:tcBorders/>
            <w:shd w:fill="FFFFFF" w:val="clear"/>
            <w:vAlign w:val="center"/>
          </w:tcPr>
          <w:p>
            <w:pPr>
              <w:pStyle w:val="Obsahtabuky"/>
              <w:rPr>
                <w:sz w:val="16"/>
                <w:szCs w:val="16"/>
              </w:rPr>
            </w:pPr>
            <w:r>
              <w:rPr>
                <w:sz w:val="16"/>
                <w:szCs w:val="16"/>
              </w:rPr>
              <w:t> </w:t>
            </w:r>
          </w:p>
        </w:tc>
      </w:tr>
      <w:tr>
        <w:trPr>
          <w:trHeight w:val="300" w:hRule="atLeast"/>
        </w:trPr>
        <w:tc>
          <w:tcPr>
            <w:tcW w:w="2904" w:type="dxa"/>
            <w:tcBorders/>
            <w:shd w:fill="FFFFFF" w:val="clear"/>
            <w:vAlign w:val="center"/>
          </w:tcPr>
          <w:p>
            <w:pPr>
              <w:pStyle w:val="Obsahtabuky"/>
              <w:rPr>
                <w:sz w:val="16"/>
                <w:szCs w:val="16"/>
              </w:rPr>
            </w:pPr>
            <w:r>
              <w:rPr>
                <w:sz w:val="16"/>
                <w:szCs w:val="16"/>
              </w:rPr>
              <w:t> </w:t>
            </w:r>
          </w:p>
        </w:tc>
        <w:tc>
          <w:tcPr>
            <w:tcW w:w="2487" w:type="dxa"/>
            <w:tcBorders/>
            <w:shd w:fill="FFFFFF" w:val="clear"/>
            <w:vAlign w:val="center"/>
          </w:tcPr>
          <w:p>
            <w:pPr>
              <w:pStyle w:val="Obsahtabuky"/>
              <w:rPr>
                <w:sz w:val="16"/>
                <w:szCs w:val="16"/>
              </w:rPr>
            </w:pPr>
            <w:r>
              <w:rPr>
                <w:sz w:val="16"/>
                <w:szCs w:val="16"/>
              </w:rPr>
              <w:t> </w:t>
            </w:r>
          </w:p>
        </w:tc>
        <w:tc>
          <w:tcPr>
            <w:tcW w:w="2498" w:type="dxa"/>
            <w:tcBorders/>
            <w:shd w:fill="FFFFFF" w:val="clear"/>
            <w:vAlign w:val="center"/>
          </w:tcPr>
          <w:p>
            <w:pPr>
              <w:pStyle w:val="Obsahtabuky"/>
              <w:rPr>
                <w:sz w:val="16"/>
                <w:szCs w:val="16"/>
              </w:rPr>
            </w:pPr>
            <w:r>
              <w:rPr>
                <w:sz w:val="16"/>
                <w:szCs w:val="16"/>
              </w:rPr>
              <w:t> </w:t>
            </w:r>
          </w:p>
        </w:tc>
      </w:tr>
      <w:tr>
        <w:trPr>
          <w:trHeight w:val="300" w:hRule="atLeast"/>
        </w:trPr>
        <w:tc>
          <w:tcPr>
            <w:tcW w:w="2904" w:type="dxa"/>
            <w:tcBorders/>
            <w:shd w:fill="FFFFFF" w:val="clear"/>
            <w:vAlign w:val="center"/>
          </w:tcPr>
          <w:p>
            <w:pPr>
              <w:pStyle w:val="Obsahtabuky"/>
              <w:rPr>
                <w:sz w:val="16"/>
                <w:szCs w:val="16"/>
              </w:rPr>
            </w:pPr>
            <w:r>
              <w:rPr>
                <w:sz w:val="16"/>
                <w:szCs w:val="16"/>
              </w:rPr>
              <w:t>Úroky z pôžičiek</w:t>
            </w:r>
          </w:p>
        </w:tc>
        <w:tc>
          <w:tcPr>
            <w:tcW w:w="2487" w:type="dxa"/>
            <w:tcBorders/>
            <w:shd w:fill="FFFFFF" w:val="clear"/>
            <w:vAlign w:val="center"/>
          </w:tcPr>
          <w:p>
            <w:pPr>
              <w:pStyle w:val="Obsahtabuky"/>
              <w:rPr>
                <w:sz w:val="16"/>
                <w:szCs w:val="16"/>
              </w:rPr>
            </w:pPr>
            <w:r>
              <w:rPr>
                <w:sz w:val="16"/>
                <w:szCs w:val="16"/>
              </w:rPr>
              <w:t> </w:t>
            </w:r>
          </w:p>
        </w:tc>
        <w:tc>
          <w:tcPr>
            <w:tcW w:w="2498" w:type="dxa"/>
            <w:tcBorders/>
            <w:shd w:fill="FFFFFF" w:val="clear"/>
            <w:vAlign w:val="center"/>
          </w:tcPr>
          <w:p>
            <w:pPr>
              <w:pStyle w:val="Obsahtabuky"/>
              <w:rPr>
                <w:sz w:val="16"/>
                <w:szCs w:val="16"/>
              </w:rPr>
            </w:pPr>
            <w:r>
              <w:rPr>
                <w:sz w:val="16"/>
                <w:szCs w:val="16"/>
              </w:rPr>
              <w:t> </w:t>
            </w:r>
          </w:p>
        </w:tc>
      </w:tr>
      <w:tr>
        <w:trPr>
          <w:trHeight w:val="315" w:hRule="atLeast"/>
        </w:trPr>
        <w:tc>
          <w:tcPr>
            <w:tcW w:w="2904" w:type="dxa"/>
            <w:tcBorders/>
            <w:shd w:fill="FFFFFF" w:val="clear"/>
            <w:vAlign w:val="center"/>
          </w:tcPr>
          <w:p>
            <w:pPr>
              <w:pStyle w:val="Obsahtabuky"/>
              <w:rPr>
                <w:sz w:val="16"/>
                <w:szCs w:val="16"/>
              </w:rPr>
            </w:pPr>
            <w:r>
              <w:rPr>
                <w:sz w:val="16"/>
                <w:szCs w:val="16"/>
              </w:rPr>
              <w:t>Krátkodobé pôžičky spolu:</w:t>
            </w:r>
          </w:p>
        </w:tc>
        <w:tc>
          <w:tcPr>
            <w:tcW w:w="2487" w:type="dxa"/>
            <w:tcBorders/>
            <w:shd w:fill="FFFFFF" w:val="clear"/>
            <w:vAlign w:val="center"/>
          </w:tcPr>
          <w:p>
            <w:pPr>
              <w:pStyle w:val="Obsahtabuky"/>
              <w:rPr>
                <w:sz w:val="16"/>
                <w:szCs w:val="16"/>
              </w:rPr>
            </w:pPr>
            <w:r>
              <w:rPr>
                <w:sz w:val="16"/>
                <w:szCs w:val="16"/>
              </w:rPr>
              <w:t> </w:t>
            </w:r>
          </w:p>
        </w:tc>
        <w:tc>
          <w:tcPr>
            <w:tcW w:w="2498" w:type="dxa"/>
            <w:tcBorders/>
            <w:shd w:fill="FFFFFF" w:val="clear"/>
            <w:vAlign w:val="center"/>
          </w:tcPr>
          <w:p>
            <w:pPr>
              <w:pStyle w:val="Obsahtabuky"/>
              <w:rPr>
                <w:sz w:val="16"/>
                <w:szCs w:val="16"/>
              </w:rPr>
            </w:pPr>
            <w:r>
              <w:rPr>
                <w:sz w:val="16"/>
                <w:szCs w:val="16"/>
              </w:rPr>
              <w:t> </w:t>
            </w:r>
          </w:p>
        </w:tc>
      </w:tr>
      <w:tr>
        <w:trPr>
          <w:trHeight w:val="300" w:hRule="atLeast"/>
        </w:trPr>
        <w:tc>
          <w:tcPr>
            <w:tcW w:w="2904" w:type="dxa"/>
            <w:tcBorders/>
            <w:shd w:fill="FFFFFF" w:val="clear"/>
            <w:vAlign w:val="center"/>
          </w:tcPr>
          <w:p>
            <w:pPr>
              <w:pStyle w:val="Obsahtabuky"/>
              <w:rPr>
                <w:sz w:val="16"/>
                <w:szCs w:val="16"/>
              </w:rPr>
            </w:pPr>
            <w:r>
              <w:rPr>
                <w:sz w:val="16"/>
                <w:szCs w:val="16"/>
              </w:rPr>
              <w:t> </w:t>
            </w:r>
          </w:p>
        </w:tc>
        <w:tc>
          <w:tcPr>
            <w:tcW w:w="2487" w:type="dxa"/>
            <w:tcBorders/>
            <w:shd w:fill="FFFFFF" w:val="clear"/>
            <w:vAlign w:val="center"/>
          </w:tcPr>
          <w:p>
            <w:pPr>
              <w:pStyle w:val="Obsahtabuky"/>
              <w:rPr>
                <w:sz w:val="16"/>
                <w:szCs w:val="16"/>
              </w:rPr>
            </w:pPr>
            <w:r>
              <w:rPr>
                <w:sz w:val="16"/>
                <w:szCs w:val="16"/>
              </w:rPr>
              <w:t> </w:t>
            </w:r>
          </w:p>
        </w:tc>
        <w:tc>
          <w:tcPr>
            <w:tcW w:w="2498" w:type="dxa"/>
            <w:tcBorders/>
            <w:shd w:fill="FFFFFF" w:val="clear"/>
            <w:vAlign w:val="center"/>
          </w:tcPr>
          <w:p>
            <w:pPr>
              <w:pStyle w:val="Obsahtabuky"/>
              <w:rPr>
                <w:sz w:val="16"/>
                <w:szCs w:val="16"/>
              </w:rPr>
            </w:pPr>
            <w:r>
              <w:rPr>
                <w:sz w:val="16"/>
                <w:szCs w:val="16"/>
              </w:rPr>
              <w:t> </w:t>
            </w:r>
          </w:p>
        </w:tc>
      </w:tr>
      <w:tr>
        <w:trPr>
          <w:trHeight w:val="300" w:hRule="atLeast"/>
        </w:trPr>
        <w:tc>
          <w:tcPr>
            <w:tcW w:w="2904" w:type="dxa"/>
            <w:tcBorders/>
            <w:shd w:fill="FFFFFF" w:val="clear"/>
            <w:vAlign w:val="center"/>
          </w:tcPr>
          <w:p>
            <w:pPr>
              <w:pStyle w:val="Obsahtabuky"/>
              <w:rPr>
                <w:b/>
                <w:b/>
                <w:bCs/>
                <w:sz w:val="16"/>
                <w:szCs w:val="16"/>
              </w:rPr>
            </w:pPr>
            <w:r>
              <w:rPr>
                <w:b/>
                <w:bCs/>
                <w:sz w:val="16"/>
                <w:szCs w:val="16"/>
              </w:rPr>
              <w:t>Krátkodobé finančné výpomoci</w:t>
            </w:r>
          </w:p>
        </w:tc>
        <w:tc>
          <w:tcPr>
            <w:tcW w:w="2487" w:type="dxa"/>
            <w:tcBorders/>
            <w:shd w:fill="FFFFFF" w:val="clear"/>
            <w:vAlign w:val="center"/>
          </w:tcPr>
          <w:p>
            <w:pPr>
              <w:pStyle w:val="Obsahtabuky"/>
              <w:rPr>
                <w:sz w:val="16"/>
                <w:szCs w:val="16"/>
              </w:rPr>
            </w:pPr>
            <w:r>
              <w:rPr>
                <w:sz w:val="16"/>
                <w:szCs w:val="16"/>
              </w:rPr>
              <w:t> </w:t>
            </w:r>
          </w:p>
        </w:tc>
        <w:tc>
          <w:tcPr>
            <w:tcW w:w="2498" w:type="dxa"/>
            <w:tcBorders/>
            <w:shd w:fill="FFFFFF" w:val="clear"/>
            <w:vAlign w:val="center"/>
          </w:tcPr>
          <w:p>
            <w:pPr>
              <w:pStyle w:val="Obsahtabuky"/>
              <w:rPr>
                <w:sz w:val="16"/>
                <w:szCs w:val="16"/>
              </w:rPr>
            </w:pPr>
            <w:r>
              <w:rPr>
                <w:sz w:val="16"/>
                <w:szCs w:val="16"/>
              </w:rPr>
              <w:t> </w:t>
            </w:r>
          </w:p>
        </w:tc>
      </w:tr>
      <w:tr>
        <w:trPr>
          <w:trHeight w:val="300" w:hRule="atLeast"/>
        </w:trPr>
        <w:tc>
          <w:tcPr>
            <w:tcW w:w="2904" w:type="dxa"/>
            <w:tcBorders/>
            <w:shd w:fill="FFFFFF" w:val="clear"/>
            <w:vAlign w:val="center"/>
          </w:tcPr>
          <w:p>
            <w:pPr>
              <w:pStyle w:val="Obsahtabuky"/>
              <w:rPr>
                <w:sz w:val="16"/>
                <w:szCs w:val="16"/>
              </w:rPr>
            </w:pPr>
            <w:r>
              <w:rPr>
                <w:sz w:val="16"/>
                <w:szCs w:val="16"/>
              </w:rPr>
              <w:t> </w:t>
            </w:r>
          </w:p>
        </w:tc>
        <w:tc>
          <w:tcPr>
            <w:tcW w:w="2487" w:type="dxa"/>
            <w:tcBorders/>
            <w:shd w:fill="FFFFFF" w:val="clear"/>
            <w:vAlign w:val="center"/>
          </w:tcPr>
          <w:p>
            <w:pPr>
              <w:pStyle w:val="Obsahtabuky"/>
              <w:rPr>
                <w:sz w:val="16"/>
                <w:szCs w:val="16"/>
              </w:rPr>
            </w:pPr>
            <w:r>
              <w:rPr>
                <w:sz w:val="16"/>
                <w:szCs w:val="16"/>
              </w:rPr>
              <w:t> </w:t>
            </w:r>
          </w:p>
        </w:tc>
        <w:tc>
          <w:tcPr>
            <w:tcW w:w="2498" w:type="dxa"/>
            <w:tcBorders/>
            <w:shd w:fill="FFFFFF" w:val="clear"/>
            <w:vAlign w:val="center"/>
          </w:tcPr>
          <w:p>
            <w:pPr>
              <w:pStyle w:val="Obsahtabuky"/>
              <w:rPr>
                <w:sz w:val="16"/>
                <w:szCs w:val="16"/>
              </w:rPr>
            </w:pPr>
            <w:r>
              <w:rPr>
                <w:sz w:val="16"/>
                <w:szCs w:val="16"/>
              </w:rPr>
              <w:t> </w:t>
            </w:r>
          </w:p>
        </w:tc>
      </w:tr>
      <w:tr>
        <w:trPr>
          <w:trHeight w:val="300" w:hRule="atLeast"/>
        </w:trPr>
        <w:tc>
          <w:tcPr>
            <w:tcW w:w="2904" w:type="dxa"/>
            <w:tcBorders/>
            <w:shd w:fill="FFFFFF" w:val="clear"/>
            <w:vAlign w:val="center"/>
          </w:tcPr>
          <w:p>
            <w:pPr>
              <w:pStyle w:val="Obsahtabuky"/>
              <w:rPr>
                <w:sz w:val="16"/>
                <w:szCs w:val="16"/>
              </w:rPr>
            </w:pPr>
            <w:r>
              <w:rPr>
                <w:sz w:val="16"/>
                <w:szCs w:val="16"/>
              </w:rPr>
              <w:t> </w:t>
            </w:r>
          </w:p>
        </w:tc>
        <w:tc>
          <w:tcPr>
            <w:tcW w:w="2487" w:type="dxa"/>
            <w:tcBorders/>
            <w:shd w:fill="FFFFFF" w:val="clear"/>
            <w:vAlign w:val="center"/>
          </w:tcPr>
          <w:p>
            <w:pPr>
              <w:pStyle w:val="Obsahtabuky"/>
              <w:rPr>
                <w:sz w:val="16"/>
                <w:szCs w:val="16"/>
              </w:rPr>
            </w:pPr>
            <w:r>
              <w:rPr>
                <w:sz w:val="16"/>
                <w:szCs w:val="16"/>
              </w:rPr>
              <w:t> </w:t>
            </w:r>
          </w:p>
        </w:tc>
        <w:tc>
          <w:tcPr>
            <w:tcW w:w="2498" w:type="dxa"/>
            <w:tcBorders/>
            <w:shd w:fill="FFFFFF" w:val="clear"/>
            <w:vAlign w:val="center"/>
          </w:tcPr>
          <w:p>
            <w:pPr>
              <w:pStyle w:val="Obsahtabuky"/>
              <w:rPr>
                <w:sz w:val="16"/>
                <w:szCs w:val="16"/>
              </w:rPr>
            </w:pPr>
            <w:r>
              <w:rPr>
                <w:sz w:val="16"/>
                <w:szCs w:val="16"/>
              </w:rPr>
              <w:t> </w:t>
            </w:r>
          </w:p>
        </w:tc>
      </w:tr>
      <w:tr>
        <w:trPr>
          <w:trHeight w:val="315" w:hRule="atLeast"/>
        </w:trPr>
        <w:tc>
          <w:tcPr>
            <w:tcW w:w="2904" w:type="dxa"/>
            <w:tcBorders/>
            <w:shd w:fill="FFFFFF" w:val="clear"/>
            <w:vAlign w:val="center"/>
          </w:tcPr>
          <w:p>
            <w:pPr>
              <w:pStyle w:val="Obsahtabuky"/>
              <w:rPr>
                <w:sz w:val="16"/>
                <w:szCs w:val="16"/>
              </w:rPr>
            </w:pPr>
            <w:r>
              <w:rPr>
                <w:sz w:val="16"/>
                <w:szCs w:val="16"/>
              </w:rPr>
              <w:t>Úroky z finančných výpomocí</w:t>
            </w:r>
          </w:p>
        </w:tc>
        <w:tc>
          <w:tcPr>
            <w:tcW w:w="2487" w:type="dxa"/>
            <w:tcBorders/>
            <w:shd w:fill="FFFFFF" w:val="clear"/>
            <w:vAlign w:val="center"/>
          </w:tcPr>
          <w:p>
            <w:pPr>
              <w:pStyle w:val="Obsahtabuky"/>
              <w:rPr>
                <w:sz w:val="16"/>
                <w:szCs w:val="16"/>
              </w:rPr>
            </w:pPr>
            <w:r>
              <w:rPr>
                <w:sz w:val="16"/>
                <w:szCs w:val="16"/>
              </w:rPr>
              <w:t> </w:t>
            </w:r>
          </w:p>
        </w:tc>
        <w:tc>
          <w:tcPr>
            <w:tcW w:w="2498" w:type="dxa"/>
            <w:tcBorders/>
            <w:shd w:fill="FFFFFF" w:val="clear"/>
            <w:vAlign w:val="center"/>
          </w:tcPr>
          <w:p>
            <w:pPr>
              <w:pStyle w:val="Obsahtabuky"/>
              <w:rPr>
                <w:sz w:val="16"/>
                <w:szCs w:val="16"/>
              </w:rPr>
            </w:pPr>
            <w:r>
              <w:rPr>
                <w:sz w:val="16"/>
                <w:szCs w:val="16"/>
              </w:rPr>
              <w:t> </w:t>
            </w:r>
          </w:p>
        </w:tc>
      </w:tr>
      <w:tr>
        <w:trPr>
          <w:trHeight w:val="300" w:hRule="atLeast"/>
        </w:trPr>
        <w:tc>
          <w:tcPr>
            <w:tcW w:w="2904" w:type="dxa"/>
            <w:tcBorders/>
            <w:shd w:fill="FFFFFF" w:val="clear"/>
            <w:vAlign w:val="center"/>
          </w:tcPr>
          <w:p>
            <w:pPr>
              <w:pStyle w:val="Obsahtabuky"/>
              <w:rPr>
                <w:b/>
                <w:b/>
                <w:bCs/>
                <w:sz w:val="16"/>
                <w:szCs w:val="16"/>
              </w:rPr>
            </w:pPr>
            <w:r>
              <w:rPr>
                <w:b/>
                <w:bCs/>
                <w:sz w:val="16"/>
                <w:szCs w:val="16"/>
              </w:rPr>
              <w:t>Krátkodobé výpomoci spolu:</w:t>
            </w:r>
          </w:p>
        </w:tc>
        <w:tc>
          <w:tcPr>
            <w:tcW w:w="2487" w:type="dxa"/>
            <w:tcBorders/>
            <w:shd w:fill="FFFFFF" w:val="clear"/>
            <w:vAlign w:val="center"/>
          </w:tcPr>
          <w:p>
            <w:pPr>
              <w:pStyle w:val="Obsahtabuky"/>
              <w:rPr>
                <w:sz w:val="16"/>
                <w:szCs w:val="16"/>
              </w:rPr>
            </w:pPr>
            <w:r>
              <w:rPr>
                <w:sz w:val="16"/>
                <w:szCs w:val="16"/>
              </w:rPr>
              <w:t> </w:t>
            </w:r>
          </w:p>
        </w:tc>
        <w:tc>
          <w:tcPr>
            <w:tcW w:w="2498" w:type="dxa"/>
            <w:tcBorders/>
            <w:shd w:fill="FFFFFF" w:val="clear"/>
            <w:vAlign w:val="center"/>
          </w:tcPr>
          <w:p>
            <w:pPr>
              <w:pStyle w:val="Obsahtabuky"/>
              <w:rPr>
                <w:sz w:val="16"/>
                <w:szCs w:val="16"/>
              </w:rPr>
            </w:pPr>
            <w:r>
              <w:rPr>
                <w:sz w:val="16"/>
                <w:szCs w:val="16"/>
              </w:rPr>
              <w:t> </w:t>
            </w:r>
          </w:p>
        </w:tc>
      </w:tr>
      <w:tr>
        <w:trPr>
          <w:trHeight w:val="315" w:hRule="atLeast"/>
        </w:trPr>
        <w:tc>
          <w:tcPr>
            <w:tcW w:w="2904" w:type="dxa"/>
            <w:tcBorders/>
            <w:shd w:fill="FFFFFF" w:val="clear"/>
            <w:vAlign w:val="center"/>
          </w:tcPr>
          <w:p>
            <w:pPr>
              <w:pStyle w:val="Obsahtabuky"/>
              <w:rPr>
                <w:sz w:val="16"/>
                <w:szCs w:val="16"/>
              </w:rPr>
            </w:pPr>
            <w:r>
              <w:rPr>
                <w:sz w:val="16"/>
                <w:szCs w:val="16"/>
              </w:rPr>
              <w:t> </w:t>
            </w:r>
          </w:p>
        </w:tc>
        <w:tc>
          <w:tcPr>
            <w:tcW w:w="2487" w:type="dxa"/>
            <w:tcBorders/>
            <w:shd w:fill="FFFFFF" w:val="clear"/>
            <w:vAlign w:val="center"/>
          </w:tcPr>
          <w:p>
            <w:pPr>
              <w:pStyle w:val="Obsahtabuky"/>
              <w:rPr>
                <w:sz w:val="16"/>
                <w:szCs w:val="16"/>
              </w:rPr>
            </w:pPr>
            <w:r>
              <w:rPr>
                <w:sz w:val="16"/>
                <w:szCs w:val="16"/>
              </w:rPr>
              <w:t> </w:t>
            </w:r>
          </w:p>
        </w:tc>
        <w:tc>
          <w:tcPr>
            <w:tcW w:w="2498" w:type="dxa"/>
            <w:tcBorders/>
            <w:shd w:fill="FFFFFF" w:val="clear"/>
            <w:vAlign w:val="center"/>
          </w:tcPr>
          <w:p>
            <w:pPr>
              <w:pStyle w:val="Obsahtabuky"/>
              <w:rPr>
                <w:sz w:val="16"/>
                <w:szCs w:val="16"/>
              </w:rPr>
            </w:pPr>
            <w:r>
              <w:rPr>
                <w:sz w:val="16"/>
                <w:szCs w:val="16"/>
              </w:rPr>
              <w:t> </w:t>
            </w:r>
          </w:p>
        </w:tc>
      </w:tr>
    </w:tbl>
    <w:p>
      <w:pPr>
        <w:pStyle w:val="Telotextu"/>
        <w:rPr>
          <w:b w:val="false"/>
          <w:b w:val="false"/>
          <w:bCs w:val="false"/>
          <w:sz w:val="18"/>
          <w:szCs w:val="18"/>
        </w:rPr>
      </w:pPr>
      <w:r>
        <w:rPr>
          <w:b w:val="false"/>
          <w:bCs w:val="false"/>
          <w:sz w:val="18"/>
          <w:szCs w:val="18"/>
        </w:rPr>
      </w:r>
    </w:p>
    <w:p>
      <w:pPr>
        <w:pStyle w:val="Telotextu"/>
        <w:rPr>
          <w:b w:val="false"/>
          <w:b w:val="false"/>
          <w:bCs w:val="false"/>
          <w:sz w:val="16"/>
          <w:szCs w:val="16"/>
        </w:rPr>
      </w:pPr>
      <w:r>
        <w:rPr>
          <w:b w:val="false"/>
          <w:bCs w:val="false"/>
          <w:sz w:val="16"/>
          <w:szCs w:val="16"/>
        </w:rPr>
        <w:t xml:space="preserve">Spoločnosť v hodnotiacom období nečerpala žiadne bankové úvery, ani neposkytla žiadne pôžičky </w:t>
      </w:r>
    </w:p>
    <w:p>
      <w:pPr>
        <w:pStyle w:val="Telotextu"/>
        <w:rPr>
          <w:b w:val="false"/>
          <w:b w:val="false"/>
          <w:bCs w:val="false"/>
          <w:sz w:val="16"/>
          <w:szCs w:val="16"/>
        </w:rPr>
      </w:pPr>
      <w:r>
        <w:rPr>
          <w:b w:val="false"/>
          <w:bCs w:val="false"/>
          <w:sz w:val="16"/>
          <w:szCs w:val="16"/>
        </w:rPr>
        <w:t>ani finančné výpomoci.</w:t>
      </w:r>
      <w:r>
        <w:br w:type="page"/>
      </w:r>
    </w:p>
    <w:p>
      <w:pPr>
        <w:pStyle w:val="Nadpis2"/>
        <w:rPr/>
      </w:pPr>
      <w:r>
        <w:rPr/>
      </w:r>
    </w:p>
    <w:p>
      <w:pPr>
        <w:pStyle w:val="Nadpis2"/>
        <w:rPr/>
      </w:pPr>
      <w:r>
        <w:rPr/>
      </w:r>
    </w:p>
    <w:p>
      <w:pPr>
        <w:pStyle w:val="Nadpis2"/>
        <w:rPr/>
      </w:pPr>
      <w:r>
        <w:rPr/>
      </w:r>
    </w:p>
    <w:p>
      <w:pPr>
        <w:pStyle w:val="Nadpis2"/>
        <w:rPr>
          <w:rFonts w:cs="Arial"/>
          <w:b/>
          <w:b/>
          <w:bCs/>
          <w:caps/>
          <w:sz w:val="18"/>
          <w:szCs w:val="32"/>
          <w:u w:val="none"/>
        </w:rPr>
      </w:pPr>
      <w:r>
        <w:rPr>
          <w:rFonts w:cs="Arial"/>
          <w:b/>
          <w:bCs/>
          <w:caps/>
          <w:sz w:val="18"/>
          <w:szCs w:val="32"/>
          <w:u w:val="none"/>
        </w:rPr>
        <w:t>V.  Informácie o výnosoch</w:t>
      </w:r>
    </w:p>
    <w:p>
      <w:pPr>
        <w:pStyle w:val="Nadpis2"/>
        <w:rPr/>
      </w:pPr>
      <w:r>
        <w:rPr/>
      </w:r>
    </w:p>
    <w:p>
      <w:pPr>
        <w:pStyle w:val="Normal"/>
        <w:rPr/>
      </w:pPr>
      <w:r>
        <w:rPr>
          <w:sz w:val="16"/>
          <w:szCs w:val="16"/>
        </w:rPr>
        <w:t>Za rok 201</w:t>
      </w:r>
      <w:r>
        <w:rPr>
          <w:sz w:val="16"/>
          <w:szCs w:val="16"/>
        </w:rPr>
        <w:t>9</w:t>
      </w:r>
      <w:r>
        <w:rPr>
          <w:sz w:val="16"/>
          <w:szCs w:val="16"/>
        </w:rPr>
        <w:t xml:space="preserve"> spoločnosť dosiahla celkové výnosy vo výške   </w:t>
      </w:r>
      <w:r>
        <w:rPr>
          <w:b/>
          <w:bCs/>
          <w:sz w:val="16"/>
          <w:szCs w:val="16"/>
        </w:rPr>
        <w:t>0,00</w:t>
      </w:r>
      <w:r>
        <w:rPr>
          <w:sz w:val="16"/>
          <w:szCs w:val="16"/>
        </w:rPr>
        <w:t xml:space="preserve"> </w:t>
      </w:r>
      <w:r>
        <w:rPr>
          <w:b/>
          <w:bCs/>
          <w:sz w:val="16"/>
          <w:szCs w:val="16"/>
        </w:rPr>
        <w:t>€</w:t>
      </w:r>
    </w:p>
    <w:p>
      <w:pPr>
        <w:pStyle w:val="Normal"/>
        <w:rPr>
          <w:sz w:val="16"/>
          <w:szCs w:val="16"/>
        </w:rPr>
      </w:pPr>
      <w:r>
        <w:rPr>
          <w:sz w:val="16"/>
          <w:szCs w:val="16"/>
        </w:rPr>
      </w:r>
    </w:p>
    <w:p>
      <w:pPr>
        <w:pStyle w:val="Normal"/>
        <w:rPr>
          <w:b w:val="false"/>
          <w:b w:val="false"/>
          <w:bCs w:val="false"/>
          <w:sz w:val="16"/>
          <w:szCs w:val="16"/>
        </w:rPr>
      </w:pPr>
      <w:r>
        <w:rPr>
          <w:b w:val="false"/>
          <w:bCs w:val="false"/>
          <w:sz w:val="16"/>
          <w:szCs w:val="16"/>
        </w:rPr>
        <w:t xml:space="preserve">Tržby za vlastné výkony a tovar neobsahujú daň z pridanej hodnoty. Sú znížené o zľavy a zrážky bez ohľadu na to, či zákazník mal vopred na zľavu nárok, alebo či ide o dodatočne uznanú zľavu. </w:t>
      </w:r>
    </w:p>
    <w:p>
      <w:pPr>
        <w:pStyle w:val="Normal"/>
        <w:rPr>
          <w:b w:val="false"/>
          <w:b w:val="false"/>
          <w:bCs w:val="false"/>
          <w:sz w:val="16"/>
          <w:szCs w:val="16"/>
        </w:rPr>
      </w:pPr>
      <w:r>
        <w:rPr>
          <w:b w:val="false"/>
          <w:bCs w:val="false"/>
          <w:sz w:val="16"/>
          <w:szCs w:val="16"/>
        </w:rPr>
      </w:r>
    </w:p>
    <w:p>
      <w:pPr>
        <w:pStyle w:val="Normal"/>
        <w:rPr>
          <w:b w:val="false"/>
          <w:b w:val="false"/>
          <w:bCs w:val="false"/>
          <w:sz w:val="16"/>
          <w:szCs w:val="16"/>
        </w:rPr>
      </w:pPr>
      <w:r>
        <w:rPr>
          <w:b w:val="false"/>
          <w:bCs w:val="false"/>
          <w:sz w:val="16"/>
          <w:szCs w:val="16"/>
        </w:rPr>
      </w:r>
    </w:p>
    <w:tbl>
      <w:tblPr>
        <w:tblW w:w="8295" w:type="dxa"/>
        <w:jc w:val="left"/>
        <w:tblInd w:w="0" w:type="dxa"/>
        <w:tblCellMar>
          <w:top w:w="0" w:type="dxa"/>
          <w:left w:w="0" w:type="dxa"/>
          <w:bottom w:w="0" w:type="dxa"/>
          <w:right w:w="0" w:type="dxa"/>
        </w:tblCellMar>
      </w:tblPr>
      <w:tblGrid>
        <w:gridCol w:w="3309"/>
        <w:gridCol w:w="2488"/>
        <w:gridCol w:w="2498"/>
      </w:tblGrid>
      <w:tr>
        <w:trPr>
          <w:trHeight w:val="300" w:hRule="atLeast"/>
        </w:trPr>
        <w:tc>
          <w:tcPr>
            <w:tcW w:w="3309" w:type="dxa"/>
            <w:tcBorders/>
            <w:shd w:fill="FFFFFF" w:val="clear"/>
            <w:vAlign w:val="center"/>
          </w:tcPr>
          <w:p>
            <w:pPr>
              <w:pStyle w:val="Obsahtabuky"/>
              <w:rPr>
                <w:b/>
                <w:b/>
                <w:bCs/>
              </w:rPr>
            </w:pPr>
            <w:r>
              <w:rPr>
                <w:b/>
                <w:bCs/>
              </w:rPr>
              <w:t>Oblasť odbytu</w:t>
            </w:r>
          </w:p>
        </w:tc>
        <w:tc>
          <w:tcPr>
            <w:tcW w:w="2488" w:type="dxa"/>
            <w:tcBorders/>
            <w:shd w:fill="FFFFFF" w:val="clear"/>
            <w:vAlign w:val="center"/>
          </w:tcPr>
          <w:p>
            <w:pPr>
              <w:pStyle w:val="Obsahtabuky"/>
              <w:rPr>
                <w:b/>
                <w:b/>
                <w:bCs/>
              </w:rPr>
            </w:pPr>
            <w:r>
              <w:rPr>
                <w:b/>
                <w:bCs/>
              </w:rPr>
              <w:t>Bežné účtovné obdobie</w:t>
            </w:r>
          </w:p>
        </w:tc>
        <w:tc>
          <w:tcPr>
            <w:tcW w:w="2498" w:type="dxa"/>
            <w:tcBorders/>
            <w:shd w:fill="FFFFFF" w:val="clear"/>
            <w:vAlign w:val="center"/>
          </w:tcPr>
          <w:p>
            <w:pPr>
              <w:pStyle w:val="Obsahtabuky"/>
              <w:rPr>
                <w:b/>
                <w:b/>
                <w:bCs/>
              </w:rPr>
            </w:pPr>
            <w:r>
              <w:rPr>
                <w:b/>
                <w:bCs/>
              </w:rPr>
              <w:t>Bezprostredne predchádzajúce</w:t>
            </w:r>
          </w:p>
        </w:tc>
      </w:tr>
      <w:tr>
        <w:trPr>
          <w:trHeight w:val="315" w:hRule="atLeast"/>
        </w:trPr>
        <w:tc>
          <w:tcPr>
            <w:tcW w:w="3309" w:type="dxa"/>
            <w:tcBorders/>
            <w:shd w:fill="FFFFFF" w:val="clear"/>
            <w:vAlign w:val="center"/>
          </w:tcPr>
          <w:p>
            <w:pPr>
              <w:pStyle w:val="Obsahtabuky"/>
              <w:rPr>
                <w:b/>
                <w:b/>
                <w:bCs/>
              </w:rPr>
            </w:pPr>
            <w:r>
              <w:rPr>
                <w:b/>
                <w:bCs/>
              </w:rPr>
              <w:t> </w:t>
            </w:r>
          </w:p>
        </w:tc>
        <w:tc>
          <w:tcPr>
            <w:tcW w:w="2488" w:type="dxa"/>
            <w:tcBorders/>
            <w:shd w:fill="FFFFFF" w:val="clear"/>
            <w:vAlign w:val="center"/>
          </w:tcPr>
          <w:p>
            <w:pPr>
              <w:pStyle w:val="Obsahtabuky"/>
              <w:rPr>
                <w:b/>
                <w:b/>
                <w:bCs/>
              </w:rPr>
            </w:pPr>
            <w:r>
              <w:rPr>
                <w:b/>
                <w:bCs/>
              </w:rPr>
              <w:t>účtovné obdobie</w:t>
            </w:r>
          </w:p>
        </w:tc>
        <w:tc>
          <w:tcPr>
            <w:tcW w:w="2498" w:type="dxa"/>
            <w:tcBorders/>
            <w:shd w:fill="FFFFFF" w:val="clear"/>
            <w:vAlign w:val="center"/>
          </w:tcPr>
          <w:p>
            <w:pPr>
              <w:pStyle w:val="Obsahtabuky"/>
              <w:rPr>
                <w:b/>
                <w:b/>
                <w:bCs/>
              </w:rPr>
            </w:pPr>
            <w:r>
              <w:rPr>
                <w:b/>
                <w:bCs/>
              </w:rPr>
              <w:t>účtovné obdobie</w:t>
            </w:r>
          </w:p>
        </w:tc>
      </w:tr>
      <w:tr>
        <w:trPr>
          <w:trHeight w:val="315" w:hRule="atLeast"/>
        </w:trPr>
        <w:tc>
          <w:tcPr>
            <w:tcW w:w="3309" w:type="dxa"/>
            <w:tcBorders/>
            <w:shd w:fill="FFFFFF" w:val="clear"/>
            <w:vAlign w:val="center"/>
          </w:tcPr>
          <w:p>
            <w:pPr>
              <w:pStyle w:val="Obsahtabuky"/>
              <w:rPr/>
            </w:pPr>
            <w:r>
              <w:rPr/>
              <w:t>Predaj služieb:</w:t>
            </w:r>
          </w:p>
        </w:tc>
        <w:tc>
          <w:tcPr>
            <w:tcW w:w="2488" w:type="dxa"/>
            <w:tcBorders/>
            <w:shd w:fill="FFFFFF" w:val="clear"/>
            <w:vAlign w:val="center"/>
          </w:tcPr>
          <w:p>
            <w:pPr>
              <w:pStyle w:val="Obsahtabuky"/>
              <w:jc w:val="center"/>
              <w:rPr/>
            </w:pPr>
            <w:r>
              <w:rPr/>
            </w:r>
          </w:p>
        </w:tc>
        <w:tc>
          <w:tcPr>
            <w:tcW w:w="2498" w:type="dxa"/>
            <w:tcBorders/>
            <w:shd w:fill="FFFFFF" w:val="clear"/>
            <w:vAlign w:val="center"/>
          </w:tcPr>
          <w:p>
            <w:pPr>
              <w:pStyle w:val="Obsahtabuky"/>
              <w:jc w:val="center"/>
              <w:rPr/>
            </w:pPr>
            <w:r>
              <w:rPr/>
            </w:r>
          </w:p>
        </w:tc>
      </w:tr>
      <w:tr>
        <w:trPr>
          <w:trHeight w:val="300" w:hRule="atLeast"/>
        </w:trPr>
        <w:tc>
          <w:tcPr>
            <w:tcW w:w="3309" w:type="dxa"/>
            <w:tcBorders/>
            <w:shd w:fill="FFFFFF" w:val="clear"/>
            <w:vAlign w:val="center"/>
          </w:tcPr>
          <w:p>
            <w:pPr>
              <w:pStyle w:val="Obsahtabuky"/>
              <w:rPr/>
            </w:pPr>
            <w:r>
              <w:rPr/>
              <w:t>Predaj služieb – z toho:</w:t>
            </w:r>
          </w:p>
        </w:tc>
        <w:tc>
          <w:tcPr>
            <w:tcW w:w="2488" w:type="dxa"/>
            <w:tcBorders/>
            <w:shd w:fill="FFFFFF" w:val="clear"/>
            <w:vAlign w:val="center"/>
          </w:tcPr>
          <w:p>
            <w:pPr>
              <w:pStyle w:val="Obsahtabuky"/>
              <w:jc w:val="center"/>
              <w:rPr>
                <w:b/>
                <w:b/>
                <w:bCs/>
              </w:rPr>
            </w:pPr>
            <w:r>
              <w:rPr/>
            </w:r>
          </w:p>
        </w:tc>
        <w:tc>
          <w:tcPr>
            <w:tcW w:w="2498" w:type="dxa"/>
            <w:tcBorders/>
            <w:shd w:fill="FFFFFF" w:val="clear"/>
            <w:vAlign w:val="center"/>
          </w:tcPr>
          <w:p>
            <w:pPr>
              <w:pStyle w:val="Obsahtabuky"/>
              <w:jc w:val="center"/>
              <w:rPr>
                <w:b/>
                <w:b/>
                <w:bCs/>
              </w:rPr>
            </w:pPr>
            <w:r>
              <w:rPr/>
            </w:r>
          </w:p>
        </w:tc>
      </w:tr>
      <w:tr>
        <w:trPr>
          <w:trHeight w:val="300" w:hRule="atLeast"/>
        </w:trPr>
        <w:tc>
          <w:tcPr>
            <w:tcW w:w="3309" w:type="dxa"/>
            <w:tcBorders/>
            <w:shd w:fill="FFFFFF" w:val="clear"/>
            <w:vAlign w:val="center"/>
          </w:tcPr>
          <w:p>
            <w:pPr>
              <w:pStyle w:val="Obsahtabuky"/>
              <w:rPr/>
            </w:pPr>
            <w:r>
              <w:rPr/>
              <w:t>obchodné zastúpenie</w:t>
            </w:r>
          </w:p>
        </w:tc>
        <w:tc>
          <w:tcPr>
            <w:tcW w:w="2488" w:type="dxa"/>
            <w:tcBorders/>
            <w:shd w:fill="FFFFFF" w:val="clear"/>
            <w:vAlign w:val="center"/>
          </w:tcPr>
          <w:p>
            <w:pPr>
              <w:pStyle w:val="Obsahtabuky"/>
              <w:jc w:val="center"/>
              <w:rPr/>
            </w:pPr>
            <w:r>
              <w:rPr/>
            </w:r>
          </w:p>
        </w:tc>
        <w:tc>
          <w:tcPr>
            <w:tcW w:w="2498" w:type="dxa"/>
            <w:tcBorders/>
            <w:shd w:fill="FFFFFF" w:val="clear"/>
            <w:vAlign w:val="center"/>
          </w:tcPr>
          <w:p>
            <w:pPr>
              <w:pStyle w:val="Obsahtabuky"/>
              <w:rPr/>
            </w:pPr>
            <w:r>
              <w:rPr/>
            </w:r>
          </w:p>
        </w:tc>
      </w:tr>
      <w:tr>
        <w:trPr>
          <w:trHeight w:val="300" w:hRule="atLeast"/>
        </w:trPr>
        <w:tc>
          <w:tcPr>
            <w:tcW w:w="3309" w:type="dxa"/>
            <w:tcBorders/>
            <w:shd w:fill="FFFFFF" w:val="clear"/>
            <w:vAlign w:val="center"/>
          </w:tcPr>
          <w:p>
            <w:pPr>
              <w:pStyle w:val="Obsahtabuky"/>
              <w:rPr/>
            </w:pPr>
            <w:r>
              <w:rPr/>
              <w:t>- Hostingové služby</w:t>
            </w:r>
          </w:p>
        </w:tc>
        <w:tc>
          <w:tcPr>
            <w:tcW w:w="2488" w:type="dxa"/>
            <w:tcBorders/>
            <w:shd w:fill="FFFFFF" w:val="clear"/>
            <w:vAlign w:val="center"/>
          </w:tcPr>
          <w:p>
            <w:pPr>
              <w:pStyle w:val="Obsahtabuky"/>
              <w:jc w:val="center"/>
              <w:rPr/>
            </w:pPr>
            <w:r>
              <w:rPr/>
            </w:r>
          </w:p>
        </w:tc>
        <w:tc>
          <w:tcPr>
            <w:tcW w:w="2498" w:type="dxa"/>
            <w:tcBorders/>
            <w:shd w:fill="FFFFFF" w:val="clear"/>
            <w:vAlign w:val="center"/>
          </w:tcPr>
          <w:p>
            <w:pPr>
              <w:pStyle w:val="Obsahtabuky"/>
              <w:rPr/>
            </w:pPr>
            <w:r>
              <w:rPr/>
            </w:r>
          </w:p>
        </w:tc>
      </w:tr>
      <w:tr>
        <w:trPr>
          <w:trHeight w:val="300" w:hRule="atLeast"/>
        </w:trPr>
        <w:tc>
          <w:tcPr>
            <w:tcW w:w="3309" w:type="dxa"/>
            <w:tcBorders/>
            <w:shd w:fill="FFFFFF" w:val="clear"/>
            <w:vAlign w:val="center"/>
          </w:tcPr>
          <w:p>
            <w:pPr>
              <w:pStyle w:val="Obsahtabuky"/>
              <w:rPr/>
            </w:pPr>
            <w:r>
              <w:rPr/>
              <w:t>Tržby z predaja IM</w:t>
            </w:r>
          </w:p>
        </w:tc>
        <w:tc>
          <w:tcPr>
            <w:tcW w:w="2488" w:type="dxa"/>
            <w:tcBorders/>
            <w:shd w:fill="FFFFFF" w:val="clear"/>
            <w:vAlign w:val="center"/>
          </w:tcPr>
          <w:p>
            <w:pPr>
              <w:pStyle w:val="Obsahtabuky"/>
              <w:jc w:val="center"/>
              <w:rPr/>
            </w:pPr>
            <w:r>
              <w:rPr/>
            </w:r>
          </w:p>
        </w:tc>
        <w:tc>
          <w:tcPr>
            <w:tcW w:w="2498" w:type="dxa"/>
            <w:tcBorders/>
            <w:shd w:fill="FFFFFF" w:val="clear"/>
            <w:vAlign w:val="center"/>
          </w:tcPr>
          <w:p>
            <w:pPr>
              <w:pStyle w:val="Obsahtabuky"/>
              <w:rPr/>
            </w:pPr>
            <w:r>
              <w:rPr/>
            </w:r>
          </w:p>
        </w:tc>
      </w:tr>
      <w:tr>
        <w:trPr>
          <w:trHeight w:val="300" w:hRule="atLeast"/>
        </w:trPr>
        <w:tc>
          <w:tcPr>
            <w:tcW w:w="3309" w:type="dxa"/>
            <w:tcBorders/>
            <w:shd w:fill="FFFFFF" w:val="clear"/>
            <w:vAlign w:val="center"/>
          </w:tcPr>
          <w:p>
            <w:pPr>
              <w:pStyle w:val="Obsahtabuky"/>
              <w:rPr/>
            </w:pPr>
            <w:r>
              <w:rPr/>
              <w:t>Bankové úrokx</w:t>
            </w:r>
          </w:p>
        </w:tc>
        <w:tc>
          <w:tcPr>
            <w:tcW w:w="2488" w:type="dxa"/>
            <w:tcBorders/>
            <w:shd w:fill="FFFFFF" w:val="clear"/>
            <w:vAlign w:val="center"/>
          </w:tcPr>
          <w:p>
            <w:pPr>
              <w:pStyle w:val="Obsahtabuky"/>
              <w:rPr/>
            </w:pPr>
            <w:r>
              <w:rPr/>
            </w:r>
          </w:p>
        </w:tc>
        <w:tc>
          <w:tcPr>
            <w:tcW w:w="2498" w:type="dxa"/>
            <w:tcBorders/>
            <w:shd w:fill="FFFFFF" w:val="clear"/>
            <w:vAlign w:val="center"/>
          </w:tcPr>
          <w:p>
            <w:pPr>
              <w:pStyle w:val="Obsahtabuky"/>
              <w:rPr/>
            </w:pPr>
            <w:r>
              <w:rPr/>
            </w:r>
          </w:p>
        </w:tc>
      </w:tr>
      <w:tr>
        <w:trPr>
          <w:trHeight w:val="300" w:hRule="atLeast"/>
        </w:trPr>
        <w:tc>
          <w:tcPr>
            <w:tcW w:w="3309" w:type="dxa"/>
            <w:tcBorders/>
            <w:shd w:fill="FFFFFF" w:val="clear"/>
            <w:vAlign w:val="center"/>
          </w:tcPr>
          <w:p>
            <w:pPr>
              <w:pStyle w:val="Obsahtabuky"/>
              <w:rPr/>
            </w:pPr>
            <w:r>
              <w:rPr/>
              <w:t>Úroky z omeškania</w:t>
            </w:r>
          </w:p>
        </w:tc>
        <w:tc>
          <w:tcPr>
            <w:tcW w:w="2488" w:type="dxa"/>
            <w:tcBorders/>
            <w:shd w:fill="FFFFFF" w:val="clear"/>
            <w:vAlign w:val="center"/>
          </w:tcPr>
          <w:p>
            <w:pPr>
              <w:pStyle w:val="Obsahtabuky"/>
              <w:rPr/>
            </w:pPr>
            <w:r>
              <w:rPr/>
            </w:r>
          </w:p>
        </w:tc>
        <w:tc>
          <w:tcPr>
            <w:tcW w:w="2498" w:type="dxa"/>
            <w:tcBorders/>
            <w:shd w:fill="FFFFFF" w:val="clear"/>
            <w:vAlign w:val="center"/>
          </w:tcPr>
          <w:p>
            <w:pPr>
              <w:pStyle w:val="Obsahtabuky"/>
              <w:rPr/>
            </w:pPr>
            <w:r>
              <w:rPr/>
            </w:r>
          </w:p>
        </w:tc>
      </w:tr>
      <w:tr>
        <w:trPr>
          <w:trHeight w:val="315" w:hRule="atLeast"/>
        </w:trPr>
        <w:tc>
          <w:tcPr>
            <w:tcW w:w="3309" w:type="dxa"/>
            <w:tcBorders/>
            <w:shd w:fill="FFFFFF" w:val="clear"/>
            <w:vAlign w:val="center"/>
          </w:tcPr>
          <w:p>
            <w:pPr>
              <w:pStyle w:val="Obsahtabuky"/>
              <w:rPr/>
            </w:pPr>
            <w:r>
              <w:rPr/>
              <w:t> </w:t>
            </w:r>
          </w:p>
        </w:tc>
        <w:tc>
          <w:tcPr>
            <w:tcW w:w="2488" w:type="dxa"/>
            <w:tcBorders/>
            <w:shd w:fill="FFFFFF" w:val="clear"/>
            <w:vAlign w:val="center"/>
          </w:tcPr>
          <w:p>
            <w:pPr>
              <w:pStyle w:val="Obsahtabuky"/>
              <w:rPr/>
            </w:pPr>
            <w:r>
              <w:rPr/>
            </w:r>
          </w:p>
        </w:tc>
        <w:tc>
          <w:tcPr>
            <w:tcW w:w="2498" w:type="dxa"/>
            <w:tcBorders/>
            <w:shd w:fill="FFFFFF" w:val="clear"/>
            <w:vAlign w:val="center"/>
          </w:tcPr>
          <w:p>
            <w:pPr>
              <w:pStyle w:val="Obsahtabuky"/>
              <w:rPr/>
            </w:pPr>
            <w:r>
              <w:rPr/>
            </w:r>
          </w:p>
        </w:tc>
      </w:tr>
      <w:tr>
        <w:trPr>
          <w:trHeight w:val="315" w:hRule="atLeast"/>
        </w:trPr>
        <w:tc>
          <w:tcPr>
            <w:tcW w:w="3309" w:type="dxa"/>
            <w:tcBorders/>
            <w:shd w:fill="FFFFFF" w:val="clear"/>
            <w:vAlign w:val="center"/>
          </w:tcPr>
          <w:p>
            <w:pPr>
              <w:pStyle w:val="Obsahtabuky"/>
              <w:rPr>
                <w:b/>
                <w:b/>
                <w:bCs/>
                <w:sz w:val="16"/>
                <w:szCs w:val="16"/>
              </w:rPr>
            </w:pPr>
            <w:r>
              <w:rPr>
                <w:b/>
                <w:bCs/>
                <w:sz w:val="16"/>
                <w:szCs w:val="16"/>
              </w:rPr>
              <w:t>Výnosy spolu:</w:t>
            </w:r>
          </w:p>
        </w:tc>
        <w:tc>
          <w:tcPr>
            <w:tcW w:w="2488" w:type="dxa"/>
            <w:tcBorders/>
            <w:shd w:fill="FFFFFF" w:val="clear"/>
            <w:vAlign w:val="center"/>
          </w:tcPr>
          <w:p>
            <w:pPr>
              <w:pStyle w:val="Obsahtabuky"/>
              <w:jc w:val="center"/>
              <w:rPr>
                <w:b/>
                <w:b/>
                <w:bCs/>
                <w:sz w:val="18"/>
                <w:szCs w:val="18"/>
              </w:rPr>
            </w:pPr>
            <w:r>
              <w:rPr/>
            </w:r>
          </w:p>
        </w:tc>
        <w:tc>
          <w:tcPr>
            <w:tcW w:w="2498" w:type="dxa"/>
            <w:tcBorders/>
            <w:shd w:fill="FFFFFF" w:val="clear"/>
            <w:vAlign w:val="center"/>
          </w:tcPr>
          <w:p>
            <w:pPr>
              <w:pStyle w:val="Obsahtabuky"/>
              <w:jc w:val="center"/>
              <w:rPr>
                <w:b/>
                <w:b/>
                <w:bCs/>
                <w:sz w:val="18"/>
                <w:szCs w:val="18"/>
              </w:rPr>
            </w:pPr>
            <w:r>
              <w:rPr/>
            </w:r>
          </w:p>
        </w:tc>
      </w:tr>
    </w:tbl>
    <w:p>
      <w:pPr>
        <w:pStyle w:val="Normal"/>
        <w:rPr>
          <w:b w:val="false"/>
          <w:b w:val="false"/>
          <w:bCs w:val="false"/>
          <w:sz w:val="16"/>
          <w:szCs w:val="16"/>
        </w:rPr>
      </w:pPr>
      <w:r>
        <w:rPr>
          <w:b w:val="false"/>
          <w:bCs w:val="false"/>
          <w:sz w:val="16"/>
          <w:szCs w:val="16"/>
        </w:rPr>
      </w:r>
    </w:p>
    <w:p>
      <w:pPr>
        <w:pStyle w:val="Normal"/>
        <w:rPr>
          <w:b w:val="false"/>
          <w:b w:val="false"/>
          <w:bCs w:val="false"/>
          <w:sz w:val="16"/>
          <w:szCs w:val="16"/>
        </w:rPr>
      </w:pPr>
      <w:r>
        <w:rPr>
          <w:b w:val="false"/>
          <w:bCs w:val="false"/>
          <w:sz w:val="16"/>
          <w:szCs w:val="16"/>
        </w:rPr>
      </w:r>
    </w:p>
    <w:p>
      <w:pPr>
        <w:pStyle w:val="Normal"/>
        <w:rPr>
          <w:b w:val="false"/>
          <w:b w:val="false"/>
          <w:bCs w:val="false"/>
          <w:sz w:val="16"/>
          <w:szCs w:val="16"/>
        </w:rPr>
      </w:pPr>
      <w:r>
        <w:rPr>
          <w:b w:val="false"/>
          <w:bCs w:val="false"/>
          <w:sz w:val="16"/>
          <w:szCs w:val="16"/>
        </w:rPr>
      </w:r>
    </w:p>
    <w:p>
      <w:pPr>
        <w:pStyle w:val="Normal"/>
        <w:rPr/>
      </w:pPr>
      <w:r>
        <w:rPr/>
      </w:r>
    </w:p>
    <w:p>
      <w:pPr>
        <w:pStyle w:val="Normal"/>
        <w:rPr>
          <w:b/>
          <w:b/>
          <w:bCs/>
        </w:rPr>
      </w:pPr>
      <w:r>
        <w:rPr>
          <w:b/>
          <w:bCs/>
        </w:rPr>
        <w:t>VI.  INFORMÁCIE O NÁKLADOCH</w:t>
      </w:r>
    </w:p>
    <w:p>
      <w:pPr>
        <w:pStyle w:val="Normal"/>
        <w:rPr>
          <w:b/>
          <w:b/>
          <w:bCs/>
        </w:rPr>
      </w:pPr>
      <w:r>
        <w:rPr>
          <w:b/>
          <w:bCs/>
        </w:rPr>
      </w:r>
    </w:p>
    <w:p>
      <w:pPr>
        <w:pStyle w:val="Normal"/>
        <w:rPr/>
      </w:pPr>
      <w:r>
        <w:rPr>
          <w:b w:val="false"/>
          <w:bCs w:val="false"/>
          <w:sz w:val="16"/>
          <w:szCs w:val="16"/>
        </w:rPr>
        <w:t xml:space="preserve">Za rok 2018 spoločnosť dosiahla celkové náklady vo výške   </w:t>
      </w:r>
      <w:r>
        <w:rPr>
          <w:b/>
          <w:bCs/>
          <w:sz w:val="16"/>
          <w:szCs w:val="16"/>
        </w:rPr>
        <w:t>39</w:t>
      </w:r>
      <w:r>
        <w:rPr>
          <w:b/>
          <w:bCs/>
          <w:sz w:val="16"/>
          <w:szCs w:val="16"/>
        </w:rPr>
        <w:t>,00 €</w:t>
      </w:r>
    </w:p>
    <w:p>
      <w:pPr>
        <w:pStyle w:val="Normal"/>
        <w:rPr>
          <w:b w:val="false"/>
          <w:b w:val="false"/>
          <w:bCs w:val="false"/>
          <w:sz w:val="16"/>
          <w:szCs w:val="16"/>
        </w:rPr>
      </w:pPr>
      <w:r>
        <w:rPr>
          <w:b w:val="false"/>
          <w:bCs w:val="false"/>
          <w:sz w:val="16"/>
          <w:szCs w:val="16"/>
        </w:rPr>
      </w:r>
    </w:p>
    <w:tbl>
      <w:tblPr>
        <w:tblW w:w="8309" w:type="dxa"/>
        <w:jc w:val="left"/>
        <w:tblInd w:w="-14" w:type="dxa"/>
        <w:tblCellMar>
          <w:top w:w="0" w:type="dxa"/>
          <w:left w:w="0" w:type="dxa"/>
          <w:bottom w:w="0" w:type="dxa"/>
          <w:right w:w="0" w:type="dxa"/>
        </w:tblCellMar>
      </w:tblPr>
      <w:tblGrid>
        <w:gridCol w:w="3315"/>
        <w:gridCol w:w="2496"/>
        <w:gridCol w:w="2498"/>
      </w:tblGrid>
      <w:tr>
        <w:trPr>
          <w:trHeight w:val="300" w:hRule="atLeast"/>
        </w:trPr>
        <w:tc>
          <w:tcPr>
            <w:tcW w:w="3315" w:type="dxa"/>
            <w:tcBorders/>
            <w:shd w:fill="FFFFFF" w:val="clear"/>
            <w:vAlign w:val="center"/>
          </w:tcPr>
          <w:p>
            <w:pPr>
              <w:pStyle w:val="Obsahtabuky"/>
              <w:rPr>
                <w:b/>
                <w:b/>
                <w:bCs/>
                <w:sz w:val="16"/>
                <w:szCs w:val="16"/>
              </w:rPr>
            </w:pPr>
            <w:r>
              <w:rPr>
                <w:b/>
                <w:bCs/>
                <w:sz w:val="16"/>
                <w:szCs w:val="16"/>
              </w:rPr>
              <w:t>Názov položky</w:t>
            </w:r>
          </w:p>
        </w:tc>
        <w:tc>
          <w:tcPr>
            <w:tcW w:w="2496" w:type="dxa"/>
            <w:tcBorders/>
            <w:shd w:fill="FFFFFF" w:val="clear"/>
            <w:vAlign w:val="center"/>
          </w:tcPr>
          <w:p>
            <w:pPr>
              <w:pStyle w:val="Obsahtabuky"/>
              <w:rPr>
                <w:b/>
                <w:b/>
                <w:bCs/>
                <w:sz w:val="16"/>
                <w:szCs w:val="16"/>
              </w:rPr>
            </w:pPr>
            <w:r>
              <w:rPr>
                <w:b/>
                <w:bCs/>
                <w:sz w:val="16"/>
                <w:szCs w:val="16"/>
              </w:rPr>
              <w:t>Bežné účtovné obdobie</w:t>
            </w:r>
          </w:p>
        </w:tc>
        <w:tc>
          <w:tcPr>
            <w:tcW w:w="2498" w:type="dxa"/>
            <w:tcBorders/>
            <w:shd w:fill="FFFFFF" w:val="clear"/>
            <w:vAlign w:val="center"/>
          </w:tcPr>
          <w:p>
            <w:pPr>
              <w:pStyle w:val="Obsahtabuky"/>
              <w:rPr>
                <w:b/>
                <w:b/>
                <w:bCs/>
                <w:sz w:val="16"/>
                <w:szCs w:val="16"/>
              </w:rPr>
            </w:pPr>
            <w:r>
              <w:rPr>
                <w:b/>
                <w:bCs/>
                <w:sz w:val="16"/>
                <w:szCs w:val="16"/>
              </w:rPr>
              <w:t>Bezprostredne predchádzajúce</w:t>
            </w:r>
          </w:p>
        </w:tc>
      </w:tr>
      <w:tr>
        <w:trPr>
          <w:trHeight w:val="315" w:hRule="atLeast"/>
        </w:trPr>
        <w:tc>
          <w:tcPr>
            <w:tcW w:w="3315" w:type="dxa"/>
            <w:tcBorders/>
            <w:shd w:fill="FFFFFF" w:val="clear"/>
            <w:vAlign w:val="center"/>
          </w:tcPr>
          <w:p>
            <w:pPr>
              <w:pStyle w:val="Obsahtabuky"/>
              <w:rPr>
                <w:b/>
                <w:b/>
                <w:bCs/>
                <w:sz w:val="16"/>
                <w:szCs w:val="16"/>
              </w:rPr>
            </w:pPr>
            <w:r>
              <w:rPr>
                <w:b/>
                <w:bCs/>
                <w:sz w:val="16"/>
                <w:szCs w:val="16"/>
              </w:rPr>
              <w:t> </w:t>
            </w:r>
          </w:p>
        </w:tc>
        <w:tc>
          <w:tcPr>
            <w:tcW w:w="2496" w:type="dxa"/>
            <w:tcBorders/>
            <w:shd w:fill="FFFFFF" w:val="clear"/>
            <w:vAlign w:val="center"/>
          </w:tcPr>
          <w:p>
            <w:pPr>
              <w:pStyle w:val="Obsahtabuky"/>
              <w:rPr>
                <w:b/>
                <w:b/>
                <w:bCs/>
                <w:sz w:val="16"/>
                <w:szCs w:val="16"/>
              </w:rPr>
            </w:pPr>
            <w:r>
              <w:rPr>
                <w:b/>
                <w:bCs/>
                <w:sz w:val="16"/>
                <w:szCs w:val="16"/>
              </w:rPr>
              <w:t>účtovné obdobie</w:t>
            </w:r>
          </w:p>
        </w:tc>
        <w:tc>
          <w:tcPr>
            <w:tcW w:w="2498" w:type="dxa"/>
            <w:tcBorders/>
            <w:shd w:fill="FFFFFF" w:val="clear"/>
            <w:vAlign w:val="center"/>
          </w:tcPr>
          <w:p>
            <w:pPr>
              <w:pStyle w:val="Obsahtabuky"/>
              <w:rPr>
                <w:b/>
                <w:b/>
                <w:bCs/>
                <w:sz w:val="16"/>
                <w:szCs w:val="16"/>
              </w:rPr>
            </w:pPr>
            <w:r>
              <w:rPr>
                <w:b/>
                <w:bCs/>
                <w:sz w:val="16"/>
                <w:szCs w:val="16"/>
              </w:rPr>
              <w:t>účtovné obdobie</w:t>
            </w:r>
          </w:p>
        </w:tc>
      </w:tr>
      <w:tr>
        <w:trPr>
          <w:trHeight w:val="315" w:hRule="atLeast"/>
        </w:trPr>
        <w:tc>
          <w:tcPr>
            <w:tcW w:w="3315" w:type="dxa"/>
            <w:tcBorders/>
            <w:shd w:fill="FFFFFF" w:val="clear"/>
            <w:vAlign w:val="center"/>
          </w:tcPr>
          <w:p>
            <w:pPr>
              <w:pStyle w:val="Obsahtabuky"/>
              <w:rPr>
                <w:sz w:val="16"/>
                <w:szCs w:val="16"/>
              </w:rPr>
            </w:pPr>
            <w:r>
              <w:rPr>
                <w:sz w:val="16"/>
                <w:szCs w:val="16"/>
              </w:rPr>
              <w:t>Spotreba materiálu</w:t>
            </w:r>
          </w:p>
        </w:tc>
        <w:tc>
          <w:tcPr>
            <w:tcW w:w="2496" w:type="dxa"/>
            <w:tcBorders/>
            <w:shd w:fill="FFFFFF" w:val="clear"/>
            <w:vAlign w:val="center"/>
          </w:tcPr>
          <w:p>
            <w:pPr>
              <w:pStyle w:val="Obsahtabuky"/>
              <w:rPr/>
            </w:pPr>
            <w:r>
              <w:rPr/>
            </w:r>
          </w:p>
        </w:tc>
        <w:tc>
          <w:tcPr>
            <w:tcW w:w="2498" w:type="dxa"/>
            <w:tcBorders/>
            <w:shd w:fill="FFFFFF" w:val="clear"/>
            <w:vAlign w:val="center"/>
          </w:tcPr>
          <w:p>
            <w:pPr>
              <w:pStyle w:val="Obsahtabuky"/>
              <w:rPr/>
            </w:pPr>
            <w:r>
              <w:rPr/>
            </w:r>
          </w:p>
        </w:tc>
      </w:tr>
      <w:tr>
        <w:trPr>
          <w:trHeight w:val="300" w:hRule="atLeast"/>
        </w:trPr>
        <w:tc>
          <w:tcPr>
            <w:tcW w:w="3315" w:type="dxa"/>
            <w:tcBorders/>
            <w:shd w:fill="FFFFFF" w:val="clear"/>
            <w:vAlign w:val="center"/>
          </w:tcPr>
          <w:p>
            <w:pPr>
              <w:pStyle w:val="Obsahtabuky"/>
              <w:rPr>
                <w:sz w:val="16"/>
                <w:szCs w:val="16"/>
              </w:rPr>
            </w:pPr>
            <w:r>
              <w:rPr>
                <w:sz w:val="16"/>
                <w:szCs w:val="16"/>
              </w:rPr>
              <w:t>Spotreba PHM</w:t>
            </w:r>
          </w:p>
        </w:tc>
        <w:tc>
          <w:tcPr>
            <w:tcW w:w="2496" w:type="dxa"/>
            <w:tcBorders/>
            <w:shd w:fill="FFFFFF" w:val="clear"/>
            <w:vAlign w:val="center"/>
          </w:tcPr>
          <w:p>
            <w:pPr>
              <w:pStyle w:val="Obsahtabuky"/>
              <w:rPr/>
            </w:pPr>
            <w:r>
              <w:rPr/>
            </w:r>
          </w:p>
        </w:tc>
        <w:tc>
          <w:tcPr>
            <w:tcW w:w="2498" w:type="dxa"/>
            <w:tcBorders/>
            <w:shd w:fill="FFFFFF" w:val="clear"/>
            <w:vAlign w:val="center"/>
          </w:tcPr>
          <w:p>
            <w:pPr>
              <w:pStyle w:val="Obsahtabuky"/>
              <w:rPr/>
            </w:pPr>
            <w:r>
              <w:rPr/>
            </w:r>
          </w:p>
        </w:tc>
      </w:tr>
      <w:tr>
        <w:trPr>
          <w:trHeight w:val="300" w:hRule="atLeast"/>
        </w:trPr>
        <w:tc>
          <w:tcPr>
            <w:tcW w:w="3315" w:type="dxa"/>
            <w:tcBorders/>
            <w:shd w:fill="FFFFFF" w:val="clear"/>
            <w:vAlign w:val="center"/>
          </w:tcPr>
          <w:p>
            <w:pPr>
              <w:pStyle w:val="Obsahtabuky"/>
              <w:rPr>
                <w:sz w:val="16"/>
                <w:szCs w:val="16"/>
              </w:rPr>
            </w:pPr>
            <w:r>
              <w:rPr>
                <w:sz w:val="16"/>
                <w:szCs w:val="16"/>
              </w:rPr>
              <w:t>Spotreba energií</w:t>
            </w:r>
          </w:p>
        </w:tc>
        <w:tc>
          <w:tcPr>
            <w:tcW w:w="2496" w:type="dxa"/>
            <w:tcBorders/>
            <w:shd w:fill="FFFFFF" w:val="clear"/>
            <w:vAlign w:val="center"/>
          </w:tcPr>
          <w:p>
            <w:pPr>
              <w:pStyle w:val="Obsahtabuky"/>
              <w:rPr/>
            </w:pPr>
            <w:r>
              <w:rPr/>
            </w:r>
          </w:p>
        </w:tc>
        <w:tc>
          <w:tcPr>
            <w:tcW w:w="2498" w:type="dxa"/>
            <w:tcBorders/>
            <w:shd w:fill="FFFFFF" w:val="clear"/>
            <w:vAlign w:val="center"/>
          </w:tcPr>
          <w:p>
            <w:pPr>
              <w:pStyle w:val="Obsahtabuky"/>
              <w:rPr/>
            </w:pPr>
            <w:r>
              <w:rPr/>
            </w:r>
          </w:p>
        </w:tc>
      </w:tr>
      <w:tr>
        <w:trPr>
          <w:trHeight w:val="300" w:hRule="atLeast"/>
        </w:trPr>
        <w:tc>
          <w:tcPr>
            <w:tcW w:w="3315" w:type="dxa"/>
            <w:tcBorders/>
            <w:shd w:fill="FFFFFF" w:val="clear"/>
            <w:vAlign w:val="center"/>
          </w:tcPr>
          <w:p>
            <w:pPr>
              <w:pStyle w:val="Obsahtabuky"/>
              <w:rPr>
                <w:sz w:val="16"/>
                <w:szCs w:val="16"/>
              </w:rPr>
            </w:pPr>
            <w:r>
              <w:rPr>
                <w:sz w:val="16"/>
                <w:szCs w:val="16"/>
              </w:rPr>
              <w:t>Predaný tovar</w:t>
            </w:r>
          </w:p>
        </w:tc>
        <w:tc>
          <w:tcPr>
            <w:tcW w:w="2496" w:type="dxa"/>
            <w:tcBorders/>
            <w:shd w:fill="FFFFFF" w:val="clear"/>
            <w:vAlign w:val="center"/>
          </w:tcPr>
          <w:p>
            <w:pPr>
              <w:pStyle w:val="Obsahtabuky"/>
              <w:jc w:val="center"/>
              <w:rPr/>
            </w:pPr>
            <w:r>
              <w:rPr/>
            </w:r>
          </w:p>
        </w:tc>
        <w:tc>
          <w:tcPr>
            <w:tcW w:w="2498" w:type="dxa"/>
            <w:tcBorders/>
            <w:shd w:fill="FFFFFF" w:val="clear"/>
            <w:vAlign w:val="center"/>
          </w:tcPr>
          <w:p>
            <w:pPr>
              <w:pStyle w:val="Obsahtabuky"/>
              <w:jc w:val="center"/>
              <w:rPr/>
            </w:pPr>
            <w:r>
              <w:rPr/>
            </w:r>
          </w:p>
        </w:tc>
      </w:tr>
      <w:tr>
        <w:trPr>
          <w:trHeight w:val="300" w:hRule="atLeast"/>
        </w:trPr>
        <w:tc>
          <w:tcPr>
            <w:tcW w:w="3315" w:type="dxa"/>
            <w:tcBorders/>
            <w:shd w:fill="FFFFFF" w:val="clear"/>
            <w:vAlign w:val="center"/>
          </w:tcPr>
          <w:p>
            <w:pPr>
              <w:pStyle w:val="Obsahtabuky"/>
              <w:rPr>
                <w:sz w:val="16"/>
                <w:szCs w:val="16"/>
              </w:rPr>
            </w:pPr>
            <w:r>
              <w:rPr>
                <w:sz w:val="16"/>
                <w:szCs w:val="16"/>
              </w:rPr>
              <w:t>Ostatné služby</w:t>
            </w:r>
          </w:p>
        </w:tc>
        <w:tc>
          <w:tcPr>
            <w:tcW w:w="2496" w:type="dxa"/>
            <w:tcBorders/>
            <w:shd w:fill="FFFFFF" w:val="clear"/>
            <w:vAlign w:val="center"/>
          </w:tcPr>
          <w:p>
            <w:pPr>
              <w:pStyle w:val="Obsahtabuky"/>
              <w:jc w:val="center"/>
              <w:rPr/>
            </w:pPr>
            <w:r>
              <w:rPr/>
              <w:t>39</w:t>
            </w:r>
          </w:p>
        </w:tc>
        <w:tc>
          <w:tcPr>
            <w:tcW w:w="2498" w:type="dxa"/>
            <w:tcBorders/>
            <w:shd w:fill="FFFFFF" w:val="clear"/>
            <w:vAlign w:val="center"/>
          </w:tcPr>
          <w:p>
            <w:pPr>
              <w:pStyle w:val="Obsahtabuky"/>
              <w:jc w:val="center"/>
              <w:rPr/>
            </w:pPr>
            <w:r>
              <w:rPr>
                <w:sz w:val="18"/>
                <w:szCs w:val="18"/>
              </w:rPr>
              <w:t>1100</w:t>
            </w:r>
          </w:p>
        </w:tc>
      </w:tr>
      <w:tr>
        <w:trPr>
          <w:trHeight w:val="300" w:hRule="atLeast"/>
        </w:trPr>
        <w:tc>
          <w:tcPr>
            <w:tcW w:w="3315" w:type="dxa"/>
            <w:tcBorders/>
            <w:shd w:fill="FFFFFF" w:val="clear"/>
            <w:vAlign w:val="center"/>
          </w:tcPr>
          <w:p>
            <w:pPr>
              <w:pStyle w:val="Obsahtabuky"/>
              <w:rPr>
                <w:sz w:val="16"/>
                <w:szCs w:val="16"/>
              </w:rPr>
            </w:pPr>
            <w:r>
              <w:rPr>
                <w:sz w:val="16"/>
                <w:szCs w:val="16"/>
              </w:rPr>
              <w:t>Prevádzkové náklady</w:t>
            </w:r>
          </w:p>
        </w:tc>
        <w:tc>
          <w:tcPr>
            <w:tcW w:w="2496" w:type="dxa"/>
            <w:tcBorders/>
            <w:shd w:fill="FFFFFF" w:val="clear"/>
            <w:vAlign w:val="center"/>
          </w:tcPr>
          <w:p>
            <w:pPr>
              <w:pStyle w:val="Obsahtabuky"/>
              <w:jc w:val="center"/>
              <w:rPr/>
            </w:pPr>
            <w:r>
              <w:rPr/>
            </w:r>
          </w:p>
        </w:tc>
        <w:tc>
          <w:tcPr>
            <w:tcW w:w="2498" w:type="dxa"/>
            <w:tcBorders/>
            <w:shd w:fill="FFFFFF" w:val="clear"/>
            <w:vAlign w:val="center"/>
          </w:tcPr>
          <w:p>
            <w:pPr>
              <w:pStyle w:val="Obsahtabuky"/>
              <w:jc w:val="center"/>
              <w:rPr>
                <w:sz w:val="18"/>
                <w:szCs w:val="18"/>
              </w:rPr>
            </w:pPr>
            <w:r>
              <w:rPr/>
            </w:r>
          </w:p>
        </w:tc>
      </w:tr>
      <w:tr>
        <w:trPr>
          <w:trHeight w:val="300" w:hRule="atLeast"/>
        </w:trPr>
        <w:tc>
          <w:tcPr>
            <w:tcW w:w="3315" w:type="dxa"/>
            <w:tcBorders/>
            <w:shd w:fill="FFFFFF" w:val="clear"/>
            <w:vAlign w:val="center"/>
          </w:tcPr>
          <w:p>
            <w:pPr>
              <w:pStyle w:val="Obsahtabuky"/>
              <w:rPr>
                <w:sz w:val="16"/>
                <w:szCs w:val="16"/>
              </w:rPr>
            </w:pPr>
            <w:r>
              <w:rPr>
                <w:sz w:val="16"/>
                <w:szCs w:val="16"/>
              </w:rPr>
              <w:t>Zostatková cena predaného IM</w:t>
            </w:r>
          </w:p>
        </w:tc>
        <w:tc>
          <w:tcPr>
            <w:tcW w:w="2496" w:type="dxa"/>
            <w:tcBorders/>
            <w:shd w:fill="FFFFFF" w:val="clear"/>
            <w:vAlign w:val="center"/>
          </w:tcPr>
          <w:p>
            <w:pPr>
              <w:pStyle w:val="Obsahtabuky"/>
              <w:jc w:val="center"/>
              <w:rPr/>
            </w:pPr>
            <w:r>
              <w:rPr/>
            </w:r>
          </w:p>
        </w:tc>
        <w:tc>
          <w:tcPr>
            <w:tcW w:w="2498" w:type="dxa"/>
            <w:tcBorders/>
            <w:shd w:fill="FFFFFF" w:val="clear"/>
            <w:vAlign w:val="center"/>
          </w:tcPr>
          <w:p>
            <w:pPr>
              <w:pStyle w:val="Obsahtabuky"/>
              <w:jc w:val="center"/>
              <w:rPr>
                <w:sz w:val="18"/>
                <w:szCs w:val="18"/>
              </w:rPr>
            </w:pPr>
            <w:r>
              <w:rPr/>
            </w:r>
          </w:p>
        </w:tc>
      </w:tr>
      <w:tr>
        <w:trPr>
          <w:trHeight w:val="300" w:hRule="atLeast"/>
        </w:trPr>
        <w:tc>
          <w:tcPr>
            <w:tcW w:w="3315" w:type="dxa"/>
            <w:tcBorders/>
            <w:shd w:fill="FFFFFF" w:val="clear"/>
            <w:vAlign w:val="center"/>
          </w:tcPr>
          <w:p>
            <w:pPr>
              <w:pStyle w:val="Obsahtabuky"/>
              <w:rPr>
                <w:sz w:val="16"/>
                <w:szCs w:val="16"/>
              </w:rPr>
            </w:pPr>
            <w:r>
              <w:rPr>
                <w:sz w:val="16"/>
                <w:szCs w:val="16"/>
              </w:rPr>
              <w:t>Odpisy IM</w:t>
            </w:r>
          </w:p>
        </w:tc>
        <w:tc>
          <w:tcPr>
            <w:tcW w:w="2496" w:type="dxa"/>
            <w:tcBorders/>
            <w:shd w:fill="FFFFFF" w:val="clear"/>
            <w:vAlign w:val="center"/>
          </w:tcPr>
          <w:p>
            <w:pPr>
              <w:pStyle w:val="Obsahtabuky"/>
              <w:jc w:val="center"/>
              <w:rPr/>
            </w:pPr>
            <w:r>
              <w:rPr/>
            </w:r>
          </w:p>
        </w:tc>
        <w:tc>
          <w:tcPr>
            <w:tcW w:w="2498" w:type="dxa"/>
            <w:tcBorders/>
            <w:shd w:fill="FFFFFF" w:val="clear"/>
            <w:vAlign w:val="center"/>
          </w:tcPr>
          <w:p>
            <w:pPr>
              <w:pStyle w:val="Obsahtabuky"/>
              <w:jc w:val="center"/>
              <w:rPr>
                <w:sz w:val="18"/>
                <w:szCs w:val="18"/>
              </w:rPr>
            </w:pPr>
            <w:r>
              <w:rPr/>
            </w:r>
          </w:p>
        </w:tc>
      </w:tr>
      <w:tr>
        <w:trPr>
          <w:trHeight w:val="300" w:hRule="atLeast"/>
        </w:trPr>
        <w:tc>
          <w:tcPr>
            <w:tcW w:w="3315" w:type="dxa"/>
            <w:tcBorders/>
            <w:shd w:fill="FFFFFF" w:val="clear"/>
            <w:vAlign w:val="center"/>
          </w:tcPr>
          <w:p>
            <w:pPr>
              <w:pStyle w:val="Obsahtabuky"/>
              <w:rPr>
                <w:sz w:val="16"/>
                <w:szCs w:val="16"/>
              </w:rPr>
            </w:pPr>
            <w:r>
              <w:rPr>
                <w:sz w:val="16"/>
                <w:szCs w:val="16"/>
              </w:rPr>
              <w:t>Bankové poplatky</w:t>
            </w:r>
          </w:p>
        </w:tc>
        <w:tc>
          <w:tcPr>
            <w:tcW w:w="2496" w:type="dxa"/>
            <w:tcBorders/>
            <w:shd w:fill="FFFFFF" w:val="clear"/>
            <w:vAlign w:val="center"/>
          </w:tcPr>
          <w:p>
            <w:pPr>
              <w:pStyle w:val="Obsahtabuky"/>
              <w:jc w:val="center"/>
              <w:rPr/>
            </w:pPr>
            <w:r>
              <w:rPr/>
            </w:r>
          </w:p>
        </w:tc>
        <w:tc>
          <w:tcPr>
            <w:tcW w:w="2498" w:type="dxa"/>
            <w:tcBorders/>
            <w:shd w:fill="FFFFFF" w:val="clear"/>
            <w:vAlign w:val="center"/>
          </w:tcPr>
          <w:p>
            <w:pPr>
              <w:pStyle w:val="Obsahtabuky"/>
              <w:jc w:val="center"/>
              <w:rPr>
                <w:sz w:val="18"/>
                <w:szCs w:val="18"/>
              </w:rPr>
            </w:pPr>
            <w:r>
              <w:rPr/>
            </w:r>
          </w:p>
        </w:tc>
      </w:tr>
      <w:tr>
        <w:trPr>
          <w:trHeight w:val="300" w:hRule="atLeast"/>
        </w:trPr>
        <w:tc>
          <w:tcPr>
            <w:tcW w:w="3315" w:type="dxa"/>
            <w:tcBorders/>
            <w:shd w:fill="FFFFFF" w:val="clear"/>
            <w:vAlign w:val="center"/>
          </w:tcPr>
          <w:p>
            <w:pPr>
              <w:pStyle w:val="Obsahtabuky"/>
              <w:rPr>
                <w:sz w:val="16"/>
                <w:szCs w:val="16"/>
              </w:rPr>
            </w:pPr>
            <w:r>
              <w:rPr>
                <w:sz w:val="16"/>
                <w:szCs w:val="16"/>
              </w:rPr>
              <w:t>Daň z bežnej činnosti splatná</w:t>
            </w:r>
          </w:p>
        </w:tc>
        <w:tc>
          <w:tcPr>
            <w:tcW w:w="2496" w:type="dxa"/>
            <w:tcBorders/>
            <w:shd w:fill="FFFFFF" w:val="clear"/>
            <w:vAlign w:val="center"/>
          </w:tcPr>
          <w:p>
            <w:pPr>
              <w:pStyle w:val="Obsahtabuky"/>
              <w:jc w:val="center"/>
              <w:rPr/>
            </w:pPr>
            <w:r>
              <w:rPr/>
            </w:r>
          </w:p>
        </w:tc>
        <w:tc>
          <w:tcPr>
            <w:tcW w:w="2498" w:type="dxa"/>
            <w:tcBorders/>
            <w:shd w:fill="FFFFFF" w:val="clear"/>
            <w:vAlign w:val="center"/>
          </w:tcPr>
          <w:p>
            <w:pPr>
              <w:pStyle w:val="Obsahtabuky"/>
              <w:jc w:val="center"/>
              <w:rPr>
                <w:sz w:val="18"/>
                <w:szCs w:val="18"/>
              </w:rPr>
            </w:pPr>
            <w:r>
              <w:rPr/>
            </w:r>
          </w:p>
        </w:tc>
      </w:tr>
      <w:tr>
        <w:trPr>
          <w:trHeight w:val="315" w:hRule="atLeast"/>
        </w:trPr>
        <w:tc>
          <w:tcPr>
            <w:tcW w:w="3315" w:type="dxa"/>
            <w:tcBorders/>
            <w:shd w:fill="FFFFFF" w:val="clear"/>
            <w:vAlign w:val="center"/>
          </w:tcPr>
          <w:p>
            <w:pPr>
              <w:pStyle w:val="Obsahtabuky"/>
              <w:rPr/>
            </w:pPr>
            <w:r>
              <w:rPr/>
              <w:t> </w:t>
            </w:r>
          </w:p>
        </w:tc>
        <w:tc>
          <w:tcPr>
            <w:tcW w:w="2496" w:type="dxa"/>
            <w:tcBorders/>
            <w:shd w:fill="FFFFFF" w:val="clear"/>
            <w:vAlign w:val="center"/>
          </w:tcPr>
          <w:p>
            <w:pPr>
              <w:pStyle w:val="Obsahtabuky"/>
              <w:jc w:val="center"/>
              <w:rPr/>
            </w:pPr>
            <w:r>
              <w:rPr/>
            </w:r>
          </w:p>
        </w:tc>
        <w:tc>
          <w:tcPr>
            <w:tcW w:w="2498" w:type="dxa"/>
            <w:tcBorders/>
            <w:shd w:fill="FFFFFF" w:val="clear"/>
            <w:vAlign w:val="center"/>
          </w:tcPr>
          <w:p>
            <w:pPr>
              <w:pStyle w:val="Obsahtabuky"/>
              <w:jc w:val="center"/>
              <w:rPr>
                <w:sz w:val="18"/>
                <w:szCs w:val="18"/>
              </w:rPr>
            </w:pPr>
            <w:r>
              <w:rPr/>
            </w:r>
          </w:p>
        </w:tc>
      </w:tr>
      <w:tr>
        <w:trPr>
          <w:trHeight w:val="315" w:hRule="atLeast"/>
        </w:trPr>
        <w:tc>
          <w:tcPr>
            <w:tcW w:w="3315" w:type="dxa"/>
            <w:tcBorders/>
            <w:shd w:fill="FFFFFF" w:val="clear"/>
            <w:vAlign w:val="center"/>
          </w:tcPr>
          <w:p>
            <w:pPr>
              <w:pStyle w:val="Obsahtabuky"/>
              <w:rPr>
                <w:b/>
                <w:b/>
                <w:bCs/>
                <w:sz w:val="16"/>
                <w:szCs w:val="16"/>
              </w:rPr>
            </w:pPr>
            <w:r>
              <w:rPr>
                <w:b/>
                <w:bCs/>
                <w:sz w:val="16"/>
                <w:szCs w:val="16"/>
              </w:rPr>
              <w:t>Náklady spolu:</w:t>
            </w:r>
          </w:p>
        </w:tc>
        <w:tc>
          <w:tcPr>
            <w:tcW w:w="2496" w:type="dxa"/>
            <w:tcBorders/>
            <w:shd w:fill="FFFFFF" w:val="clear"/>
            <w:vAlign w:val="center"/>
          </w:tcPr>
          <w:p>
            <w:pPr>
              <w:pStyle w:val="Obsahtabuky"/>
              <w:jc w:val="center"/>
              <w:rPr/>
            </w:pPr>
            <w:r>
              <w:rPr>
                <w:b/>
                <w:bCs/>
                <w:sz w:val="18"/>
                <w:szCs w:val="18"/>
              </w:rPr>
              <w:t>39</w:t>
            </w:r>
          </w:p>
        </w:tc>
        <w:tc>
          <w:tcPr>
            <w:tcW w:w="2498" w:type="dxa"/>
            <w:tcBorders/>
            <w:shd w:fill="FFFFFF" w:val="clear"/>
            <w:vAlign w:val="center"/>
          </w:tcPr>
          <w:p>
            <w:pPr>
              <w:pStyle w:val="Obsahtabuky"/>
              <w:jc w:val="center"/>
              <w:rPr/>
            </w:pPr>
            <w:r>
              <w:rPr>
                <w:b/>
                <w:bCs/>
                <w:sz w:val="18"/>
                <w:szCs w:val="18"/>
              </w:rPr>
              <w:t>1100</w:t>
            </w:r>
          </w:p>
        </w:tc>
      </w:tr>
    </w:tbl>
    <w:p>
      <w:pPr>
        <w:pStyle w:val="Normal"/>
        <w:rPr>
          <w:b w:val="false"/>
          <w:b w:val="false"/>
          <w:bCs w:val="false"/>
          <w:sz w:val="16"/>
          <w:szCs w:val="16"/>
        </w:rPr>
      </w:pPr>
      <w:r>
        <w:rPr>
          <w:b w:val="false"/>
          <w:bCs w:val="false"/>
          <w:sz w:val="16"/>
          <w:szCs w:val="16"/>
        </w:rPr>
      </w:r>
    </w:p>
    <w:p>
      <w:pPr>
        <w:pStyle w:val="Normal"/>
        <w:jc w:val="left"/>
        <w:rPr>
          <w:rFonts w:cs="Arial"/>
          <w:b/>
          <w:b/>
          <w:bCs/>
          <w:iCs/>
          <w:szCs w:val="28"/>
        </w:rPr>
      </w:pPr>
      <w:r>
        <w:rPr>
          <w:rFonts w:cs="Arial"/>
          <w:b/>
          <w:bCs/>
          <w:iCs/>
          <w:szCs w:val="28"/>
        </w:rPr>
      </w:r>
    </w:p>
    <w:p>
      <w:pPr>
        <w:pStyle w:val="Normal"/>
        <w:jc w:val="left"/>
        <w:rPr>
          <w:rFonts w:cs="Arial"/>
          <w:b w:val="false"/>
          <w:b w:val="false"/>
          <w:bCs w:val="false"/>
          <w:iCs/>
          <w:szCs w:val="28"/>
        </w:rPr>
      </w:pPr>
      <w:r>
        <w:rPr>
          <w:rFonts w:cs="Arial"/>
          <w:b w:val="false"/>
          <w:bCs w:val="false"/>
          <w:iCs/>
          <w:szCs w:val="28"/>
        </w:rPr>
      </w:r>
    </w:p>
    <w:p>
      <w:pPr>
        <w:pStyle w:val="Normal"/>
        <w:jc w:val="left"/>
        <w:rPr>
          <w:rFonts w:cs="Arial"/>
          <w:b/>
          <w:b/>
          <w:bCs/>
          <w:iCs/>
          <w:szCs w:val="28"/>
        </w:rPr>
      </w:pPr>
      <w:r>
        <w:rPr>
          <w:rFonts w:cs="Arial"/>
          <w:b/>
          <w:bCs/>
          <w:iCs/>
          <w:szCs w:val="28"/>
        </w:rPr>
      </w:r>
    </w:p>
    <w:p>
      <w:pPr>
        <w:pStyle w:val="Normal"/>
        <w:jc w:val="left"/>
        <w:rPr>
          <w:rFonts w:cs="Arial"/>
          <w:b/>
          <w:b/>
          <w:bCs/>
          <w:iCs/>
          <w:szCs w:val="28"/>
        </w:rPr>
      </w:pPr>
      <w:r>
        <w:rPr>
          <w:rFonts w:cs="Arial"/>
          <w:b/>
          <w:bCs/>
          <w:iCs/>
          <w:szCs w:val="28"/>
        </w:rPr>
      </w:r>
    </w:p>
    <w:p>
      <w:pPr>
        <w:pStyle w:val="Normal"/>
        <w:jc w:val="left"/>
        <w:rPr>
          <w:rFonts w:cs="Arial"/>
          <w:b/>
          <w:b/>
          <w:bCs/>
          <w:iCs/>
          <w:szCs w:val="28"/>
        </w:rPr>
      </w:pPr>
      <w:r>
        <w:rPr>
          <w:rFonts w:cs="Arial"/>
          <w:b/>
          <w:bCs/>
          <w:iCs/>
          <w:szCs w:val="28"/>
        </w:rPr>
      </w:r>
    </w:p>
    <w:p>
      <w:pPr>
        <w:pStyle w:val="Normal"/>
        <w:jc w:val="left"/>
        <w:rPr>
          <w:rFonts w:cs="Arial"/>
          <w:b/>
          <w:b/>
          <w:bCs/>
          <w:iCs/>
          <w:szCs w:val="28"/>
        </w:rPr>
      </w:pPr>
      <w:r>
        <w:rPr>
          <w:rFonts w:cs="Arial"/>
          <w:b/>
          <w:bCs/>
          <w:iCs/>
          <w:szCs w:val="28"/>
        </w:rPr>
      </w:r>
    </w:p>
    <w:p>
      <w:pPr>
        <w:pStyle w:val="Normal"/>
        <w:jc w:val="left"/>
        <w:rPr>
          <w:rFonts w:cs="Arial"/>
          <w:b/>
          <w:b/>
          <w:bCs/>
          <w:iCs/>
          <w:szCs w:val="28"/>
        </w:rPr>
      </w:pPr>
      <w:r>
        <w:rPr>
          <w:rFonts w:cs="Arial"/>
          <w:b/>
          <w:bCs/>
          <w:iCs/>
          <w:szCs w:val="28"/>
        </w:rPr>
      </w:r>
    </w:p>
    <w:p>
      <w:pPr>
        <w:pStyle w:val="Normal"/>
        <w:jc w:val="left"/>
        <w:rPr>
          <w:rFonts w:cs="Arial"/>
          <w:b/>
          <w:b/>
          <w:bCs/>
          <w:iCs/>
          <w:szCs w:val="28"/>
        </w:rPr>
      </w:pPr>
      <w:r>
        <w:rPr>
          <w:rFonts w:cs="Arial"/>
          <w:b/>
          <w:bCs/>
          <w:iCs/>
          <w:szCs w:val="28"/>
        </w:rPr>
      </w:r>
    </w:p>
    <w:p>
      <w:pPr>
        <w:pStyle w:val="Normal"/>
        <w:jc w:val="left"/>
        <w:rPr/>
      </w:pPr>
      <w:r>
        <w:rPr/>
      </w:r>
      <w:r>
        <w:br w:type="page"/>
      </w:r>
    </w:p>
    <w:p>
      <w:pPr>
        <w:pStyle w:val="Normal"/>
        <w:jc w:val="left"/>
        <w:rPr>
          <w:rFonts w:cs="Arial"/>
          <w:b/>
          <w:b/>
          <w:bCs/>
          <w:iCs/>
          <w:szCs w:val="28"/>
        </w:rPr>
      </w:pPr>
      <w:r>
        <w:rPr>
          <w:rFonts w:cs="Arial"/>
          <w:b/>
          <w:bCs/>
          <w:iCs/>
          <w:szCs w:val="28"/>
        </w:rPr>
      </w:r>
    </w:p>
    <w:p>
      <w:pPr>
        <w:pStyle w:val="Normal"/>
        <w:jc w:val="left"/>
        <w:rPr>
          <w:rFonts w:cs="Arial"/>
          <w:b/>
          <w:b/>
          <w:bCs/>
          <w:iCs/>
          <w:szCs w:val="28"/>
        </w:rPr>
      </w:pPr>
      <w:r>
        <w:rPr>
          <w:rFonts w:cs="Arial"/>
          <w:b/>
          <w:bCs/>
          <w:iCs/>
          <w:szCs w:val="28"/>
        </w:rPr>
        <w:t>VII. INFORMÁCIE O DANIACH Z PRÍJMOV</w:t>
      </w:r>
    </w:p>
    <w:p>
      <w:pPr>
        <w:pStyle w:val="Normal"/>
        <w:jc w:val="left"/>
        <w:rPr>
          <w:rFonts w:cs="Arial"/>
          <w:b/>
          <w:b/>
          <w:bCs/>
          <w:iCs/>
          <w:sz w:val="20"/>
          <w:szCs w:val="20"/>
        </w:rPr>
      </w:pPr>
      <w:r>
        <w:rPr>
          <w:rFonts w:cs="Arial"/>
          <w:b/>
          <w:bCs/>
          <w:iCs/>
          <w:sz w:val="20"/>
          <w:szCs w:val="20"/>
        </w:rPr>
      </w:r>
    </w:p>
    <w:p>
      <w:pPr>
        <w:pStyle w:val="Normal"/>
        <w:jc w:val="left"/>
        <w:rPr/>
      </w:pPr>
      <w:r>
        <w:rPr>
          <w:rFonts w:cs="Arial"/>
          <w:b w:val="false"/>
          <w:bCs w:val="false"/>
          <w:iCs/>
          <w:sz w:val="20"/>
          <w:szCs w:val="20"/>
        </w:rPr>
        <w:t xml:space="preserve">Spoločnosť v bežnom účtovnom období vykázala </w:t>
      </w:r>
      <w:r>
        <w:rPr>
          <w:rFonts w:eastAsia="Times New Roman" w:cs="Arial" w:ascii="Calibri" w:hAnsi="Calibri"/>
          <w:b w:val="false"/>
          <w:bCs w:val="false"/>
          <w:iCs/>
          <w:color w:val="000000"/>
          <w:sz w:val="20"/>
          <w:szCs w:val="20"/>
        </w:rPr>
        <w:t>účtovn</w:t>
      </w:r>
      <w:r>
        <w:rPr>
          <w:rFonts w:eastAsia="Times New Roman" w:cs="Arial" w:ascii="Calibri" w:hAnsi="Calibri"/>
          <w:b w:val="false"/>
          <w:bCs w:val="false"/>
          <w:iCs/>
          <w:color w:val="000000"/>
          <w:sz w:val="20"/>
          <w:szCs w:val="20"/>
        </w:rPr>
        <w:t>ú stratu-39,00 €</w:t>
      </w:r>
      <w:r>
        <w:rPr>
          <w:rFonts w:eastAsia="Times New Roman" w:cs="Arial" w:ascii="Calibri" w:hAnsi="Calibri"/>
          <w:b/>
          <w:bCs/>
          <w:iCs/>
          <w:color w:val="000000"/>
          <w:sz w:val="20"/>
          <w:szCs w:val="20"/>
        </w:rPr>
        <w:t xml:space="preserve"> </w:t>
      </w:r>
      <w:r>
        <w:rPr>
          <w:rFonts w:eastAsia="Times New Roman" w:cs="Arial" w:ascii="Calibri" w:hAnsi="Calibri"/>
          <w:b w:val="false"/>
          <w:bCs w:val="false"/>
          <w:iCs/>
          <w:color w:val="000000"/>
          <w:sz w:val="20"/>
          <w:szCs w:val="20"/>
        </w:rPr>
        <w:t xml:space="preserve">€. </w:t>
      </w:r>
    </w:p>
    <w:p>
      <w:pPr>
        <w:pStyle w:val="Normal"/>
        <w:jc w:val="left"/>
        <w:rPr/>
      </w:pPr>
      <w:r>
        <w:rPr/>
      </w:r>
    </w:p>
    <w:p>
      <w:pPr>
        <w:pStyle w:val="Normal"/>
        <w:jc w:val="left"/>
        <w:rPr>
          <w:rFonts w:cs="Arial"/>
          <w:b w:val="false"/>
          <w:b w:val="false"/>
          <w:bCs w:val="false"/>
          <w:iCs/>
          <w:sz w:val="16"/>
          <w:szCs w:val="16"/>
        </w:rPr>
      </w:pPr>
      <w:r>
        <w:rPr>
          <w:rFonts w:cs="Arial"/>
          <w:b w:val="false"/>
          <w:bCs w:val="false"/>
          <w:iCs/>
          <w:sz w:val="16"/>
          <w:szCs w:val="16"/>
        </w:rPr>
      </w:r>
    </w:p>
    <w:p>
      <w:pPr>
        <w:pStyle w:val="Normal"/>
        <w:jc w:val="left"/>
        <w:rPr>
          <w:rFonts w:cs="Arial"/>
          <w:b w:val="false"/>
          <w:b w:val="false"/>
          <w:bCs w:val="false"/>
          <w:iCs/>
          <w:sz w:val="16"/>
          <w:szCs w:val="16"/>
        </w:rPr>
      </w:pPr>
      <w:r>
        <w:rPr>
          <w:rFonts w:cs="Arial"/>
          <w:b w:val="false"/>
          <w:bCs w:val="false"/>
          <w:iCs/>
          <w:sz w:val="16"/>
          <w:szCs w:val="16"/>
        </w:rPr>
      </w:r>
    </w:p>
    <w:p>
      <w:pPr>
        <w:pStyle w:val="Normal"/>
        <w:jc w:val="left"/>
        <w:rPr>
          <w:rFonts w:ascii="Calibri" w:hAnsi="Calibri" w:eastAsia="Times New Roman" w:cs="Arial"/>
          <w:b/>
          <w:b/>
          <w:bCs/>
          <w:iCs/>
          <w:color w:val="000000"/>
          <w:sz w:val="22"/>
          <w:szCs w:val="22"/>
        </w:rPr>
      </w:pPr>
      <w:r>
        <w:rPr>
          <w:rFonts w:eastAsia="Times New Roman" w:cs="Arial" w:ascii="Calibri" w:hAnsi="Calibri"/>
          <w:b/>
          <w:bCs/>
          <w:iCs/>
          <w:color w:val="000000"/>
          <w:sz w:val="22"/>
          <w:szCs w:val="22"/>
        </w:rPr>
        <w:t>VIII. INFORMÁCIE O PREH2ADE ZMIEN VLASTNÉHO IMANIA</w:t>
      </w:r>
    </w:p>
    <w:p>
      <w:pPr>
        <w:pStyle w:val="Normal"/>
        <w:jc w:val="left"/>
        <w:rPr>
          <w:rFonts w:cs="Arial"/>
          <w:b w:val="false"/>
          <w:b w:val="false"/>
          <w:bCs w:val="false"/>
          <w:iCs/>
          <w:sz w:val="16"/>
          <w:szCs w:val="16"/>
        </w:rPr>
      </w:pPr>
      <w:r>
        <w:rPr>
          <w:rFonts w:cs="Arial"/>
          <w:b w:val="false"/>
          <w:bCs w:val="false"/>
          <w:iCs/>
          <w:sz w:val="16"/>
          <w:szCs w:val="16"/>
        </w:rPr>
      </w:r>
    </w:p>
    <w:p>
      <w:pPr>
        <w:pStyle w:val="Normal"/>
        <w:jc w:val="left"/>
        <w:rPr>
          <w:rFonts w:ascii="Calibri" w:hAnsi="Calibri" w:cs="Arial"/>
          <w:b w:val="false"/>
          <w:b w:val="false"/>
          <w:bCs w:val="false"/>
          <w:iCs/>
          <w:color w:val="000000"/>
          <w:sz w:val="22"/>
          <w:szCs w:val="16"/>
        </w:rPr>
      </w:pPr>
      <w:r>
        <w:rPr>
          <w:rFonts w:cs="Arial" w:ascii="Calibri" w:hAnsi="Calibri"/>
          <w:b w:val="false"/>
          <w:bCs w:val="false"/>
          <w:iCs/>
          <w:color w:val="000000"/>
          <w:sz w:val="22"/>
          <w:szCs w:val="16"/>
        </w:rPr>
      </w:r>
    </w:p>
    <w:tbl>
      <w:tblPr>
        <w:tblW w:w="9072" w:type="dxa"/>
        <w:jc w:val="left"/>
        <w:tblInd w:w="-105" w:type="dxa"/>
        <w:tblCellMar>
          <w:top w:w="0" w:type="dxa"/>
          <w:left w:w="0" w:type="dxa"/>
          <w:bottom w:w="0" w:type="dxa"/>
          <w:right w:w="0" w:type="dxa"/>
        </w:tblCellMar>
      </w:tblPr>
      <w:tblGrid>
        <w:gridCol w:w="4293"/>
        <w:gridCol w:w="884"/>
        <w:gridCol w:w="1032"/>
        <w:gridCol w:w="796"/>
        <w:gridCol w:w="923"/>
        <w:gridCol w:w="1143"/>
      </w:tblGrid>
      <w:tr>
        <w:trPr/>
        <w:tc>
          <w:tcPr>
            <w:tcW w:w="4293" w:type="dxa"/>
            <w:vMerge w:val="restart"/>
            <w:tcBorders>
              <w:top w:val="single" w:sz="8" w:space="0" w:color="00000A"/>
            </w:tcBorders>
            <w:shd w:fill="FFFFFF" w:val="clear"/>
            <w:vAlign w:val="center"/>
          </w:tcPr>
          <w:p>
            <w:pPr>
              <w:pStyle w:val="Normal"/>
              <w:spacing w:before="28" w:after="119"/>
              <w:ind w:left="176" w:right="0" w:hanging="176"/>
              <w:jc w:val="both"/>
              <w:rPr>
                <w:rFonts w:eastAsia="Times New Roman" w:cs="Times New Roman"/>
                <w:b/>
                <w:b/>
                <w:bCs/>
                <w:i/>
                <w:i/>
                <w:iCs/>
                <w:color w:val="00000A"/>
                <w:sz w:val="20"/>
                <w:szCs w:val="20"/>
                <w:lang w:eastAsia="sk-SK"/>
              </w:rPr>
            </w:pPr>
            <w:r>
              <w:rPr>
                <w:rFonts w:eastAsia="Times New Roman" w:cs="Times New Roman"/>
                <w:b/>
                <w:bCs/>
                <w:i/>
                <w:iCs/>
                <w:color w:val="00000A"/>
                <w:sz w:val="20"/>
                <w:szCs w:val="20"/>
                <w:lang w:eastAsia="sk-SK"/>
              </w:rPr>
              <w:t>Položka</w:t>
            </w:r>
          </w:p>
        </w:tc>
        <w:tc>
          <w:tcPr>
            <w:tcW w:w="884" w:type="dxa"/>
            <w:tcBorders>
              <w:top w:val="single" w:sz="8" w:space="0" w:color="00000A"/>
            </w:tcBorders>
            <w:shd w:fill="FFFFFF" w:val="clear"/>
            <w:vAlign w:val="center"/>
          </w:tcPr>
          <w:p>
            <w:pPr>
              <w:pStyle w:val="Normal"/>
              <w:spacing w:before="28" w:after="119"/>
              <w:jc w:val="both"/>
              <w:rPr>
                <w:rFonts w:eastAsia="Times New Roman" w:cs="Times New Roman"/>
                <w:b/>
                <w:b/>
                <w:bCs/>
                <w:i/>
                <w:i/>
                <w:iCs/>
                <w:color w:val="00000A"/>
                <w:sz w:val="20"/>
                <w:szCs w:val="20"/>
                <w:lang w:eastAsia="sk-SK"/>
              </w:rPr>
            </w:pPr>
            <w:r>
              <w:rPr>
                <w:rFonts w:eastAsia="Times New Roman" w:cs="Times New Roman"/>
                <w:b/>
                <w:bCs/>
                <w:i/>
                <w:iCs/>
                <w:color w:val="00000A"/>
                <w:sz w:val="20"/>
                <w:szCs w:val="20"/>
                <w:lang w:eastAsia="sk-SK"/>
              </w:rPr>
              <w:t>Stav</w:t>
            </w:r>
          </w:p>
        </w:tc>
        <w:tc>
          <w:tcPr>
            <w:tcW w:w="1032" w:type="dxa"/>
            <w:vMerge w:val="restart"/>
            <w:tcBorders>
              <w:top w:val="single" w:sz="8" w:space="0" w:color="00000A"/>
            </w:tcBorders>
            <w:shd w:fill="FFFFFF" w:val="clear"/>
            <w:vAlign w:val="center"/>
          </w:tcPr>
          <w:p>
            <w:pPr>
              <w:pStyle w:val="Normal"/>
              <w:spacing w:before="28" w:after="119"/>
              <w:jc w:val="both"/>
              <w:rPr>
                <w:rFonts w:eastAsia="Times New Roman" w:cs="Times New Roman"/>
                <w:b/>
                <w:b/>
                <w:bCs/>
                <w:i/>
                <w:i/>
                <w:iCs/>
                <w:color w:val="00000A"/>
                <w:sz w:val="20"/>
                <w:szCs w:val="20"/>
                <w:lang w:eastAsia="sk-SK"/>
              </w:rPr>
            </w:pPr>
            <w:r>
              <w:rPr>
                <w:rFonts w:eastAsia="Times New Roman" w:cs="Times New Roman"/>
                <w:b/>
                <w:bCs/>
                <w:i/>
                <w:iCs/>
                <w:color w:val="00000A"/>
                <w:sz w:val="20"/>
                <w:szCs w:val="20"/>
                <w:lang w:eastAsia="sk-SK"/>
              </w:rPr>
              <w:t>Prírastky</w:t>
            </w:r>
          </w:p>
        </w:tc>
        <w:tc>
          <w:tcPr>
            <w:tcW w:w="796" w:type="dxa"/>
            <w:vMerge w:val="restart"/>
            <w:tcBorders>
              <w:top w:val="single" w:sz="8" w:space="0" w:color="00000A"/>
            </w:tcBorders>
            <w:shd w:fill="FFFFFF" w:val="clear"/>
            <w:vAlign w:val="center"/>
          </w:tcPr>
          <w:p>
            <w:pPr>
              <w:pStyle w:val="Normal"/>
              <w:spacing w:before="28" w:after="119"/>
              <w:jc w:val="both"/>
              <w:rPr>
                <w:rFonts w:eastAsia="Times New Roman" w:cs="Times New Roman"/>
                <w:b/>
                <w:b/>
                <w:bCs/>
                <w:i/>
                <w:i/>
                <w:iCs/>
                <w:color w:val="00000A"/>
                <w:sz w:val="20"/>
                <w:szCs w:val="20"/>
                <w:lang w:eastAsia="sk-SK"/>
              </w:rPr>
            </w:pPr>
            <w:r>
              <w:rPr>
                <w:rFonts w:eastAsia="Times New Roman" w:cs="Times New Roman"/>
                <w:b/>
                <w:bCs/>
                <w:i/>
                <w:iCs/>
                <w:color w:val="00000A"/>
                <w:sz w:val="20"/>
                <w:szCs w:val="20"/>
                <w:lang w:eastAsia="sk-SK"/>
              </w:rPr>
              <w:t>Úbytky</w:t>
            </w:r>
          </w:p>
        </w:tc>
        <w:tc>
          <w:tcPr>
            <w:tcW w:w="923" w:type="dxa"/>
            <w:vMerge w:val="restart"/>
            <w:tcBorders>
              <w:top w:val="single" w:sz="8" w:space="0" w:color="00000A"/>
            </w:tcBorders>
            <w:shd w:fill="FFFFFF" w:val="clear"/>
            <w:vAlign w:val="center"/>
          </w:tcPr>
          <w:p>
            <w:pPr>
              <w:pStyle w:val="Normal"/>
              <w:spacing w:before="28" w:after="119"/>
              <w:jc w:val="both"/>
              <w:rPr>
                <w:rFonts w:eastAsia="Times New Roman" w:cs="Times New Roman"/>
                <w:b/>
                <w:b/>
                <w:bCs/>
                <w:i/>
                <w:i/>
                <w:iCs/>
                <w:color w:val="00000A"/>
                <w:sz w:val="20"/>
                <w:szCs w:val="20"/>
                <w:lang w:eastAsia="sk-SK"/>
              </w:rPr>
            </w:pPr>
            <w:r>
              <w:rPr>
                <w:rFonts w:eastAsia="Times New Roman" w:cs="Times New Roman"/>
                <w:b/>
                <w:bCs/>
                <w:i/>
                <w:iCs/>
                <w:color w:val="00000A"/>
                <w:sz w:val="20"/>
                <w:szCs w:val="20"/>
                <w:lang w:eastAsia="sk-SK"/>
              </w:rPr>
              <w:t>Presuny</w:t>
            </w:r>
          </w:p>
        </w:tc>
        <w:tc>
          <w:tcPr>
            <w:tcW w:w="1143" w:type="dxa"/>
            <w:tcBorders>
              <w:top w:val="single" w:sz="8" w:space="0" w:color="00000A"/>
            </w:tcBorders>
            <w:shd w:fill="FFFFFF" w:val="clear"/>
            <w:vAlign w:val="center"/>
          </w:tcPr>
          <w:p>
            <w:pPr>
              <w:pStyle w:val="Normal"/>
              <w:spacing w:before="28" w:after="119"/>
              <w:jc w:val="both"/>
              <w:rPr>
                <w:rFonts w:eastAsia="Times New Roman" w:cs="Times New Roman"/>
                <w:b/>
                <w:b/>
                <w:bCs/>
                <w:i/>
                <w:i/>
                <w:iCs/>
                <w:color w:val="00000A"/>
                <w:sz w:val="20"/>
                <w:szCs w:val="20"/>
                <w:lang w:eastAsia="sk-SK"/>
              </w:rPr>
            </w:pPr>
            <w:r>
              <w:rPr>
                <w:rFonts w:eastAsia="Times New Roman" w:cs="Times New Roman"/>
                <w:b/>
                <w:bCs/>
                <w:i/>
                <w:iCs/>
                <w:color w:val="00000A"/>
                <w:sz w:val="20"/>
                <w:szCs w:val="20"/>
                <w:lang w:eastAsia="sk-SK"/>
              </w:rPr>
              <w:t>Stav</w:t>
            </w:r>
          </w:p>
        </w:tc>
      </w:tr>
      <w:tr>
        <w:trPr/>
        <w:tc>
          <w:tcPr>
            <w:tcW w:w="4293" w:type="dxa"/>
            <w:vMerge w:val="continue"/>
            <w:tcBorders>
              <w:top w:val="single" w:sz="8" w:space="0" w:color="00000A"/>
            </w:tcBorders>
            <w:shd w:fill="FFFFFF" w:val="clear"/>
            <w:tcMar>
              <w:top w:w="105" w:type="dxa"/>
              <w:left w:w="105" w:type="dxa"/>
              <w:bottom w:w="105" w:type="dxa"/>
              <w:right w:w="105" w:type="dxa"/>
            </w:tcMar>
            <w:vAlign w:val="center"/>
          </w:tcPr>
          <w:p>
            <w:pPr>
              <w:pStyle w:val="Normal"/>
              <w:jc w:val="left"/>
              <w:rPr>
                <w:rFonts w:eastAsia="Times New Roman" w:cs="Times New Roman"/>
                <w:color w:val="00000A"/>
                <w:sz w:val="20"/>
                <w:szCs w:val="20"/>
                <w:lang w:eastAsia="sk-SK"/>
              </w:rPr>
            </w:pPr>
            <w:r>
              <w:rPr>
                <w:rFonts w:eastAsia="Times New Roman" w:cs="Times New Roman"/>
                <w:color w:val="00000A"/>
                <w:sz w:val="20"/>
                <w:szCs w:val="20"/>
                <w:lang w:eastAsia="sk-SK"/>
              </w:rPr>
            </w:r>
          </w:p>
        </w:tc>
        <w:tc>
          <w:tcPr>
            <w:tcW w:w="884" w:type="dxa"/>
            <w:tcBorders/>
            <w:shd w:fill="FFFFFF" w:val="clear"/>
            <w:vAlign w:val="center"/>
          </w:tcPr>
          <w:p>
            <w:pPr>
              <w:pStyle w:val="Normal"/>
              <w:spacing w:before="28" w:after="119"/>
              <w:jc w:val="both"/>
              <w:rPr>
                <w:rFonts w:eastAsia="Times New Roman" w:cs="Times New Roman"/>
                <w:b/>
                <w:b/>
                <w:bCs/>
                <w:i/>
                <w:i/>
                <w:iCs/>
                <w:color w:val="00000A"/>
                <w:sz w:val="20"/>
                <w:szCs w:val="20"/>
                <w:lang w:eastAsia="sk-SK"/>
              </w:rPr>
            </w:pPr>
            <w:r>
              <w:rPr>
                <w:rFonts w:eastAsia="Times New Roman" w:cs="Times New Roman"/>
                <w:b/>
                <w:bCs/>
                <w:i/>
                <w:iCs/>
                <w:color w:val="00000A"/>
                <w:sz w:val="20"/>
                <w:szCs w:val="20"/>
                <w:lang w:eastAsia="sk-SK"/>
              </w:rPr>
              <w:t>K 1. januáru 2017</w:t>
            </w:r>
          </w:p>
        </w:tc>
        <w:tc>
          <w:tcPr>
            <w:tcW w:w="1032" w:type="dxa"/>
            <w:vMerge w:val="continue"/>
            <w:tcBorders>
              <w:top w:val="single" w:sz="8" w:space="0" w:color="00000A"/>
            </w:tcBorders>
            <w:shd w:fill="FFFFFF" w:val="clear"/>
            <w:tcMar>
              <w:top w:w="105" w:type="dxa"/>
              <w:left w:w="105" w:type="dxa"/>
              <w:bottom w:w="105" w:type="dxa"/>
              <w:right w:w="105" w:type="dxa"/>
            </w:tcMar>
            <w:vAlign w:val="center"/>
          </w:tcPr>
          <w:p>
            <w:pPr>
              <w:pStyle w:val="Normal"/>
              <w:jc w:val="left"/>
              <w:rPr>
                <w:rFonts w:eastAsia="Times New Roman" w:cs="Times New Roman"/>
                <w:color w:val="00000A"/>
                <w:sz w:val="20"/>
                <w:szCs w:val="20"/>
                <w:lang w:eastAsia="sk-SK"/>
              </w:rPr>
            </w:pPr>
            <w:r>
              <w:rPr>
                <w:rFonts w:eastAsia="Times New Roman" w:cs="Times New Roman"/>
                <w:color w:val="00000A"/>
                <w:sz w:val="20"/>
                <w:szCs w:val="20"/>
                <w:lang w:eastAsia="sk-SK"/>
              </w:rPr>
            </w:r>
          </w:p>
        </w:tc>
        <w:tc>
          <w:tcPr>
            <w:tcW w:w="796" w:type="dxa"/>
            <w:vMerge w:val="continue"/>
            <w:tcBorders>
              <w:top w:val="single" w:sz="8" w:space="0" w:color="00000A"/>
            </w:tcBorders>
            <w:shd w:fill="FFFFFF" w:val="clear"/>
            <w:tcMar>
              <w:top w:w="105" w:type="dxa"/>
              <w:left w:w="105" w:type="dxa"/>
              <w:bottom w:w="105" w:type="dxa"/>
              <w:right w:w="105" w:type="dxa"/>
            </w:tcMar>
            <w:vAlign w:val="center"/>
          </w:tcPr>
          <w:p>
            <w:pPr>
              <w:pStyle w:val="Normal"/>
              <w:jc w:val="left"/>
              <w:rPr>
                <w:rFonts w:eastAsia="Times New Roman" w:cs="Times New Roman"/>
                <w:color w:val="00000A"/>
                <w:sz w:val="20"/>
                <w:szCs w:val="20"/>
                <w:lang w:eastAsia="sk-SK"/>
              </w:rPr>
            </w:pPr>
            <w:r>
              <w:rPr>
                <w:rFonts w:eastAsia="Times New Roman" w:cs="Times New Roman"/>
                <w:color w:val="00000A"/>
                <w:sz w:val="20"/>
                <w:szCs w:val="20"/>
                <w:lang w:eastAsia="sk-SK"/>
              </w:rPr>
            </w:r>
          </w:p>
        </w:tc>
        <w:tc>
          <w:tcPr>
            <w:tcW w:w="923" w:type="dxa"/>
            <w:vMerge w:val="continue"/>
            <w:tcBorders>
              <w:top w:val="single" w:sz="8" w:space="0" w:color="00000A"/>
            </w:tcBorders>
            <w:shd w:fill="FFFFFF" w:val="clear"/>
            <w:tcMar>
              <w:top w:w="105" w:type="dxa"/>
              <w:left w:w="105" w:type="dxa"/>
              <w:bottom w:w="105" w:type="dxa"/>
              <w:right w:w="105" w:type="dxa"/>
            </w:tcMar>
            <w:vAlign w:val="center"/>
          </w:tcPr>
          <w:p>
            <w:pPr>
              <w:pStyle w:val="Normal"/>
              <w:jc w:val="left"/>
              <w:rPr>
                <w:rFonts w:eastAsia="Times New Roman" w:cs="Times New Roman"/>
                <w:color w:val="00000A"/>
                <w:sz w:val="20"/>
                <w:szCs w:val="20"/>
                <w:lang w:eastAsia="sk-SK"/>
              </w:rPr>
            </w:pPr>
            <w:r>
              <w:rPr>
                <w:rFonts w:eastAsia="Times New Roman" w:cs="Times New Roman"/>
                <w:color w:val="00000A"/>
                <w:sz w:val="20"/>
                <w:szCs w:val="20"/>
                <w:lang w:eastAsia="sk-SK"/>
              </w:rPr>
            </w:r>
          </w:p>
        </w:tc>
        <w:tc>
          <w:tcPr>
            <w:tcW w:w="1143" w:type="dxa"/>
            <w:tcBorders/>
            <w:shd w:fill="FFFFFF" w:val="clear"/>
            <w:vAlign w:val="center"/>
          </w:tcPr>
          <w:p>
            <w:pPr>
              <w:pStyle w:val="Normal"/>
              <w:spacing w:before="28" w:after="119"/>
              <w:jc w:val="both"/>
              <w:rPr>
                <w:rFonts w:eastAsia="Times New Roman" w:cs="Times New Roman"/>
                <w:b/>
                <w:b/>
                <w:bCs/>
                <w:i/>
                <w:i/>
                <w:iCs/>
                <w:color w:val="00000A"/>
                <w:sz w:val="20"/>
                <w:szCs w:val="20"/>
                <w:lang w:eastAsia="sk-SK"/>
              </w:rPr>
            </w:pPr>
            <w:r>
              <w:rPr>
                <w:rFonts w:eastAsia="Times New Roman" w:cs="Times New Roman"/>
                <w:b/>
                <w:bCs/>
                <w:i/>
                <w:iCs/>
                <w:color w:val="00000A"/>
                <w:sz w:val="20"/>
                <w:szCs w:val="20"/>
                <w:lang w:eastAsia="sk-SK"/>
              </w:rPr>
              <w:t>K 31. decembru 2018</w:t>
            </w:r>
          </w:p>
        </w:tc>
      </w:tr>
      <w:tr>
        <w:trPr/>
        <w:tc>
          <w:tcPr>
            <w:tcW w:w="4293" w:type="dxa"/>
            <w:tcBorders>
              <w:top w:val="single" w:sz="6" w:space="0" w:color="00000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Základné imanie</w:t>
            </w:r>
          </w:p>
        </w:tc>
        <w:tc>
          <w:tcPr>
            <w:tcW w:w="884" w:type="dxa"/>
            <w:tcBorders>
              <w:top w:val="single" w:sz="6" w:space="0" w:color="00000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5000</w:t>
            </w:r>
          </w:p>
        </w:tc>
        <w:tc>
          <w:tcPr>
            <w:tcW w:w="1032" w:type="dxa"/>
            <w:tcBorders>
              <w:top w:val="single" w:sz="6" w:space="0" w:color="00000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top w:val="single" w:sz="6" w:space="0" w:color="00000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3" w:type="dxa"/>
            <w:tcBorders>
              <w:top w:val="single" w:sz="6" w:space="0" w:color="00000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3" w:type="dxa"/>
            <w:tcBorders>
              <w:top w:val="single" w:sz="6" w:space="0" w:color="00000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5000</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Vlastné akcie a vlastné obchodné podiely</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Zmena základného imania</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Pohľadávky za upísané vlastné imanie</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Emisné ážio</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Ostatné kapitálové fondy</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Zákonný rezervný fond (nedeliteľný fond) z kapitálových vkladov</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Oceňovacie rozdiely z precenenia majetku a záväzkov</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Oceňovacie rozdiely z kapitálových účastín</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Oceňovacie rozdiely z precenenia pri zlúčení, splynutí a rozdelení</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Zákonný rezervný fond </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106    </w:t>
            </w:r>
          </w:p>
        </w:tc>
        <w:tc>
          <w:tcPr>
            <w:tcW w:w="103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pPr>
            <w:r>
              <w:rPr/>
            </w:r>
          </w:p>
        </w:tc>
        <w:tc>
          <w:tcPr>
            <w:tcW w:w="92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r>
              <w:rPr>
                <w:rFonts w:eastAsia="Times New Roman" w:cs="Times New Roman"/>
                <w:color w:val="00000A"/>
                <w:sz w:val="20"/>
                <w:szCs w:val="20"/>
                <w:lang w:eastAsia="sk-SK"/>
              </w:rPr>
              <w:t>144</w:t>
            </w:r>
            <w:r>
              <w:rPr>
                <w:rFonts w:eastAsia="Times New Roman" w:cs="Times New Roman"/>
                <w:color w:val="00000A"/>
                <w:sz w:val="20"/>
                <w:szCs w:val="20"/>
                <w:lang w:eastAsia="sk-SK"/>
              </w:rPr>
              <w:t xml:space="preserve">  </w:t>
            </w:r>
          </w:p>
        </w:tc>
        <w:tc>
          <w:tcPr>
            <w:tcW w:w="1143" w:type="dxa"/>
            <w:tcBorders/>
            <w:shd w:fill="FFFFFF" w:val="clear"/>
            <w:vAlign w:val="bottom"/>
          </w:tcPr>
          <w:p>
            <w:pPr>
              <w:pStyle w:val="Normal"/>
              <w:spacing w:before="28" w:after="119"/>
              <w:jc w:val="both"/>
              <w:rPr/>
            </w:pPr>
            <w:r>
              <w:rPr>
                <w:rFonts w:eastAsia="Times New Roman" w:cs="Times New Roman"/>
                <w:color w:val="00000A"/>
                <w:sz w:val="20"/>
                <w:szCs w:val="20"/>
                <w:lang w:eastAsia="sk-SK"/>
              </w:rPr>
              <w:t xml:space="preserve">-      </w:t>
            </w:r>
            <w:r>
              <w:rPr>
                <w:rFonts w:eastAsia="Times New Roman" w:cs="Times New Roman"/>
                <w:color w:val="00000A"/>
                <w:sz w:val="20"/>
                <w:szCs w:val="20"/>
                <w:lang w:eastAsia="sk-SK"/>
              </w:rPr>
              <w:t>250</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Nedeliteľný fond</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Štatutárne fondy a ostatné fondy</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Nerozdelený zisk minulých rokov</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2748</w:t>
            </w:r>
          </w:p>
        </w:tc>
        <w:tc>
          <w:tcPr>
            <w:tcW w:w="103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pPr>
            <w:r>
              <w:rPr>
                <w:rFonts w:eastAsia="Times New Roman" w:cs="Times New Roman"/>
                <w:color w:val="00000A"/>
                <w:sz w:val="20"/>
                <w:szCs w:val="20"/>
                <w:lang w:eastAsia="sk-SK"/>
              </w:rPr>
              <w:t xml:space="preserve">- </w:t>
            </w:r>
            <w:r>
              <w:rPr>
                <w:rFonts w:eastAsia="Times New Roman" w:cs="Times New Roman"/>
                <w:color w:val="00000A"/>
                <w:sz w:val="20"/>
                <w:szCs w:val="20"/>
                <w:lang w:eastAsia="sk-SK"/>
              </w:rPr>
              <w:t>480</w:t>
            </w:r>
          </w:p>
        </w:tc>
        <w:tc>
          <w:tcPr>
            <w:tcW w:w="923" w:type="dxa"/>
            <w:tcBorders/>
            <w:shd w:fill="FFFFFF" w:val="clear"/>
            <w:vAlign w:val="bottom"/>
          </w:tcPr>
          <w:p>
            <w:pPr>
              <w:pStyle w:val="Normal"/>
              <w:spacing w:before="28" w:after="119"/>
              <w:jc w:val="both"/>
              <w:rPr/>
            </w:pPr>
            <w:r>
              <w:rPr>
                <w:rFonts w:eastAsia="Times New Roman" w:cs="Times New Roman"/>
                <w:color w:val="00000A"/>
                <w:sz w:val="20"/>
                <w:szCs w:val="20"/>
                <w:lang w:eastAsia="sk-SK"/>
              </w:rPr>
              <w:t xml:space="preserve">- </w:t>
            </w:r>
            <w:r>
              <w:rPr>
                <w:rFonts w:eastAsia="Times New Roman" w:cs="Times New Roman"/>
                <w:color w:val="00000A"/>
                <w:sz w:val="20"/>
                <w:szCs w:val="20"/>
                <w:lang w:eastAsia="sk-SK"/>
              </w:rPr>
              <w:t>1390</w:t>
            </w:r>
          </w:p>
        </w:tc>
        <w:tc>
          <w:tcPr>
            <w:tcW w:w="1143" w:type="dxa"/>
            <w:tcBorders/>
            <w:shd w:fill="FFFFFF" w:val="clear"/>
            <w:vAlign w:val="bottom"/>
          </w:tcPr>
          <w:p>
            <w:pPr>
              <w:pStyle w:val="Normal"/>
              <w:spacing w:before="28" w:after="119"/>
              <w:jc w:val="both"/>
              <w:rPr/>
            </w:pPr>
            <w:r>
              <w:rPr>
                <w:rFonts w:eastAsia="Times New Roman" w:cs="Times New Roman"/>
                <w:color w:val="00000A"/>
                <w:sz w:val="20"/>
                <w:szCs w:val="20"/>
                <w:lang w:eastAsia="sk-SK"/>
              </w:rPr>
              <w:t xml:space="preserve">-    </w:t>
            </w:r>
            <w:r>
              <w:rPr>
                <w:rFonts w:eastAsia="Times New Roman" w:cs="Times New Roman"/>
                <w:color w:val="00000A"/>
                <w:sz w:val="20"/>
                <w:szCs w:val="20"/>
                <w:lang w:eastAsia="sk-SK"/>
              </w:rPr>
              <w:t>3658</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Neuhradená strata minulých rokov</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3" w:type="dxa"/>
            <w:tcBorders/>
            <w:shd w:fill="FFFFFF" w:val="clear"/>
            <w:vAlign w:val="bottom"/>
          </w:tcPr>
          <w:p>
            <w:pPr>
              <w:pStyle w:val="Normal"/>
              <w:spacing w:before="28" w:after="119"/>
              <w:jc w:val="center"/>
              <w:rPr/>
            </w:pPr>
            <w:r>
              <w:rPr>
                <w:rFonts w:eastAsia="Times New Roman" w:cs="Times New Roman"/>
                <w:color w:val="00000A"/>
                <w:sz w:val="20"/>
                <w:szCs w:val="20"/>
                <w:lang w:eastAsia="sk-SK"/>
              </w:rPr>
              <w:t xml:space="preserve"> </w:t>
            </w:r>
            <w:r>
              <w:rPr>
                <w:rFonts w:eastAsia="Times New Roman" w:cs="Times New Roman"/>
                <w:color w:val="00000A"/>
                <w:sz w:val="20"/>
                <w:szCs w:val="20"/>
                <w:lang w:eastAsia="sk-SK"/>
              </w:rPr>
              <w:t>480</w:t>
            </w:r>
          </w:p>
        </w:tc>
        <w:tc>
          <w:tcPr>
            <w:tcW w:w="1143" w:type="dxa"/>
            <w:tcBorders/>
            <w:shd w:fill="FFFFFF" w:val="clear"/>
            <w:vAlign w:val="bottom"/>
          </w:tcPr>
          <w:p>
            <w:pPr>
              <w:pStyle w:val="Normal"/>
              <w:spacing w:before="28" w:after="119"/>
              <w:jc w:val="center"/>
              <w:rPr/>
            </w:pPr>
            <w:r>
              <w:rPr>
                <w:rFonts w:eastAsia="Times New Roman" w:cs="Times New Roman"/>
                <w:color w:val="00000A"/>
                <w:sz w:val="20"/>
                <w:szCs w:val="20"/>
                <w:lang w:eastAsia="sk-SK"/>
              </w:rPr>
              <w:t xml:space="preserve">- </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Výsledok hospodárenia bežného účtovného obdobia</w:t>
            </w:r>
          </w:p>
        </w:tc>
        <w:tc>
          <w:tcPr>
            <w:tcW w:w="884" w:type="dxa"/>
            <w:tcBorders/>
            <w:shd w:fill="FFFFFF" w:val="clear"/>
            <w:vAlign w:val="bottom"/>
          </w:tcPr>
          <w:p>
            <w:pPr>
              <w:pStyle w:val="Normal"/>
              <w:spacing w:before="28" w:after="119"/>
              <w:jc w:val="both"/>
              <w:rPr/>
            </w:pPr>
            <w:r>
              <w:rPr>
                <w:rFonts w:eastAsia="Times New Roman" w:cs="Times New Roman"/>
                <w:color w:val="00000A"/>
                <w:sz w:val="20"/>
                <w:szCs w:val="20"/>
                <w:lang w:eastAsia="sk-SK"/>
              </w:rPr>
              <w:t xml:space="preserve">-  </w:t>
            </w:r>
            <w:r>
              <w:rPr>
                <w:rFonts w:eastAsia="Times New Roman" w:cs="Times New Roman"/>
                <w:color w:val="00000A"/>
                <w:sz w:val="20"/>
                <w:szCs w:val="20"/>
                <w:lang w:eastAsia="sk-SK"/>
              </w:rPr>
              <w:t>1534</w:t>
            </w:r>
          </w:p>
        </w:tc>
        <w:tc>
          <w:tcPr>
            <w:tcW w:w="1032" w:type="dxa"/>
            <w:tcBorders/>
            <w:shd w:fill="FFFFFF" w:val="clear"/>
            <w:vAlign w:val="bottom"/>
          </w:tcPr>
          <w:p>
            <w:pPr>
              <w:pStyle w:val="Normal"/>
              <w:spacing w:before="28" w:after="119"/>
              <w:jc w:val="both"/>
              <w:rPr/>
            </w:pPr>
            <w:r>
              <w:rPr>
                <w:rFonts w:eastAsia="Times New Roman" w:cs="Times New Roman"/>
                <w:color w:val="00000A"/>
                <w:sz w:val="20"/>
                <w:szCs w:val="20"/>
                <w:lang w:eastAsia="sk-SK"/>
              </w:rPr>
              <w:t>- -</w:t>
            </w:r>
            <w:r>
              <w:rPr>
                <w:rFonts w:eastAsia="Times New Roman" w:cs="Times New Roman"/>
                <w:color w:val="00000A"/>
                <w:sz w:val="20"/>
                <w:szCs w:val="20"/>
                <w:lang w:eastAsia="sk-SK"/>
              </w:rPr>
              <w:t>39</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3" w:type="dxa"/>
            <w:tcBorders/>
            <w:shd w:fill="FFFFFF" w:val="clear"/>
            <w:vAlign w:val="bottom"/>
          </w:tcPr>
          <w:p>
            <w:pPr>
              <w:pStyle w:val="Normal"/>
              <w:spacing w:before="28" w:after="119"/>
              <w:jc w:val="both"/>
              <w:rPr/>
            </w:pPr>
            <w:r>
              <w:rPr>
                <w:rFonts w:eastAsia="Times New Roman" w:cs="Times New Roman"/>
                <w:color w:val="00000A"/>
                <w:sz w:val="20"/>
                <w:szCs w:val="20"/>
                <w:lang w:eastAsia="sk-SK"/>
              </w:rPr>
              <w:t xml:space="preserve">- </w:t>
            </w:r>
            <w:r>
              <w:rPr>
                <w:rFonts w:eastAsia="Times New Roman" w:cs="Times New Roman"/>
                <w:color w:val="00000A"/>
                <w:sz w:val="20"/>
                <w:szCs w:val="20"/>
                <w:lang w:eastAsia="sk-SK"/>
              </w:rPr>
              <w:t>1534</w:t>
            </w:r>
          </w:p>
        </w:tc>
        <w:tc>
          <w:tcPr>
            <w:tcW w:w="1143" w:type="dxa"/>
            <w:tcBorders/>
            <w:shd w:fill="FFFFFF" w:val="clear"/>
            <w:vAlign w:val="bottom"/>
          </w:tcPr>
          <w:p>
            <w:pPr>
              <w:pStyle w:val="Normal"/>
              <w:spacing w:before="28" w:after="119"/>
              <w:jc w:val="both"/>
              <w:rPr/>
            </w:pPr>
            <w:r>
              <w:rPr>
                <w:rFonts w:eastAsia="Times New Roman" w:cs="Times New Roman"/>
                <w:color w:val="00000A"/>
                <w:sz w:val="20"/>
                <w:szCs w:val="20"/>
                <w:lang w:eastAsia="sk-SK"/>
              </w:rPr>
              <w:t xml:space="preserve">-    </w:t>
            </w:r>
            <w:r>
              <w:rPr>
                <w:rFonts w:eastAsia="Times New Roman" w:cs="Times New Roman"/>
                <w:color w:val="00000A"/>
                <w:sz w:val="20"/>
                <w:szCs w:val="20"/>
                <w:lang w:eastAsia="sk-SK"/>
              </w:rPr>
              <w:t>39</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Vyplatené dividendy</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3"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Ostatné položky vlastného imania</w:t>
            </w:r>
          </w:p>
        </w:tc>
        <w:tc>
          <w:tcPr>
            <w:tcW w:w="88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2"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93" w:type="dxa"/>
            <w:tcBorders>
              <w:bottom w:val="single" w:sz="8" w:space="0" w:color="00000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Účet 491 – Vlastné imanie fyzickej osoby – podnikateľa </w:t>
            </w:r>
          </w:p>
        </w:tc>
        <w:tc>
          <w:tcPr>
            <w:tcW w:w="884" w:type="dxa"/>
            <w:tcBorders>
              <w:bottom w:val="single" w:sz="8" w:space="0" w:color="00000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2" w:type="dxa"/>
            <w:tcBorders>
              <w:bottom w:val="single" w:sz="8" w:space="0" w:color="00000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6" w:type="dxa"/>
            <w:tcBorders>
              <w:bottom w:val="single" w:sz="8" w:space="0" w:color="00000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3" w:type="dxa"/>
            <w:tcBorders>
              <w:bottom w:val="single" w:sz="8" w:space="0" w:color="00000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3" w:type="dxa"/>
            <w:tcBorders>
              <w:bottom w:val="single" w:sz="8" w:space="0" w:color="00000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bl>
    <w:p>
      <w:pPr>
        <w:pStyle w:val="Normal"/>
        <w:keepNext w:val="true"/>
        <w:widowControl/>
        <w:suppressAutoHyphens w:val="true"/>
        <w:ind w:left="11" w:right="0" w:hanging="0"/>
        <w:jc w:val="both"/>
        <w:rPr/>
      </w:pPr>
      <w:r>
        <w:rPr/>
      </w:r>
    </w:p>
    <w:p>
      <w:pPr>
        <w:pStyle w:val="Normal"/>
        <w:rPr>
          <w:rFonts w:cs="Arial"/>
          <w:bCs/>
          <w:szCs w:val="26"/>
          <w:u w:val="single"/>
        </w:rPr>
      </w:pPr>
      <w:r>
        <w:rPr>
          <w:rFonts w:cs="Arial"/>
          <w:bCs/>
          <w:szCs w:val="26"/>
          <w:u w:val="single"/>
        </w:rPr>
      </w:r>
    </w:p>
    <w:p>
      <w:pPr>
        <w:pStyle w:val="Normal"/>
        <w:rPr/>
      </w:pPr>
      <w:r>
        <w:rPr>
          <w:rFonts w:cs="Arial"/>
          <w:bCs/>
          <w:sz w:val="20"/>
          <w:szCs w:val="20"/>
          <w:u w:val="none"/>
        </w:rPr>
        <w:t xml:space="preserve">V Nižnej, dňa </w:t>
      </w:r>
      <w:r>
        <w:rPr>
          <w:rFonts w:cs="Arial"/>
          <w:bCs/>
          <w:sz w:val="20"/>
          <w:szCs w:val="20"/>
          <w:u w:val="none"/>
        </w:rPr>
        <w:t>05</w:t>
      </w:r>
      <w:r>
        <w:rPr>
          <w:rFonts w:cs="Arial"/>
          <w:bCs/>
          <w:sz w:val="20"/>
          <w:szCs w:val="20"/>
          <w:u w:val="none"/>
        </w:rPr>
        <w:t>.03.20</w:t>
      </w:r>
      <w:r>
        <w:rPr>
          <w:rFonts w:cs="Arial"/>
          <w:bCs/>
          <w:sz w:val="20"/>
          <w:szCs w:val="20"/>
          <w:u w:val="none"/>
        </w:rPr>
        <w:t>20</w:t>
      </w:r>
    </w:p>
    <w:p>
      <w:pPr>
        <w:pStyle w:val="Normal"/>
        <w:rPr/>
      </w:pPr>
      <w:r>
        <w:rPr>
          <w:rFonts w:cs="Arial"/>
          <w:bCs/>
          <w:sz w:val="20"/>
          <w:szCs w:val="20"/>
          <w:u w:val="none"/>
        </w:rPr>
        <w:t>Valéria Holubová</w:t>
      </w:r>
      <w:r>
        <w:br w:type="page"/>
      </w:r>
    </w:p>
    <w:p>
      <w:pPr>
        <w:pStyle w:val="Nadpis3"/>
        <w:keepNext w:val="true"/>
        <w:widowControl/>
        <w:suppressAutoHyphens w:val="true"/>
        <w:ind w:left="0" w:right="0" w:hanging="0"/>
        <w:jc w:val="both"/>
        <w:rPr>
          <w:color w:val="000000"/>
          <w:lang w:eastAsia="sk-SK"/>
        </w:rPr>
      </w:pPr>
      <w:r>
        <w:rPr>
          <w:color w:val="000000"/>
          <w:lang w:eastAsia="sk-SK"/>
        </w:rPr>
      </w:r>
    </w:p>
    <w:p>
      <w:pPr>
        <w:pStyle w:val="Nadpis2"/>
        <w:rPr/>
      </w:pPr>
      <w:r>
        <w:rPr/>
      </w:r>
    </w:p>
    <w:p>
      <w:pPr>
        <w:pStyle w:val="Normal"/>
        <w:rPr>
          <w:lang w:eastAsia="sk-SK"/>
        </w:rPr>
      </w:pPr>
      <w:r>
        <w:rPr>
          <w:lang w:eastAsia="sk-SK"/>
        </w:rPr>
      </w:r>
    </w:p>
    <w:p>
      <w:pPr>
        <w:pStyle w:val="Nadpis3"/>
        <w:keepNext w:val="true"/>
        <w:widowControl/>
        <w:suppressAutoHyphens w:val="true"/>
        <w:ind w:left="-107" w:right="0" w:hanging="0"/>
        <w:jc w:val="both"/>
        <w:rPr>
          <w:i/>
          <w:i/>
          <w:color w:val="FF0000"/>
        </w:rPr>
      </w:pPr>
      <w:r>
        <w:rPr>
          <w:i/>
          <w:color w:val="FF0000"/>
        </w:rPr>
      </w:r>
    </w:p>
    <w:p>
      <w:pPr>
        <w:pStyle w:val="Normal"/>
        <w:rPr>
          <w:i/>
          <w:i/>
          <w:color w:val="FF0000"/>
        </w:rPr>
      </w:pPr>
      <w:r>
        <w:rPr>
          <w:i/>
          <w:color w:val="FF0000"/>
        </w:rPr>
      </w:r>
    </w:p>
    <w:p>
      <w:pPr>
        <w:pStyle w:val="Normal"/>
        <w:jc w:val="left"/>
        <w:rPr>
          <w:rFonts w:cs="Arial"/>
          <w:b/>
          <w:b/>
          <w:bCs/>
          <w:iCs/>
          <w:szCs w:val="28"/>
          <w:lang w:eastAsia="sk-SK"/>
        </w:rPr>
      </w:pPr>
      <w:r>
        <w:rPr>
          <w:rFonts w:cs="Arial"/>
          <w:b/>
          <w:bCs/>
          <w:iCs/>
          <w:szCs w:val="28"/>
          <w:lang w:eastAsia="sk-SK"/>
        </w:rPr>
      </w:r>
      <w:bookmarkStart w:id="4" w:name="T_accrued_expense_deferred_income"/>
      <w:bookmarkStart w:id="5" w:name="T_accrued_expense_deferred_income"/>
      <w:bookmarkEnd w:id="5"/>
      <w:r>
        <w:br w:type="page"/>
      </w:r>
    </w:p>
    <w:p>
      <w:pPr>
        <w:pStyle w:val="Nadpis2"/>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sectPr>
      <w:headerReference w:type="default" r:id="rId2"/>
      <w:footerReference w:type="default" r:id="rId3"/>
      <w:type w:val="nextPage"/>
      <w:pgSz w:w="11906" w:h="16838"/>
      <w:pgMar w:left="1418" w:right="1418" w:header="567" w:top="1418" w:footer="680" w:bottom="992" w:gutter="0"/>
      <w:pgNumType w:fmt="decimal"/>
      <w:formProt w:val="false"/>
      <w:textDirection w:val="lrTb"/>
      <w:docGrid w:type="default" w:linePitch="656" w:charSpace="9932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Verdana">
    <w:charset w:val="ee"/>
    <w:family w:val="roman"/>
    <w:pitch w:val="variable"/>
  </w:font>
  <w:font w:name="Arial">
    <w:charset w:val="ee"/>
    <w:family w:val="roman"/>
    <w:pitch w:val="variable"/>
  </w:font>
  <w:font w:name="Tahoma">
    <w:charset w:val="ee"/>
    <w:family w:val="roman"/>
    <w:pitch w:val="variable"/>
  </w:font>
  <w:font w:name="Times New Roman Bold">
    <w:charset w:val="ee"/>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w:r>
  </w:p>
  <w:p>
    <w:pPr>
      <w:pStyle w:val="Hlavika"/>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upperRoman"/>
      <w:lvlText w:val="%1."/>
      <w:lvlJc w:val="left"/>
      <w:pPr>
        <w:tabs>
          <w:tab w:val="num" w:pos="539"/>
        </w:tabs>
        <w:ind w:left="539" w:hanging="539"/>
      </w:pPr>
    </w:lvl>
    <w:lvl w:ilvl="1">
      <w:start w:val="1"/>
      <w:numFmt w:val="decimal"/>
      <w:lvlText w:val="%2."/>
      <w:lvlJc w:val="left"/>
      <w:pPr>
        <w:tabs>
          <w:tab w:val="num" w:pos="539"/>
        </w:tabs>
        <w:ind w:left="539" w:hanging="539"/>
      </w:pPr>
    </w:lvl>
    <w:lvl w:ilvl="2">
      <w:start w:val="1"/>
      <w:numFmt w:val="decimal"/>
      <w:lvlText w:val="%2.%3."/>
      <w:lvlJc w:val="left"/>
      <w:pPr>
        <w:tabs>
          <w:tab w:val="num" w:pos="539"/>
        </w:tabs>
        <w:ind w:left="539" w:hanging="539"/>
      </w:pPr>
    </w:lvl>
    <w:lvl w:ilvl="3">
      <w:start w:val="1"/>
      <w:numFmt w:val="decimal"/>
      <w:lvlText w:val="%2.%3.%4"/>
      <w:lvlJc w:val="left"/>
      <w:pPr>
        <w:tabs>
          <w:tab w:val="num" w:pos="539"/>
        </w:tabs>
        <w:ind w:left="539" w:hanging="539"/>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
    <w:lvl w:ilvl="0">
      <w:start w:val="1"/>
      <w:numFmt w:val="bullet"/>
      <w:lvlText w:val=""/>
      <w:lvlJc w:val="left"/>
      <w:pPr>
        <w:tabs>
          <w:tab w:val="num" w:pos="720"/>
        </w:tabs>
        <w:ind w:left="720" w:hanging="360"/>
      </w:pPr>
      <w:rPr>
        <w:rFonts w:ascii="Symbol" w:hAnsi="Symbol" w:cs="Symbol" w:hint="default"/>
        <w:sz w:val="15"/>
        <w:b w:val="false"/>
        <w:rFonts w:cs="Symbol"/>
        <w:color w:val="00000A"/>
      </w:rPr>
    </w:lvl>
    <w:lvl w:ilvl="1">
      <w:start w:val="1"/>
      <w:numFmt w:val="bullet"/>
      <w:lvlText w:val="o"/>
      <w:lvlJc w:val="left"/>
      <w:pPr>
        <w:tabs>
          <w:tab w:val="num" w:pos="1440"/>
        </w:tabs>
        <w:ind w:left="1440" w:hanging="360"/>
      </w:pPr>
      <w:rPr>
        <w:rFonts w:ascii="Courier New" w:hAnsi="Courier New" w:cs="Courier New" w:hint="default"/>
        <w:rFonts w:cs="Courier New"/>
      </w:rPr>
    </w:lvl>
    <w:lvl w:ilvl="2">
      <w:start w:val="1"/>
      <w:numFmt w:val="bullet"/>
      <w:lvlText w:val=""/>
      <w:lvlJc w:val="left"/>
      <w:pPr>
        <w:tabs>
          <w:tab w:val="num" w:pos="2160"/>
        </w:tabs>
        <w:ind w:left="2160" w:hanging="360"/>
      </w:pPr>
      <w:rPr>
        <w:rFonts w:ascii="Wingdings" w:hAnsi="Wingdings" w:cs="Wingdings" w:hint="default"/>
        <w:rFonts w:cs="Wingdings"/>
      </w:rPr>
    </w:lvl>
    <w:lvl w:ilvl="3">
      <w:start w:val="1"/>
      <w:numFmt w:val="bullet"/>
      <w:lvlText w:val=""/>
      <w:lvlJc w:val="left"/>
      <w:pPr>
        <w:tabs>
          <w:tab w:val="num" w:pos="2880"/>
        </w:tabs>
        <w:ind w:left="2880" w:hanging="360"/>
      </w:pPr>
      <w:rPr>
        <w:rFonts w:ascii="Symbol" w:hAnsi="Symbol" w:cs="Symbol" w:hint="default"/>
        <w:rFonts w:cs="Symbol"/>
      </w:rPr>
    </w:lvl>
    <w:lvl w:ilvl="4">
      <w:start w:val="1"/>
      <w:numFmt w:val="bullet"/>
      <w:lvlText w:val="o"/>
      <w:lvlJc w:val="left"/>
      <w:pPr>
        <w:tabs>
          <w:tab w:val="num" w:pos="3600"/>
        </w:tabs>
        <w:ind w:left="3600" w:hanging="360"/>
      </w:pPr>
      <w:rPr>
        <w:rFonts w:ascii="Courier New" w:hAnsi="Courier New" w:cs="Courier New" w:hint="default"/>
        <w:rFonts w:cs="Courier New"/>
      </w:rPr>
    </w:lvl>
    <w:lvl w:ilvl="5">
      <w:start w:val="1"/>
      <w:numFmt w:val="bullet"/>
      <w:lvlText w:val=""/>
      <w:lvlJc w:val="left"/>
      <w:pPr>
        <w:tabs>
          <w:tab w:val="num" w:pos="4320"/>
        </w:tabs>
        <w:ind w:left="4320" w:hanging="360"/>
      </w:pPr>
      <w:rPr>
        <w:rFonts w:ascii="Wingdings" w:hAnsi="Wingdings" w:cs="Wingdings" w:hint="default"/>
        <w:rFonts w:cs="Wingdings"/>
      </w:rPr>
    </w:lvl>
    <w:lvl w:ilvl="6">
      <w:start w:val="1"/>
      <w:numFmt w:val="bullet"/>
      <w:lvlText w:val=""/>
      <w:lvlJc w:val="left"/>
      <w:pPr>
        <w:tabs>
          <w:tab w:val="num" w:pos="5040"/>
        </w:tabs>
        <w:ind w:left="5040" w:hanging="360"/>
      </w:pPr>
      <w:rPr>
        <w:rFonts w:ascii="Symbol" w:hAnsi="Symbol" w:cs="Symbol" w:hint="default"/>
        <w:rFonts w:cs="Symbol"/>
      </w:rPr>
    </w:lvl>
    <w:lvl w:ilvl="7">
      <w:start w:val="1"/>
      <w:numFmt w:val="bullet"/>
      <w:lvlText w:val="o"/>
      <w:lvlJc w:val="left"/>
      <w:pPr>
        <w:tabs>
          <w:tab w:val="num" w:pos="5760"/>
        </w:tabs>
        <w:ind w:left="5760" w:hanging="360"/>
      </w:pPr>
      <w:rPr>
        <w:rFonts w:ascii="Courier New" w:hAnsi="Courier New" w:cs="Courier New" w:hint="default"/>
        <w:rFonts w:cs="Courier New"/>
      </w:rPr>
    </w:lvl>
    <w:lvl w:ilvl="8">
      <w:start w:val="1"/>
      <w:numFmt w:val="bullet"/>
      <w:lvlText w:val=""/>
      <w:lvlJc w:val="left"/>
      <w:pPr>
        <w:tabs>
          <w:tab w:val="num" w:pos="6480"/>
        </w:tabs>
        <w:ind w:left="6480" w:hanging="360"/>
      </w:pPr>
      <w:rPr>
        <w:rFonts w:ascii="Wingdings" w:hAnsi="Wingdings" w:cs="Wingdings" w:hint="default"/>
        <w:rFonts w:cs="Wingdings"/>
      </w:r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95"/>
  <w:defaultTabStop w:val="720"/>
  <w:autoHyphenation w:val="false"/>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NSimSun" w:cs="Mangal"/>
        <w:kern w:val="2"/>
        <w:sz w:val="22"/>
        <w:szCs w:val="24"/>
        <w:lang w:val="sk-SK" w:eastAsia="zh-CN" w:bidi="hi-IN"/>
      </w:rPr>
    </w:rPrDefault>
    <w:pPrDefault>
      <w:pPr/>
    </w:pPrDefault>
  </w:docDefaults>
  <w:style w:type="paragraph" w:styleId="Normal">
    <w:name w:val="Normal"/>
    <w:qFormat/>
    <w:pPr>
      <w:widowControl/>
      <w:suppressAutoHyphens w:val="true"/>
      <w:jc w:val="both"/>
    </w:pPr>
    <w:rPr>
      <w:rFonts w:ascii="Verdana" w:hAnsi="Verdana" w:eastAsia="Times New Roman" w:cs="Times New Roman"/>
      <w:color w:val="00000A"/>
      <w:kern w:val="2"/>
      <w:sz w:val="17"/>
      <w:szCs w:val="20"/>
      <w:lang w:val="sk-SK" w:eastAsia="en-US" w:bidi="ar-SA"/>
    </w:rPr>
  </w:style>
  <w:style w:type="paragraph" w:styleId="Nadpis1">
    <w:name w:val="Heading 1"/>
    <w:basedOn w:val="Normal"/>
    <w:qFormat/>
    <w:pPr>
      <w:keepNext w:val="true"/>
    </w:pPr>
    <w:rPr>
      <w:rFonts w:cs="Arial"/>
      <w:b/>
      <w:bCs/>
      <w:caps/>
      <w:sz w:val="18"/>
      <w:szCs w:val="32"/>
      <w:u w:val="single"/>
    </w:rPr>
  </w:style>
  <w:style w:type="paragraph" w:styleId="Nadpis2">
    <w:name w:val="Heading 2"/>
    <w:basedOn w:val="Normal"/>
    <w:qFormat/>
    <w:pPr>
      <w:keepNext w:val="true"/>
    </w:pPr>
    <w:rPr>
      <w:rFonts w:cs="Arial"/>
      <w:b/>
      <w:bCs/>
      <w:iCs/>
      <w:szCs w:val="28"/>
    </w:rPr>
  </w:style>
  <w:style w:type="paragraph" w:styleId="Nadpis3">
    <w:name w:val="Heading 3"/>
    <w:basedOn w:val="Normal"/>
    <w:qFormat/>
    <w:pPr>
      <w:keepNext w:val="true"/>
    </w:pPr>
    <w:rPr>
      <w:rFonts w:cs="Arial"/>
      <w:bCs/>
      <w:szCs w:val="26"/>
      <w:u w:val="single"/>
    </w:rPr>
  </w:style>
  <w:style w:type="paragraph" w:styleId="Nadpis4">
    <w:name w:val="Heading 4"/>
    <w:basedOn w:val="Normal"/>
    <w:qFormat/>
    <w:pPr>
      <w:keepNext w:val="true"/>
    </w:pPr>
    <w:rPr>
      <w:bCs/>
      <w:i/>
      <w:szCs w:val="28"/>
    </w:rPr>
  </w:style>
  <w:style w:type="paragraph" w:styleId="Nadpis5">
    <w:name w:val="Heading 5"/>
    <w:basedOn w:val="Normal"/>
    <w:qFormat/>
    <w:pPr>
      <w:spacing w:before="240" w:after="60"/>
    </w:pPr>
    <w:rPr>
      <w:b/>
      <w:bCs/>
      <w:i/>
      <w:iCs/>
      <w:szCs w:val="26"/>
    </w:rPr>
  </w:style>
  <w:style w:type="paragraph" w:styleId="Nadpis6">
    <w:name w:val="Heading 6"/>
    <w:basedOn w:val="Normal"/>
    <w:qFormat/>
    <w:pPr>
      <w:spacing w:before="240" w:after="60"/>
    </w:pPr>
    <w:rPr>
      <w:b/>
      <w:bCs/>
      <w:szCs w:val="22"/>
    </w:rPr>
  </w:style>
  <w:style w:type="paragraph" w:styleId="Nadpis7">
    <w:name w:val="Heading 7"/>
    <w:basedOn w:val="Normal"/>
    <w:qFormat/>
    <w:pPr>
      <w:spacing w:before="240" w:after="60"/>
    </w:pPr>
    <w:rPr>
      <w:szCs w:val="24"/>
    </w:rPr>
  </w:style>
  <w:style w:type="paragraph" w:styleId="Nadpis8">
    <w:name w:val="Heading 8"/>
    <w:basedOn w:val="Normal"/>
    <w:qFormat/>
    <w:pPr>
      <w:spacing w:before="240" w:after="60"/>
    </w:pPr>
    <w:rPr>
      <w:i/>
      <w:iCs/>
      <w:szCs w:val="24"/>
    </w:rPr>
  </w:style>
  <w:style w:type="paragraph" w:styleId="Nadpis9">
    <w:name w:val="Heading 9"/>
    <w:basedOn w:val="Normal"/>
    <w:qFormat/>
    <w:pPr>
      <w:spacing w:before="240" w:after="60"/>
    </w:pPr>
    <w:rPr>
      <w:rFonts w:cs="Arial"/>
      <w:szCs w:val="22"/>
    </w:rPr>
  </w:style>
  <w:style w:type="character" w:styleId="DefaultParagraphFont">
    <w:name w:val="Default Paragraph Font"/>
    <w:qFormat/>
    <w:rPr/>
  </w:style>
  <w:style w:type="character" w:styleId="Pagenumber">
    <w:name w:val="page number"/>
    <w:basedOn w:val="DefaultParagraphFont"/>
    <w:qFormat/>
    <w:rPr/>
  </w:style>
  <w:style w:type="character" w:styleId="Annotationreference">
    <w:name w:val="annotation reference"/>
    <w:qFormat/>
    <w:rPr>
      <w:sz w:val="16"/>
      <w:szCs w:val="16"/>
    </w:rPr>
  </w:style>
  <w:style w:type="character" w:styleId="HeaderChar">
    <w:name w:val="Header Char"/>
    <w:basedOn w:val="DefaultParagraphFont"/>
    <w:qFormat/>
    <w:rPr>
      <w:rFonts w:ascii="Verdana" w:hAnsi="Verdana"/>
      <w:b/>
      <w:sz w:val="17"/>
      <w:lang w:eastAsia="en-US"/>
    </w:rPr>
  </w:style>
  <w:style w:type="character" w:styleId="Heading2Char">
    <w:name w:val="Heading 2 Char"/>
    <w:basedOn w:val="DefaultParagraphFont"/>
    <w:qFormat/>
    <w:rPr>
      <w:rFonts w:ascii="Verdana" w:hAnsi="Verdana" w:cs="Arial"/>
      <w:b/>
      <w:bCs/>
      <w:iCs/>
      <w:sz w:val="17"/>
      <w:szCs w:val="28"/>
      <w:lang w:eastAsia="en-US"/>
    </w:rPr>
  </w:style>
  <w:style w:type="character" w:styleId="FooterChar">
    <w:name w:val="Footer Char"/>
    <w:basedOn w:val="DefaultParagraphFont"/>
    <w:qFormat/>
    <w:rPr>
      <w:rFonts w:ascii="Verdana" w:hAnsi="Verdana"/>
      <w:sz w:val="17"/>
      <w:lang w:eastAsia="en-US"/>
    </w:rPr>
  </w:style>
  <w:style w:type="character" w:styleId="ListLabel1">
    <w:name w:val="ListLabel 1"/>
    <w:qFormat/>
    <w:rPr>
      <w:rFonts w:cs="Courier New"/>
    </w:rPr>
  </w:style>
  <w:style w:type="character" w:styleId="ListLabel2">
    <w:name w:val="ListLabel 2"/>
    <w:qFormat/>
    <w:rPr>
      <w:color w:val="00000A"/>
    </w:rPr>
  </w:style>
  <w:style w:type="character" w:styleId="ListLabel3">
    <w:name w:val="ListLabel 3"/>
    <w:qFormat/>
    <w:rPr>
      <w:rFonts w:eastAsia="Times New Roman" w:cs="Times New Roman"/>
    </w:rPr>
  </w:style>
  <w:style w:type="character" w:styleId="ListLabel4">
    <w:name w:val="ListLabel 4"/>
    <w:qFormat/>
    <w:rPr>
      <w:rFonts w:cs="Symbol"/>
      <w:color w:val="00000A"/>
    </w:rPr>
  </w:style>
  <w:style w:type="character" w:styleId="ListLabel5">
    <w:name w:val="ListLabel 5"/>
    <w:qFormat/>
    <w:rPr>
      <w:rFonts w:cs="Courier New"/>
    </w:rPr>
  </w:style>
  <w:style w:type="character" w:styleId="ListLabel6">
    <w:name w:val="ListLabel 6"/>
    <w:qFormat/>
    <w:rPr>
      <w:rFonts w:cs="Wingdings"/>
    </w:rPr>
  </w:style>
  <w:style w:type="character" w:styleId="ListLabel7">
    <w:name w:val="ListLabel 7"/>
    <w:qFormat/>
    <w:rPr>
      <w:rFonts w:cs="Symbol"/>
    </w:rPr>
  </w:style>
  <w:style w:type="character" w:styleId="ListLabel8">
    <w:name w:val="ListLabel 8"/>
    <w:qFormat/>
    <w:rPr>
      <w:rFonts w:cs="Symbol"/>
      <w:color w:val="00000A"/>
    </w:rPr>
  </w:style>
  <w:style w:type="character" w:styleId="ListLabel9">
    <w:name w:val="ListLabel 9"/>
    <w:qFormat/>
    <w:rPr>
      <w:rFonts w:cs="Courier New"/>
    </w:rPr>
  </w:style>
  <w:style w:type="character" w:styleId="ListLabel10">
    <w:name w:val="ListLabel 10"/>
    <w:qFormat/>
    <w:rPr>
      <w:rFonts w:cs="Wingdings"/>
    </w:rPr>
  </w:style>
  <w:style w:type="character" w:styleId="ListLabel11">
    <w:name w:val="ListLabel 11"/>
    <w:qFormat/>
    <w:rPr>
      <w:rFonts w:cs="Symbol"/>
    </w:rPr>
  </w:style>
  <w:style w:type="character" w:styleId="ListLabel12">
    <w:name w:val="ListLabel 12"/>
    <w:qFormat/>
    <w:rPr>
      <w:rFonts w:cs="Symbol"/>
      <w:color w:val="00000A"/>
    </w:rPr>
  </w:style>
  <w:style w:type="character" w:styleId="ListLabel13">
    <w:name w:val="ListLabel 13"/>
    <w:qFormat/>
    <w:rPr>
      <w:rFonts w:cs="Courier New"/>
    </w:rPr>
  </w:style>
  <w:style w:type="character" w:styleId="ListLabel14">
    <w:name w:val="ListLabel 14"/>
    <w:qFormat/>
    <w:rPr>
      <w:rFonts w:cs="Wingdings"/>
    </w:rPr>
  </w:style>
  <w:style w:type="character" w:styleId="ListLabel15">
    <w:name w:val="ListLabel 15"/>
    <w:qFormat/>
    <w:rPr>
      <w:rFonts w:cs="Symbol"/>
    </w:rPr>
  </w:style>
  <w:style w:type="character" w:styleId="ListLabel16">
    <w:name w:val="ListLabel 16"/>
    <w:qFormat/>
    <w:rPr>
      <w:rFonts w:cs="Symbol"/>
      <w:color w:val="00000A"/>
    </w:rPr>
  </w:style>
  <w:style w:type="character" w:styleId="ListLabel17">
    <w:name w:val="ListLabel 17"/>
    <w:qFormat/>
    <w:rPr>
      <w:rFonts w:cs="Courier New"/>
    </w:rPr>
  </w:style>
  <w:style w:type="character" w:styleId="ListLabel18">
    <w:name w:val="ListLabel 18"/>
    <w:qFormat/>
    <w:rPr>
      <w:rFonts w:cs="Wingdings"/>
    </w:rPr>
  </w:style>
  <w:style w:type="character" w:styleId="ListLabel19">
    <w:name w:val="ListLabel 19"/>
    <w:qFormat/>
    <w:rPr>
      <w:rFonts w:cs="Symbol"/>
    </w:rPr>
  </w:style>
  <w:style w:type="character" w:styleId="ListLabel20">
    <w:name w:val="ListLabel 20"/>
    <w:qFormat/>
    <w:rPr>
      <w:rFonts w:cs="Symbol"/>
      <w:color w:val="00000A"/>
    </w:rPr>
  </w:style>
  <w:style w:type="character" w:styleId="ListLabel21">
    <w:name w:val="ListLabel 21"/>
    <w:qFormat/>
    <w:rPr>
      <w:rFonts w:cs="Courier New"/>
    </w:rPr>
  </w:style>
  <w:style w:type="character" w:styleId="ListLabel22">
    <w:name w:val="ListLabel 22"/>
    <w:qFormat/>
    <w:rPr>
      <w:rFonts w:cs="Wingdings"/>
    </w:rPr>
  </w:style>
  <w:style w:type="character" w:styleId="ListLabel23">
    <w:name w:val="ListLabel 23"/>
    <w:qFormat/>
    <w:rPr>
      <w:rFonts w:cs="Symbol"/>
    </w:rPr>
  </w:style>
  <w:style w:type="character" w:styleId="ListLabel24">
    <w:name w:val="ListLabel 24"/>
    <w:qFormat/>
    <w:rPr>
      <w:rFonts w:cs="Symbol"/>
      <w:color w:val="00000A"/>
    </w:rPr>
  </w:style>
  <w:style w:type="character" w:styleId="ListLabel25">
    <w:name w:val="ListLabel 25"/>
    <w:qFormat/>
    <w:rPr>
      <w:rFonts w:cs="Courier New"/>
    </w:rPr>
  </w:style>
  <w:style w:type="character" w:styleId="ListLabel26">
    <w:name w:val="ListLabel 26"/>
    <w:qFormat/>
    <w:rPr>
      <w:rFonts w:cs="Wingdings"/>
    </w:rPr>
  </w:style>
  <w:style w:type="character" w:styleId="ListLabel27">
    <w:name w:val="ListLabel 27"/>
    <w:qFormat/>
    <w:rPr>
      <w:rFonts w:cs="Symbol"/>
    </w:rPr>
  </w:style>
  <w:style w:type="character" w:styleId="ListLabel28">
    <w:name w:val="ListLabel 28"/>
    <w:qFormat/>
    <w:rPr>
      <w:rFonts w:cs="Symbol"/>
      <w:b w:val="false"/>
      <w:color w:val="00000A"/>
      <w:sz w:val="15"/>
    </w:rPr>
  </w:style>
  <w:style w:type="character" w:styleId="ListLabel29">
    <w:name w:val="ListLabel 29"/>
    <w:qFormat/>
    <w:rPr>
      <w:rFonts w:cs="Courier New"/>
    </w:rPr>
  </w:style>
  <w:style w:type="character" w:styleId="ListLabel30">
    <w:name w:val="ListLabel 30"/>
    <w:qFormat/>
    <w:rPr>
      <w:rFonts w:cs="Wingdings"/>
    </w:rPr>
  </w:style>
  <w:style w:type="character" w:styleId="ListLabel31">
    <w:name w:val="ListLabel 31"/>
    <w:qFormat/>
    <w:rPr>
      <w:rFonts w:cs="Symbol"/>
    </w:rPr>
  </w:style>
  <w:style w:type="character" w:styleId="ListLabel32">
    <w:name w:val="ListLabel 32"/>
    <w:qFormat/>
    <w:rPr>
      <w:rFonts w:cs="Courier New"/>
    </w:rPr>
  </w:style>
  <w:style w:type="character" w:styleId="ListLabel33">
    <w:name w:val="ListLabel 33"/>
    <w:qFormat/>
    <w:rPr>
      <w:rFonts w:cs="Wingdings"/>
    </w:rPr>
  </w:style>
  <w:style w:type="character" w:styleId="ListLabel34">
    <w:name w:val="ListLabel 34"/>
    <w:qFormat/>
    <w:rPr>
      <w:rFonts w:cs="Symbol"/>
    </w:rPr>
  </w:style>
  <w:style w:type="character" w:styleId="ListLabel35">
    <w:name w:val="ListLabel 35"/>
    <w:qFormat/>
    <w:rPr>
      <w:rFonts w:cs="Courier New"/>
    </w:rPr>
  </w:style>
  <w:style w:type="character" w:styleId="ListLabel36">
    <w:name w:val="ListLabel 36"/>
    <w:qFormat/>
    <w:rPr>
      <w:rFonts w:cs="Wingdings"/>
    </w:rPr>
  </w:style>
  <w:style w:type="paragraph" w:styleId="Nadpis">
    <w:name w:val="Nadpis"/>
    <w:basedOn w:val="Normal"/>
    <w:next w:val="Telotextu"/>
    <w:qFormat/>
    <w:pPr>
      <w:keepNext w:val="true"/>
      <w:spacing w:before="240" w:after="120"/>
    </w:pPr>
    <w:rPr>
      <w:rFonts w:ascii="Arial" w:hAnsi="Arial" w:eastAsia="Microsoft YaHei" w:cs="Mangal"/>
      <w:sz w:val="28"/>
      <w:szCs w:val="28"/>
    </w:rPr>
  </w:style>
  <w:style w:type="paragraph" w:styleId="Telotextu">
    <w:name w:val="Body Text"/>
    <w:basedOn w:val="Normal"/>
    <w:pPr>
      <w:spacing w:before="0" w:after="120"/>
    </w:pPr>
    <w:rPr>
      <w:sz w:val="24"/>
      <w:lang w:val="cs-CZ" w:eastAsia="sk-SK"/>
    </w:rPr>
  </w:style>
  <w:style w:type="paragraph" w:styleId="Zoznam">
    <w:name w:val="List"/>
    <w:basedOn w:val="Telotextu"/>
    <w:pPr/>
    <w:rPr>
      <w:rFonts w:cs="Mangal"/>
    </w:rPr>
  </w:style>
  <w:style w:type="paragraph" w:styleId="Popis">
    <w:name w:val="Caption"/>
    <w:basedOn w:val="Normal"/>
    <w:qFormat/>
    <w:pPr>
      <w:suppressLineNumbers/>
      <w:spacing w:before="120" w:after="120"/>
    </w:pPr>
    <w:rPr>
      <w:rFonts w:cs="Mangal"/>
      <w:i/>
      <w:iCs/>
      <w:sz w:val="24"/>
      <w:szCs w:val="24"/>
    </w:rPr>
  </w:style>
  <w:style w:type="paragraph" w:styleId="Index">
    <w:name w:val="Index"/>
    <w:basedOn w:val="Normal"/>
    <w:qFormat/>
    <w:pPr>
      <w:suppressLineNumbers/>
    </w:pPr>
    <w:rPr>
      <w:rFonts w:cs="Mangal"/>
    </w:rPr>
  </w:style>
  <w:style w:type="paragraph" w:styleId="Hlavika">
    <w:name w:val="Header"/>
    <w:basedOn w:val="Normal"/>
    <w:pPr>
      <w:tabs>
        <w:tab w:val="clear" w:pos="720"/>
        <w:tab w:val="center" w:pos="4536" w:leader="none"/>
        <w:tab w:val="right" w:pos="9072" w:leader="none"/>
      </w:tabs>
    </w:pPr>
    <w:rPr>
      <w:b/>
    </w:rPr>
  </w:style>
  <w:style w:type="paragraph" w:styleId="Pta">
    <w:name w:val="Footer"/>
    <w:basedOn w:val="Normal"/>
    <w:pPr>
      <w:tabs>
        <w:tab w:val="clear" w:pos="720"/>
        <w:tab w:val="center" w:pos="4703" w:leader="none"/>
        <w:tab w:val="right" w:pos="9406" w:leader="none"/>
      </w:tabs>
    </w:pPr>
    <w:rPr/>
  </w:style>
  <w:style w:type="paragraph" w:styleId="BalloonText">
    <w:name w:val="Balloon Text"/>
    <w:basedOn w:val="Normal"/>
    <w:qFormat/>
    <w:pPr/>
    <w:rPr>
      <w:rFonts w:ascii="Tahoma" w:hAnsi="Tahoma" w:cs="Tahoma"/>
      <w:sz w:val="16"/>
      <w:szCs w:val="16"/>
    </w:rPr>
  </w:style>
  <w:style w:type="paragraph" w:styleId="Annotationtext">
    <w:name w:val="annotation text"/>
    <w:basedOn w:val="Normal"/>
    <w:qFormat/>
    <w:pPr/>
    <w:rPr>
      <w:sz w:val="20"/>
    </w:rPr>
  </w:style>
  <w:style w:type="paragraph" w:styleId="Annotationsubject">
    <w:name w:val="annotation subject"/>
    <w:basedOn w:val="Annotationtext"/>
    <w:qFormat/>
    <w:pPr/>
    <w:rPr>
      <w:b/>
      <w:bCs/>
    </w:rPr>
  </w:style>
  <w:style w:type="paragraph" w:styleId="Tableheader">
    <w:name w:val="table header"/>
    <w:basedOn w:val="Normal"/>
    <w:qFormat/>
    <w:pPr>
      <w:jc w:val="center"/>
    </w:pPr>
    <w:rPr>
      <w:rFonts w:ascii="Times New Roman Bold" w:hAnsi="Times New Roman Bold"/>
      <w:b/>
      <w:i/>
      <w:sz w:val="20"/>
      <w:lang w:eastAsia="sk-SK"/>
    </w:rPr>
  </w:style>
  <w:style w:type="paragraph" w:styleId="Revision">
    <w:name w:val="Revision"/>
    <w:qFormat/>
    <w:pPr>
      <w:widowControl/>
      <w:suppressAutoHyphens w:val="true"/>
    </w:pPr>
    <w:rPr>
      <w:rFonts w:ascii="Verdana" w:hAnsi="Verdana" w:eastAsia="Times New Roman" w:cs="Times New Roman"/>
      <w:color w:val="00000A"/>
      <w:kern w:val="2"/>
      <w:sz w:val="17"/>
      <w:szCs w:val="20"/>
      <w:lang w:val="sk-SK" w:eastAsia="en-US" w:bidi="ar-SA"/>
    </w:rPr>
  </w:style>
  <w:style w:type="paragraph" w:styleId="ListParagraph">
    <w:name w:val="List Paragraph"/>
    <w:basedOn w:val="Normal"/>
    <w:qFormat/>
    <w:pPr>
      <w:ind w:left="708" w:right="0" w:hanging="0"/>
    </w:pPr>
    <w:rPr/>
  </w:style>
  <w:style w:type="paragraph" w:styleId="Citcie">
    <w:name w:val="Citácie"/>
    <w:basedOn w:val="Normal"/>
    <w:qFormat/>
    <w:pPr/>
    <w:rPr/>
  </w:style>
  <w:style w:type="paragraph" w:styleId="Nzov">
    <w:name w:val="Title"/>
    <w:basedOn w:val="Nadpis"/>
    <w:qFormat/>
    <w:pPr/>
    <w:rPr/>
  </w:style>
  <w:style w:type="paragraph" w:styleId="Podnzov">
    <w:name w:val="Podnázov"/>
    <w:basedOn w:val="Nadpis"/>
    <w:qFormat/>
    <w:pPr/>
    <w:rPr/>
  </w:style>
  <w:style w:type="paragraph" w:styleId="Obsahtabuky">
    <w:name w:val="Obsah tabuľky"/>
    <w:basedOn w:val="Normal"/>
    <w:qFormat/>
    <w:pPr/>
    <w:rPr/>
  </w:style>
  <w:style w:type="paragraph" w:styleId="Nadpistabuky">
    <w:name w:val="Nadpis tabuľky"/>
    <w:basedOn w:val="Obsahtabuky"/>
    <w:qFormat/>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Normal.dotm</Template>
  <TotalTime>20</TotalTime>
  <Application>LibreOffice/6.2.8.2$Windows_X86_64 LibreOffice_project/f82ddfca21ebc1e222a662a32b25c0c9d20169ee</Application>
  <Pages>11</Pages>
  <Words>2164</Words>
  <Characters>12626</Characters>
  <CharactersWithSpaces>15313</CharactersWithSpaces>
  <Paragraphs>456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2015-12-14T14:56:00Z</dcterms:created>
  <dc:creator>Alena Durkova</dc:creator>
  <dc:description/>
  <dc:language>sk-SK</dc:language>
  <cp:lastModifiedBy/>
  <cp:lastPrinted>2017-03-17T14:38:02Z</cp:lastPrinted>
  <dcterms:modified xsi:type="dcterms:W3CDTF">2020-03-06T10:05:40Z</dcterms:modified>
  <cp:revision>14</cp:revision>
  <dc:subject/>
  <dc:title>Návod na použitie:</dc:title>
</cp:coreProperties>
</file>