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099E070" w14:textId="77777777" w:rsidR="00192074" w:rsidRDefault="00192074" w:rsidP="00192074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14:paraId="2A43E395" w14:textId="77777777" w:rsidR="00192074" w:rsidRDefault="00192074" w:rsidP="00192074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097E9C22" w14:textId="77777777" w:rsidR="00192074" w:rsidRDefault="00192074" w:rsidP="00192074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 xml:space="preserve">Článok I - Všeobecné </w:t>
      </w:r>
      <w:r>
        <w:rPr>
          <w:rFonts w:asciiTheme="majorHAnsi" w:hAnsiTheme="majorHAnsi" w:cs="Arial"/>
          <w:b/>
          <w:sz w:val="24"/>
          <w:szCs w:val="24"/>
        </w:rPr>
        <w:t>údaje</w:t>
      </w:r>
    </w:p>
    <w:p w14:paraId="59386A87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I.1</w:t>
      </w:r>
      <w:r w:rsidRPr="008346CE">
        <w:rPr>
          <w:rFonts w:ascii="Cambria" w:hAnsi="Cambria" w:cs="Arial"/>
          <w:b/>
        </w:rPr>
        <w:tab/>
      </w:r>
      <w:r>
        <w:rPr>
          <w:rFonts w:ascii="Cambria" w:hAnsi="Cambria" w:cs="Arial"/>
          <w:b/>
        </w:rPr>
        <w:t xml:space="preserve">Názov právnickej osoby </w:t>
      </w:r>
      <w:r>
        <w:rPr>
          <w:rFonts w:ascii="Cambria" w:hAnsi="Cambria" w:cs="Arial"/>
          <w:i/>
        </w:rPr>
        <w:t>:</w:t>
      </w:r>
    </w:p>
    <w:p w14:paraId="645B98A4" w14:textId="77777777" w:rsidR="00192074" w:rsidRPr="007069AF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i/>
          <w:sz w:val="28"/>
          <w:szCs w:val="28"/>
        </w:rPr>
      </w:pPr>
      <w:r>
        <w:rPr>
          <w:rFonts w:ascii="Cambria" w:hAnsi="Cambria" w:cs="Arial"/>
          <w:b/>
        </w:rPr>
        <w:t xml:space="preserve">         </w:t>
      </w:r>
      <w:r w:rsidRPr="007069AF">
        <w:rPr>
          <w:rFonts w:ascii="Cambria" w:hAnsi="Cambria" w:cs="Arial"/>
          <w:i/>
          <w:sz w:val="28"/>
          <w:szCs w:val="28"/>
        </w:rPr>
        <w:t>OA, spol. s.r.o.</w:t>
      </w:r>
    </w:p>
    <w:p w14:paraId="28FBBAC6" w14:textId="77777777" w:rsidR="00192074" w:rsidRPr="00B77972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14:paraId="5C3906AF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8346CE">
        <w:rPr>
          <w:rFonts w:ascii="Cambria" w:hAnsi="Cambria" w:cs="Arial"/>
          <w:b/>
        </w:rPr>
        <w:tab/>
        <w:t>Sídlo účtovnej jednotky</w:t>
      </w:r>
      <w:r w:rsidRPr="008346CE">
        <w:rPr>
          <w:rFonts w:ascii="Cambria" w:hAnsi="Cambria" w:cs="Arial"/>
        </w:rPr>
        <w:t xml:space="preserve">: </w:t>
      </w:r>
    </w:p>
    <w:p w14:paraId="12C24FBA" w14:textId="77777777" w:rsidR="00192074" w:rsidRPr="007069AF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i/>
          <w:sz w:val="28"/>
          <w:szCs w:val="28"/>
        </w:rPr>
      </w:pPr>
      <w:r>
        <w:rPr>
          <w:rFonts w:ascii="Cambria" w:hAnsi="Cambria" w:cs="Arial"/>
          <w:i/>
        </w:rPr>
        <w:t xml:space="preserve">         </w:t>
      </w:r>
      <w:r w:rsidRPr="007069AF">
        <w:rPr>
          <w:rFonts w:ascii="Cambria" w:hAnsi="Cambria" w:cs="Arial"/>
          <w:i/>
          <w:sz w:val="28"/>
          <w:szCs w:val="28"/>
        </w:rPr>
        <w:t>Wuppertálska 1373/2, 04023 Košice</w:t>
      </w:r>
    </w:p>
    <w:p w14:paraId="4379587B" w14:textId="77777777" w:rsidR="00192074" w:rsidRPr="00B701A9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8346CE">
        <w:rPr>
          <w:rFonts w:ascii="Cambria" w:hAnsi="Cambria" w:cs="Arial"/>
          <w:b/>
        </w:rPr>
        <w:tab/>
      </w:r>
    </w:p>
    <w:p w14:paraId="21442C38" w14:textId="77777777" w:rsidR="00192074" w:rsidRPr="00D367A8" w:rsidRDefault="00192074" w:rsidP="00192074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14:paraId="4F612966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I.2</w:t>
      </w:r>
      <w:r w:rsidRPr="00395156">
        <w:rPr>
          <w:rFonts w:ascii="Cambria" w:hAnsi="Cambria" w:cs="Arial"/>
          <w:b/>
        </w:rPr>
        <w:tab/>
      </w:r>
      <w:r>
        <w:rPr>
          <w:rFonts w:ascii="Cambria" w:hAnsi="Cambria" w:cs="Arial"/>
          <w:b/>
        </w:rPr>
        <w:t>Údaje o konsolidovanom celku, ak je účtovná jednotka jeho</w:t>
      </w:r>
      <w:r w:rsidRPr="00395156">
        <w:rPr>
          <w:rFonts w:ascii="Cambria" w:hAnsi="Cambria" w:cs="Arial"/>
          <w:b/>
        </w:rPr>
        <w:t xml:space="preserve"> súčasťou:</w:t>
      </w:r>
    </w:p>
    <w:p w14:paraId="5D7E0BB7" w14:textId="77777777" w:rsidR="00192074" w:rsidRPr="00086570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14:paraId="47944744" w14:textId="77777777" w:rsidR="00192074" w:rsidRPr="00086570" w:rsidRDefault="00192074" w:rsidP="00192074">
      <w:pPr>
        <w:spacing w:after="0"/>
        <w:ind w:left="852" w:hanging="426"/>
        <w:jc w:val="both"/>
        <w:rPr>
          <w:rFonts w:ascii="Cambria" w:hAnsi="Cambria" w:cs="Arial"/>
        </w:rPr>
      </w:pPr>
      <w:r w:rsidRPr="00086570">
        <w:rPr>
          <w:rFonts w:ascii="Cambria" w:hAnsi="Cambria" w:cs="Arial"/>
        </w:rPr>
        <w:t>Spoločnosť nie je súčasťou konsolidovaného celku</w:t>
      </w:r>
    </w:p>
    <w:p w14:paraId="1E7EE91A" w14:textId="77777777" w:rsidR="00192074" w:rsidRDefault="00192074" w:rsidP="00192074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05C1456B" w14:textId="77777777" w:rsidR="00192074" w:rsidRPr="004C53A2" w:rsidRDefault="00192074" w:rsidP="00192074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6290CB79" w14:textId="77777777" w:rsidR="00192074" w:rsidRPr="00395156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I.3</w:t>
      </w:r>
      <w:r w:rsidRPr="00395156">
        <w:rPr>
          <w:rFonts w:ascii="Cambria" w:hAnsi="Cambria" w:cs="Arial"/>
          <w:b/>
        </w:rPr>
        <w:tab/>
        <w:t>Informácie o počte zamestnancov:</w:t>
      </w:r>
    </w:p>
    <w:p w14:paraId="67DAC43C" w14:textId="77777777" w:rsidR="00192074" w:rsidRPr="00A405A5" w:rsidRDefault="00192074" w:rsidP="00192074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4253"/>
        <w:gridCol w:w="2381"/>
        <w:gridCol w:w="2381"/>
      </w:tblGrid>
      <w:tr w:rsidR="00192074" w:rsidRPr="00B47D63" w14:paraId="68D630DB" w14:textId="77777777" w:rsidTr="00045D9F">
        <w:tc>
          <w:tcPr>
            <w:tcW w:w="4253" w:type="dxa"/>
            <w:vAlign w:val="center"/>
          </w:tcPr>
          <w:p w14:paraId="4EA7257C" w14:textId="77777777" w:rsidR="00192074" w:rsidRPr="001B7F7A" w:rsidRDefault="00192074" w:rsidP="00045D9F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vAlign w:val="center"/>
          </w:tcPr>
          <w:p w14:paraId="7D55F144" w14:textId="77777777" w:rsidR="00192074" w:rsidRPr="001B7F7A" w:rsidRDefault="00192074" w:rsidP="00045D9F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14:paraId="6515BB22" w14:textId="77777777" w:rsidR="00192074" w:rsidRPr="001B7F7A" w:rsidRDefault="00192074" w:rsidP="00045D9F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vAlign w:val="center"/>
          </w:tcPr>
          <w:p w14:paraId="0DB8E3E4" w14:textId="77777777" w:rsidR="00192074" w:rsidRPr="001B7F7A" w:rsidRDefault="00192074" w:rsidP="00045D9F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14:paraId="090B61D2" w14:textId="77777777" w:rsidR="00192074" w:rsidRPr="001B7F7A" w:rsidRDefault="00192074" w:rsidP="00045D9F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predchádzajúce</w:t>
            </w:r>
          </w:p>
          <w:p w14:paraId="14B46D6A" w14:textId="77777777" w:rsidR="00192074" w:rsidRPr="001B7F7A" w:rsidRDefault="00192074" w:rsidP="00045D9F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192074" w:rsidRPr="00B47D63" w14:paraId="0752D667" w14:textId="77777777" w:rsidTr="00045D9F">
        <w:trPr>
          <w:trHeight w:val="378"/>
        </w:trPr>
        <w:tc>
          <w:tcPr>
            <w:tcW w:w="4253" w:type="dxa"/>
            <w:vAlign w:val="center"/>
          </w:tcPr>
          <w:p w14:paraId="7C1D27FB" w14:textId="77777777" w:rsidR="00192074" w:rsidRPr="00BE192C" w:rsidRDefault="00192074" w:rsidP="00045D9F">
            <w:pPr>
              <w:ind w:left="34" w:hanging="1"/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BE192C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vAlign w:val="center"/>
          </w:tcPr>
          <w:p w14:paraId="0593D401" w14:textId="77777777" w:rsidR="00192074" w:rsidRPr="00BE192C" w:rsidRDefault="00192074" w:rsidP="00045D9F">
            <w:pPr>
              <w:ind w:left="426" w:hanging="426"/>
              <w:jc w:val="center"/>
              <w:rPr>
                <w:rFonts w:ascii="Cambria" w:hAnsi="Cambria" w:cs="Arial"/>
                <w:sz w:val="24"/>
                <w:szCs w:val="24"/>
              </w:rPr>
            </w:pPr>
            <w:r w:rsidRPr="00BE192C">
              <w:rPr>
                <w:rFonts w:ascii="Cambria" w:hAnsi="Cambria" w:cs="Arial"/>
                <w:sz w:val="24"/>
                <w:szCs w:val="24"/>
              </w:rPr>
              <w:t>0</w:t>
            </w:r>
          </w:p>
        </w:tc>
        <w:tc>
          <w:tcPr>
            <w:tcW w:w="2381" w:type="dxa"/>
            <w:vAlign w:val="center"/>
          </w:tcPr>
          <w:p w14:paraId="1338DBBE" w14:textId="3AC56B5A" w:rsidR="00192074" w:rsidRPr="00F55409" w:rsidRDefault="00F55409" w:rsidP="00F55409">
            <w:pPr>
              <w:ind w:left="426" w:hanging="426"/>
              <w:jc w:val="center"/>
              <w:rPr>
                <w:rFonts w:ascii="Cambria" w:hAnsi="Cambria" w:cs="Arial"/>
                <w:sz w:val="24"/>
                <w:szCs w:val="24"/>
              </w:rPr>
            </w:pPr>
            <w:r w:rsidRPr="00F55409">
              <w:rPr>
                <w:rFonts w:ascii="Cambria" w:hAnsi="Cambria" w:cs="Arial"/>
                <w:sz w:val="24"/>
                <w:szCs w:val="24"/>
              </w:rPr>
              <w:t>0</w:t>
            </w:r>
          </w:p>
        </w:tc>
      </w:tr>
    </w:tbl>
    <w:p w14:paraId="0FF7E0BF" w14:textId="77777777" w:rsidR="00192074" w:rsidRPr="00B47D63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3375C31F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47CB5DE5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5FDDE7AA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14:paraId="5F0D5DEA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1ED8CF33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14:paraId="7E918E4C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310CF159" w14:textId="77777777" w:rsidR="00192074" w:rsidRPr="009916FF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 w:rsidRPr="009916FF">
        <w:rPr>
          <w:rFonts w:asciiTheme="majorHAnsi" w:hAnsiTheme="majorHAnsi" w:cs="Arial"/>
        </w:rPr>
        <w:t xml:space="preserve">Účtovná jednotka bude nepretržite pokračovať vo svojej činnosti: </w:t>
      </w:r>
      <w:sdt>
        <w:sdtPr>
          <w:rPr>
            <w:rFonts w:asciiTheme="majorHAnsi" w:hAnsiTheme="majorHAnsi" w:cs="Arial"/>
            <w:color w:val="00B050"/>
          </w:rPr>
          <w:alias w:val="pokračovanie"/>
          <w:tag w:val="vyberte"/>
          <w:id w:val="432398962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EndPr/>
        <w:sdtContent>
          <w:r>
            <w:rPr>
              <w:rFonts w:asciiTheme="majorHAnsi" w:hAnsiTheme="majorHAnsi" w:cs="Arial"/>
              <w:color w:val="00B050"/>
            </w:rPr>
            <w:t>áno</w:t>
          </w:r>
        </w:sdtContent>
      </w:sdt>
    </w:p>
    <w:p w14:paraId="5893A0FF" w14:textId="77777777" w:rsidR="00192074" w:rsidRPr="003466F3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14:paraId="32944349" w14:textId="77777777" w:rsidR="00192074" w:rsidRDefault="00192074" w:rsidP="00192074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CE60987" w14:textId="77777777" w:rsidR="00192074" w:rsidRPr="00E023FE" w:rsidRDefault="00192074" w:rsidP="00192074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2 </w:t>
      </w:r>
      <w:r w:rsidRPr="00C2623F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oceňovania jednotlivých zložiek majetku a záväzkov: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4393"/>
        <w:gridCol w:w="2065"/>
        <w:gridCol w:w="2268"/>
      </w:tblGrid>
      <w:tr w:rsidR="00192074" w:rsidRPr="00B47D63" w14:paraId="18695665" w14:textId="77777777" w:rsidTr="00045D9F">
        <w:tc>
          <w:tcPr>
            <w:tcW w:w="0" w:type="auto"/>
            <w:vAlign w:val="center"/>
          </w:tcPr>
          <w:p w14:paraId="20088139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vAlign w:val="center"/>
          </w:tcPr>
          <w:p w14:paraId="015220E2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vAlign w:val="center"/>
          </w:tcPr>
          <w:p w14:paraId="46C421EB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14:paraId="6D560777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192074" w:rsidRPr="00B47D63" w14:paraId="2CA44714" w14:textId="77777777" w:rsidTr="00045D9F">
        <w:trPr>
          <w:trHeight w:val="340"/>
        </w:trPr>
        <w:tc>
          <w:tcPr>
            <w:tcW w:w="0" w:type="auto"/>
            <w:vAlign w:val="center"/>
          </w:tcPr>
          <w:p w14:paraId="1C242567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nehmotný majetok</w:t>
            </w:r>
          </w:p>
        </w:tc>
        <w:tc>
          <w:tcPr>
            <w:tcW w:w="2065" w:type="dxa"/>
            <w:vAlign w:val="center"/>
          </w:tcPr>
          <w:p w14:paraId="31BBA98D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Nevlastní DNM</w:t>
            </w:r>
          </w:p>
        </w:tc>
        <w:tc>
          <w:tcPr>
            <w:tcW w:w="2268" w:type="dxa"/>
            <w:vAlign w:val="center"/>
          </w:tcPr>
          <w:p w14:paraId="0764447E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33B4763F" w14:textId="77777777" w:rsidTr="00045D9F">
        <w:trPr>
          <w:trHeight w:val="340"/>
        </w:trPr>
        <w:tc>
          <w:tcPr>
            <w:tcW w:w="0" w:type="auto"/>
            <w:vAlign w:val="center"/>
          </w:tcPr>
          <w:p w14:paraId="354791AC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065" w:type="dxa"/>
            <w:vAlign w:val="center"/>
          </w:tcPr>
          <w:p w14:paraId="15AC514C" w14:textId="026DA9A4" w:rsidR="00192074" w:rsidRPr="00086570" w:rsidRDefault="0026395E" w:rsidP="00045D9F">
            <w:pPr>
              <w:jc w:val="center"/>
              <w:rPr>
                <w:rFonts w:asciiTheme="majorHAnsi" w:hAnsiTheme="majorHAnsi" w:cs="Arial"/>
                <w:i/>
              </w:rPr>
            </w:pPr>
            <w:r>
              <w:rPr>
                <w:rFonts w:asciiTheme="majorHAnsi" w:hAnsiTheme="majorHAnsi" w:cs="Arial"/>
                <w:i/>
              </w:rPr>
              <w:t>Obstarávacou cenou</w:t>
            </w:r>
          </w:p>
        </w:tc>
        <w:tc>
          <w:tcPr>
            <w:tcW w:w="2268" w:type="dxa"/>
            <w:vAlign w:val="center"/>
          </w:tcPr>
          <w:p w14:paraId="0EB793F9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13E4CD8A" w14:textId="77777777" w:rsidTr="00045D9F">
        <w:trPr>
          <w:trHeight w:val="340"/>
        </w:trPr>
        <w:tc>
          <w:tcPr>
            <w:tcW w:w="0" w:type="auto"/>
            <w:vAlign w:val="center"/>
          </w:tcPr>
          <w:p w14:paraId="2D2930F8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lastRenderedPageBreak/>
              <w:t>Dlhodobý  finančný majetok</w:t>
            </w:r>
          </w:p>
        </w:tc>
        <w:tc>
          <w:tcPr>
            <w:tcW w:w="2065" w:type="dxa"/>
            <w:vAlign w:val="center"/>
          </w:tcPr>
          <w:p w14:paraId="20486B05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Nevlastní DFM</w:t>
            </w:r>
          </w:p>
        </w:tc>
        <w:tc>
          <w:tcPr>
            <w:tcW w:w="2268" w:type="dxa"/>
            <w:vAlign w:val="center"/>
          </w:tcPr>
          <w:p w14:paraId="153E58E4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299E3835" w14:textId="77777777" w:rsidTr="00045D9F">
        <w:trPr>
          <w:trHeight w:val="340"/>
        </w:trPr>
        <w:tc>
          <w:tcPr>
            <w:tcW w:w="0" w:type="auto"/>
            <w:vAlign w:val="center"/>
          </w:tcPr>
          <w:p w14:paraId="4BADEF23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14:paraId="6ABC00E8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Obstarávacou cenou</w:t>
            </w:r>
          </w:p>
        </w:tc>
        <w:tc>
          <w:tcPr>
            <w:tcW w:w="2268" w:type="dxa"/>
            <w:vAlign w:val="center"/>
          </w:tcPr>
          <w:p w14:paraId="497BB366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56705522" w14:textId="77777777" w:rsidTr="00045D9F">
        <w:trPr>
          <w:trHeight w:val="340"/>
        </w:trPr>
        <w:tc>
          <w:tcPr>
            <w:tcW w:w="0" w:type="auto"/>
            <w:vAlign w:val="center"/>
          </w:tcPr>
          <w:p w14:paraId="35DF0F2A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14:paraId="495583CB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Nemá zásoby vytvorené vlastnou činnosťou</w:t>
            </w:r>
          </w:p>
        </w:tc>
        <w:tc>
          <w:tcPr>
            <w:tcW w:w="2268" w:type="dxa"/>
            <w:vAlign w:val="center"/>
          </w:tcPr>
          <w:p w14:paraId="70ADCBCC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0D61693D" w14:textId="77777777" w:rsidTr="00045D9F">
        <w:trPr>
          <w:trHeight w:val="340"/>
        </w:trPr>
        <w:tc>
          <w:tcPr>
            <w:tcW w:w="0" w:type="auto"/>
            <w:vAlign w:val="center"/>
          </w:tcPr>
          <w:p w14:paraId="2E7ED54A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14:paraId="52C94CDA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Pri ich vzniku sa oceňujú ich menovitou hodnotou</w:t>
            </w:r>
          </w:p>
        </w:tc>
        <w:tc>
          <w:tcPr>
            <w:tcW w:w="2268" w:type="dxa"/>
            <w:vAlign w:val="center"/>
          </w:tcPr>
          <w:p w14:paraId="0F96204A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74C04916" w14:textId="77777777" w:rsidTr="00045D9F">
        <w:trPr>
          <w:trHeight w:val="340"/>
        </w:trPr>
        <w:tc>
          <w:tcPr>
            <w:tcW w:w="0" w:type="auto"/>
            <w:vAlign w:val="center"/>
          </w:tcPr>
          <w:p w14:paraId="6D0EFF08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14:paraId="735AC6BF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Ich menovitou hodnotou</w:t>
            </w:r>
          </w:p>
        </w:tc>
        <w:tc>
          <w:tcPr>
            <w:tcW w:w="2268" w:type="dxa"/>
            <w:vAlign w:val="center"/>
          </w:tcPr>
          <w:p w14:paraId="7C877C81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4396E8BE" w14:textId="77777777" w:rsidTr="00045D9F">
        <w:trPr>
          <w:trHeight w:val="340"/>
        </w:trPr>
        <w:tc>
          <w:tcPr>
            <w:tcW w:w="0" w:type="auto"/>
            <w:vAlign w:val="center"/>
          </w:tcPr>
          <w:p w14:paraId="0FC0C44F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vrátane rezerv, dlhopisov, pôžičiek a úverov</w:t>
            </w:r>
          </w:p>
        </w:tc>
        <w:tc>
          <w:tcPr>
            <w:tcW w:w="2065" w:type="dxa"/>
            <w:vAlign w:val="center"/>
          </w:tcPr>
          <w:p w14:paraId="7137D327" w14:textId="5125DDCE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Záväzky sa pri ich vzniku oceňujú ich menovitou hodnotou, rezervy v očakávane</w:t>
            </w:r>
            <w:r w:rsidR="00465332">
              <w:rPr>
                <w:rFonts w:asciiTheme="majorHAnsi" w:hAnsiTheme="majorHAnsi" w:cs="Arial"/>
                <w:i/>
              </w:rPr>
              <w:t>j</w:t>
            </w:r>
            <w:bookmarkStart w:id="0" w:name="_GoBack"/>
            <w:bookmarkEnd w:id="0"/>
            <w:r w:rsidRPr="00086570">
              <w:rPr>
                <w:rFonts w:asciiTheme="majorHAnsi" w:hAnsiTheme="majorHAnsi" w:cs="Arial"/>
                <w:i/>
              </w:rPr>
              <w:t xml:space="preserve"> výške záväzku</w:t>
            </w:r>
          </w:p>
        </w:tc>
        <w:tc>
          <w:tcPr>
            <w:tcW w:w="2268" w:type="dxa"/>
            <w:vAlign w:val="center"/>
          </w:tcPr>
          <w:p w14:paraId="05AC71D0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5A1E04A0" w14:textId="77777777" w:rsidTr="00045D9F">
        <w:trPr>
          <w:trHeight w:val="340"/>
        </w:trPr>
        <w:tc>
          <w:tcPr>
            <w:tcW w:w="0" w:type="auto"/>
            <w:vAlign w:val="center"/>
          </w:tcPr>
          <w:p w14:paraId="0F6B9300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</w:t>
            </w:r>
            <w:r>
              <w:rPr>
                <w:rFonts w:asciiTheme="majorHAnsi" w:hAnsiTheme="majorHAnsi" w:cs="Arial"/>
                <w:sz w:val="20"/>
                <w:szCs w:val="20"/>
              </w:rPr>
              <w:t>ivátové operácie</w:t>
            </w:r>
          </w:p>
        </w:tc>
        <w:tc>
          <w:tcPr>
            <w:tcW w:w="2065" w:type="dxa"/>
            <w:vAlign w:val="center"/>
          </w:tcPr>
          <w:p w14:paraId="2CF30F8A" w14:textId="77777777" w:rsidR="00192074" w:rsidRPr="003C3743" w:rsidRDefault="00192074" w:rsidP="00045D9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03A7DEE1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4CA45261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56F92E6D" w14:textId="77777777" w:rsidR="00192074" w:rsidRPr="00B47D63" w:rsidRDefault="00192074" w:rsidP="00192074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3076E79C" w14:textId="77777777" w:rsidR="00192074" w:rsidRPr="006E5C50" w:rsidRDefault="00192074" w:rsidP="00192074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II. 3 </w:t>
      </w:r>
      <w:r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14:paraId="5CA0279C" w14:textId="77777777" w:rsidR="00192074" w:rsidRPr="00B47D63" w:rsidRDefault="00192074" w:rsidP="00192074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44555B3B" w14:textId="6F340003" w:rsidR="00F55409" w:rsidRDefault="00F55409" w:rsidP="00192074">
      <w:pPr>
        <w:spacing w:after="0" w:line="240" w:lineRule="auto"/>
        <w:jc w:val="both"/>
        <w:rPr>
          <w:rFonts w:ascii="Segoe UI Symbol" w:hAnsi="Segoe UI Symbol" w:cs="Segoe UI Symbol"/>
        </w:rPr>
      </w:pPr>
      <w:r w:rsidRPr="00F55409">
        <w:rPr>
          <w:rFonts w:asciiTheme="majorHAnsi" w:hAnsiTheme="majorHAnsi" w:cstheme="majorHAnsi"/>
        </w:rPr>
        <w:t xml:space="preserve">UJ používa účtovné odpisy v súlade s daňovými odpismi. Majetok sa začína odpisovať v mesiaci, kedy bol zaradený do užívania. Účtovné odpisy vychádzajú z predpokladanej doby používania majetku. Dlhodobý hmotný majetok sa odpisuje počas </w:t>
      </w:r>
      <w:r>
        <w:rPr>
          <w:rFonts w:asciiTheme="majorHAnsi" w:hAnsiTheme="majorHAnsi" w:cstheme="majorHAnsi"/>
        </w:rPr>
        <w:t>4</w:t>
      </w:r>
      <w:r w:rsidRPr="00F55409">
        <w:rPr>
          <w:rFonts w:asciiTheme="majorHAnsi" w:hAnsiTheme="majorHAnsi" w:cstheme="majorHAnsi"/>
        </w:rPr>
        <w:t xml:space="preserve"> rokov od jeho obstarania</w:t>
      </w:r>
      <w:r>
        <w:rPr>
          <w:rFonts w:asciiTheme="majorHAnsi" w:hAnsiTheme="majorHAnsi" w:cstheme="majorHAnsi"/>
        </w:rPr>
        <w:t>.</w:t>
      </w:r>
    </w:p>
    <w:p w14:paraId="66B44CAA" w14:textId="1B0DB417" w:rsidR="00192074" w:rsidRPr="00F55409" w:rsidRDefault="00F55409" w:rsidP="00192074">
      <w:pPr>
        <w:spacing w:after="0" w:line="240" w:lineRule="auto"/>
        <w:jc w:val="both"/>
        <w:rPr>
          <w:rFonts w:asciiTheme="majorHAnsi" w:hAnsiTheme="majorHAnsi" w:cstheme="majorHAnsi"/>
          <w:b/>
        </w:rPr>
      </w:pPr>
      <w:r w:rsidRPr="00F55409">
        <w:rPr>
          <w:rFonts w:asciiTheme="majorHAnsi" w:hAnsiTheme="majorHAnsi" w:cstheme="majorHAnsi"/>
        </w:rPr>
        <w:t xml:space="preserve"> UJ pou</w:t>
      </w:r>
      <w:r w:rsidRPr="00F55409">
        <w:rPr>
          <w:rFonts w:ascii="Calibri Light" w:hAnsi="Calibri Light" w:cs="Calibri Light"/>
        </w:rPr>
        <w:t>ží</w:t>
      </w:r>
      <w:r w:rsidRPr="00F55409">
        <w:rPr>
          <w:rFonts w:asciiTheme="majorHAnsi" w:hAnsiTheme="majorHAnsi" w:cstheme="majorHAnsi"/>
        </w:rPr>
        <w:t>va rovnomern</w:t>
      </w:r>
      <w:r w:rsidRPr="00F55409">
        <w:rPr>
          <w:rFonts w:ascii="Calibri Light" w:hAnsi="Calibri Light" w:cs="Calibri Light"/>
        </w:rPr>
        <w:t>é</w:t>
      </w:r>
      <w:r w:rsidRPr="00F55409">
        <w:rPr>
          <w:rFonts w:asciiTheme="majorHAnsi" w:hAnsiTheme="majorHAnsi" w:cstheme="majorHAnsi"/>
        </w:rPr>
        <w:t xml:space="preserve"> odpisovanie dlhodob</w:t>
      </w:r>
      <w:r w:rsidRPr="00F55409">
        <w:rPr>
          <w:rFonts w:ascii="Calibri Light" w:hAnsi="Calibri Light" w:cs="Calibri Light"/>
        </w:rPr>
        <w:t>é</w:t>
      </w:r>
      <w:r w:rsidRPr="00F55409">
        <w:rPr>
          <w:rFonts w:asciiTheme="majorHAnsi" w:hAnsiTheme="majorHAnsi" w:cstheme="majorHAnsi"/>
        </w:rPr>
        <w:t>ho hmotn</w:t>
      </w:r>
      <w:r w:rsidRPr="00F55409">
        <w:rPr>
          <w:rFonts w:ascii="Calibri Light" w:hAnsi="Calibri Light" w:cs="Calibri Light"/>
        </w:rPr>
        <w:t>é</w:t>
      </w:r>
      <w:r w:rsidRPr="00F55409">
        <w:rPr>
          <w:rFonts w:asciiTheme="majorHAnsi" w:hAnsiTheme="majorHAnsi" w:cstheme="majorHAnsi"/>
        </w:rPr>
        <w:t>ho majetku. Podrobn</w:t>
      </w:r>
      <w:r w:rsidRPr="00F55409">
        <w:rPr>
          <w:rFonts w:ascii="Calibri Light" w:hAnsi="Calibri Light" w:cs="Calibri Light"/>
        </w:rPr>
        <w:t>ý</w:t>
      </w:r>
      <w:r w:rsidRPr="00F55409">
        <w:rPr>
          <w:rFonts w:asciiTheme="majorHAnsi" w:hAnsiTheme="majorHAnsi" w:cstheme="majorHAnsi"/>
        </w:rPr>
        <w:t xml:space="preserve"> </w:t>
      </w:r>
      <w:r w:rsidRPr="00F55409">
        <w:rPr>
          <w:rFonts w:ascii="Calibri Light" w:hAnsi="Calibri Light" w:cs="Calibri Light"/>
        </w:rPr>
        <w:t>úč</w:t>
      </w:r>
      <w:r w:rsidRPr="00F55409">
        <w:rPr>
          <w:rFonts w:asciiTheme="majorHAnsi" w:hAnsiTheme="majorHAnsi" w:cstheme="majorHAnsi"/>
        </w:rPr>
        <w:t>tovn</w:t>
      </w:r>
      <w:r w:rsidRPr="00F55409">
        <w:rPr>
          <w:rFonts w:ascii="Calibri Light" w:hAnsi="Calibri Light" w:cs="Calibri Light"/>
        </w:rPr>
        <w:t>ý</w:t>
      </w:r>
      <w:r w:rsidRPr="00F55409">
        <w:rPr>
          <w:rFonts w:asciiTheme="majorHAnsi" w:hAnsiTheme="majorHAnsi" w:cstheme="majorHAnsi"/>
        </w:rPr>
        <w:t xml:space="preserve"> odpisov</w:t>
      </w:r>
      <w:r w:rsidRPr="00F55409">
        <w:rPr>
          <w:rFonts w:ascii="Calibri Light" w:hAnsi="Calibri Light" w:cs="Calibri Light"/>
        </w:rPr>
        <w:t>ý</w:t>
      </w:r>
      <w:r w:rsidRPr="00F55409">
        <w:rPr>
          <w:rFonts w:asciiTheme="majorHAnsi" w:hAnsiTheme="majorHAnsi" w:cstheme="majorHAnsi"/>
        </w:rPr>
        <w:t xml:space="preserve"> pl</w:t>
      </w:r>
      <w:r w:rsidRPr="00F55409">
        <w:rPr>
          <w:rFonts w:ascii="Calibri Light" w:hAnsi="Calibri Light" w:cs="Calibri Light"/>
        </w:rPr>
        <w:t>á</w:t>
      </w:r>
      <w:r w:rsidRPr="00F55409">
        <w:rPr>
          <w:rFonts w:asciiTheme="majorHAnsi" w:hAnsiTheme="majorHAnsi" w:cstheme="majorHAnsi"/>
        </w:rPr>
        <w:t>n po polo</w:t>
      </w:r>
      <w:r w:rsidRPr="00F55409">
        <w:rPr>
          <w:rFonts w:ascii="Calibri Light" w:hAnsi="Calibri Light" w:cs="Calibri Light"/>
        </w:rPr>
        <w:t>ž</w:t>
      </w:r>
      <w:r w:rsidRPr="00F55409">
        <w:rPr>
          <w:rFonts w:asciiTheme="majorHAnsi" w:hAnsiTheme="majorHAnsi" w:cstheme="majorHAnsi"/>
        </w:rPr>
        <w:t>k</w:t>
      </w:r>
      <w:r w:rsidRPr="00F55409">
        <w:rPr>
          <w:rFonts w:ascii="Calibri Light" w:hAnsi="Calibri Light" w:cs="Calibri Light"/>
        </w:rPr>
        <w:t>á</w:t>
      </w:r>
      <w:r w:rsidRPr="00F55409">
        <w:rPr>
          <w:rFonts w:asciiTheme="majorHAnsi" w:hAnsiTheme="majorHAnsi" w:cstheme="majorHAnsi"/>
        </w:rPr>
        <w:t>ch sa vedie v</w:t>
      </w:r>
      <w:r>
        <w:rPr>
          <w:rFonts w:asciiTheme="majorHAnsi" w:hAnsiTheme="majorHAnsi" w:cstheme="majorHAnsi"/>
        </w:rPr>
        <w:t> ekonomickom systéme, ktorý UJ používa.</w:t>
      </w:r>
    </w:p>
    <w:p w14:paraId="2DEE14D6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21A231FB" w14:textId="77777777" w:rsidR="00192074" w:rsidRPr="00507AE7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4  </w:t>
      </w:r>
      <w:r w:rsidRPr="00507AE7">
        <w:rPr>
          <w:rFonts w:asciiTheme="majorHAnsi" w:hAnsiTheme="majorHAnsi" w:cs="Arial"/>
          <w:b/>
        </w:rPr>
        <w:t>Zmeny účtovných zásad a metód:</w:t>
      </w:r>
    </w:p>
    <w:p w14:paraId="666434A9" w14:textId="77777777" w:rsidR="00192074" w:rsidRDefault="00192074" w:rsidP="00192074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14:paraId="2D45265D" w14:textId="77777777" w:rsidR="00192074" w:rsidRDefault="00192074" w:rsidP="00192074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 w:rsidRPr="00086570">
        <w:rPr>
          <w:rFonts w:asciiTheme="majorHAnsi" w:hAnsiTheme="majorHAnsi" w:cs="Arial"/>
        </w:rPr>
        <w:t>Účtovné zásady a metódy boli účtovnou jednotkou konzistentne aplikované v rámci platného zákona o</w:t>
      </w:r>
      <w:r>
        <w:rPr>
          <w:rFonts w:asciiTheme="majorHAnsi" w:hAnsiTheme="majorHAnsi" w:cs="Arial"/>
          <w:sz w:val="20"/>
          <w:szCs w:val="20"/>
        </w:rPr>
        <w:t xml:space="preserve"> </w:t>
      </w:r>
      <w:r w:rsidRPr="00086570">
        <w:rPr>
          <w:rFonts w:asciiTheme="majorHAnsi" w:hAnsiTheme="majorHAnsi" w:cs="Arial"/>
        </w:rPr>
        <w:t>účtovníctve.</w:t>
      </w:r>
    </w:p>
    <w:p w14:paraId="50DD9800" w14:textId="77777777" w:rsidR="00192074" w:rsidRPr="002F723D" w:rsidRDefault="00192074" w:rsidP="00192074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86570">
        <w:rPr>
          <w:rFonts w:asciiTheme="majorHAnsi" w:hAnsiTheme="majorHAnsi" w:cs="Arial"/>
        </w:rPr>
        <w:t>Účtovná jednotka neidentifikovala transakcie, ktorých charakter a účel nie je uvedený v súvahe</w:t>
      </w:r>
      <w:r w:rsidRPr="002F723D">
        <w:rPr>
          <w:rFonts w:asciiTheme="majorHAnsi" w:hAnsiTheme="majorHAnsi" w:cs="Arial"/>
          <w:sz w:val="20"/>
          <w:szCs w:val="20"/>
        </w:rPr>
        <w:t>.</w:t>
      </w:r>
    </w:p>
    <w:p w14:paraId="601D0626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5481CAF4" w14:textId="77777777" w:rsidR="00192074" w:rsidRPr="00FA30A7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5</w:t>
      </w:r>
      <w:r w:rsidRPr="00FA30A7">
        <w:rPr>
          <w:rFonts w:asciiTheme="majorHAnsi" w:hAnsiTheme="majorHAnsi" w:cs="Arial"/>
          <w:b/>
        </w:rPr>
        <w:t xml:space="preserve"> Dotácie poskytnuté na obstaranie majetku:</w:t>
      </w:r>
    </w:p>
    <w:p w14:paraId="1253C2BE" w14:textId="77777777" w:rsidR="00192074" w:rsidRPr="00B47D63" w:rsidRDefault="00192074" w:rsidP="00192074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262AD2B" w14:textId="77777777" w:rsidR="00192074" w:rsidRPr="00086570" w:rsidRDefault="00192074" w:rsidP="00192074">
      <w:pPr>
        <w:spacing w:after="0" w:line="240" w:lineRule="auto"/>
        <w:jc w:val="both"/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86570"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Spoločnosti neboli poskytnuté dotácie na obstaranie majetku.</w:t>
      </w:r>
    </w:p>
    <w:p w14:paraId="0E9A22AA" w14:textId="77777777" w:rsidR="00192074" w:rsidRPr="00B47D63" w:rsidRDefault="00192074" w:rsidP="00192074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A3097A4" w14:textId="77777777" w:rsidR="00192074" w:rsidRPr="008B2DBA" w:rsidRDefault="00192074" w:rsidP="00192074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lastRenderedPageBreak/>
        <w:t>I</w:t>
      </w:r>
      <w:r>
        <w:rPr>
          <w:rFonts w:asciiTheme="majorHAnsi" w:hAnsiTheme="majorHAnsi" w:cs="Arial"/>
          <w:b/>
        </w:rPr>
        <w:t xml:space="preserve">I. 6 </w:t>
      </w:r>
      <w:r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14:paraId="45365E25" w14:textId="77777777" w:rsidR="00192074" w:rsidRPr="00B47D63" w:rsidRDefault="00192074" w:rsidP="00192074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1C69D0A" w14:textId="77777777" w:rsidR="00192074" w:rsidRPr="002F723D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 w:rsidRPr="002F723D">
        <w:rPr>
          <w:rFonts w:asciiTheme="majorHAnsi" w:hAnsiTheme="majorHAnsi" w:cs="Arial"/>
        </w:rPr>
        <w:t xml:space="preserve">Spoločnosť v priebehu účtovného obdobia neopravovala chyby minulých období. </w:t>
      </w:r>
    </w:p>
    <w:p w14:paraId="4B835C2D" w14:textId="77777777" w:rsidR="00192074" w:rsidRDefault="00192074" w:rsidP="00192074">
      <w:pPr>
        <w:spacing w:after="0" w:line="240" w:lineRule="auto"/>
        <w:jc w:val="both"/>
        <w:rPr>
          <w:rFonts w:asciiTheme="majorHAnsi" w:hAnsiTheme="majorHAnsi" w:cs="Arial"/>
          <w:b/>
        </w:rPr>
      </w:pPr>
    </w:p>
    <w:p w14:paraId="0974187F" w14:textId="77777777" w:rsidR="00192074" w:rsidRPr="009916FF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45DC7410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III – Informácie, ktoré vysvetľujú a dopĺňajú súvahu a výkaz ziskov a strát</w:t>
      </w:r>
    </w:p>
    <w:p w14:paraId="355D5EEF" w14:textId="77777777" w:rsidR="00192074" w:rsidRPr="00C42283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5A0FB77C" w14:textId="7F778E3F" w:rsidR="00192074" w:rsidRPr="00C42283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1 Informácie o sume a dôvodoch vzniku jednotlivých položiek nákladov alebo</w:t>
      </w:r>
      <w:r w:rsidR="00D4494D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výnosov, ktoré majú výnimočný rozsah alebo výskyt:</w:t>
      </w:r>
    </w:p>
    <w:p w14:paraId="27FF06E3" w14:textId="77777777" w:rsidR="00192074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86570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neeviduje náklady alebo výnosy, ktoré majú výnimočný rozsah alebo výskyt</w:t>
      </w:r>
    </w:p>
    <w:p w14:paraId="7DB7E916" w14:textId="77777777" w:rsidR="00192074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375DACB" w14:textId="77777777" w:rsidR="00192074" w:rsidRPr="00113B6B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2 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záväzkoch</w:t>
      </w:r>
    </w:p>
    <w:p w14:paraId="2B576382" w14:textId="77777777" w:rsidR="00192074" w:rsidRPr="00291DE9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91D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a) Záväzky so zostatkovou dobou splatnosti dlhšou ako päť rokov:</w:t>
      </w:r>
    </w:p>
    <w:p w14:paraId="529129D3" w14:textId="77777777" w:rsidR="00192074" w:rsidRPr="00086570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86570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záväzky so splatnosťou dlhšou ako päť rokov.</w:t>
      </w:r>
    </w:p>
    <w:p w14:paraId="25FE54F4" w14:textId="77777777" w:rsidR="00192074" w:rsidRPr="006F58E4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2 b) </w:t>
      </w:r>
      <w:r w:rsidRPr="006F58E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Hodnota záväzkov zabezpečená záložným právom:</w:t>
      </w:r>
    </w:p>
    <w:p w14:paraId="290DCB31" w14:textId="77777777" w:rsidR="00192074" w:rsidRPr="00086570" w:rsidRDefault="00192074" w:rsidP="00192074">
      <w:pPr>
        <w:spacing w:after="360"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86570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záväzky zabezpečené záložným právom.</w:t>
      </w:r>
    </w:p>
    <w:p w14:paraId="1138D345" w14:textId="77777777" w:rsidR="00192074" w:rsidRDefault="00192074" w:rsidP="00192074">
      <w:pPr>
        <w:spacing w:after="360"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449B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</w:t>
      </w:r>
      <w:r w:rsidRPr="006449B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3 </w:t>
      </w:r>
      <w:r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akciách:</w:t>
      </w:r>
    </w:p>
    <w:p w14:paraId="4C0DC7F2" w14:textId="77777777" w:rsidR="00192074" w:rsidRPr="00F806BB" w:rsidRDefault="00192074" w:rsidP="00192074">
      <w:pPr>
        <w:spacing w:after="360"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86570"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nevlastní akcie.</w:t>
      </w:r>
      <w:r w:rsidRPr="00F806BB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14:paraId="47BC6C80" w14:textId="77777777" w:rsidR="00192074" w:rsidRPr="00950934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4</w:t>
      </w: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a) Informácie o celkovej sume finančných povinností, ktoré sa nevykazujú v súvahe:</w:t>
      </w:r>
    </w:p>
    <w:p w14:paraId="229B3F52" w14:textId="77777777" w:rsidR="00192074" w:rsidRPr="00F806BB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806BB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finančné povinnosti, ktoré sa nevykazujú v súvahe.</w:t>
      </w:r>
    </w:p>
    <w:p w14:paraId="38D8F7F1" w14:textId="77777777" w:rsidR="00192074" w:rsidRPr="00F52202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6ACB981" w14:textId="77777777" w:rsidR="00192074" w:rsidRPr="00F52202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b) </w:t>
      </w:r>
      <w:r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podmienených záväzkoch</w:t>
      </w:r>
    </w:p>
    <w:p w14:paraId="5B558BB6" w14:textId="77777777" w:rsidR="00192074" w:rsidRPr="00F806BB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806BB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významné podmienené záväzky.</w:t>
      </w:r>
    </w:p>
    <w:p w14:paraId="7BDDBD13" w14:textId="77777777" w:rsidR="00192074" w:rsidRDefault="00192074" w:rsidP="00192074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4AB7AB1" w14:textId="77777777" w:rsidR="00192074" w:rsidRDefault="00192074" w:rsidP="00192074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Miesto/Dátum</w:t>
      </w:r>
    </w:p>
    <w:p w14:paraId="418E8449" w14:textId="5A4CD8CC" w:rsidR="00192074" w:rsidRPr="00F806BB" w:rsidRDefault="00192074" w:rsidP="00192074">
      <w:pPr>
        <w:spacing w:before="24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806BB">
        <w:rPr>
          <w:rFonts w:asciiTheme="majorHAnsi" w:eastAsia="MS Gothic" w:hAnsiTheme="majorHAnsi" w:cs="Arial"/>
          <w:i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 Košiciach  </w:t>
      </w:r>
      <w:r w:rsidR="00465332">
        <w:rPr>
          <w:rFonts w:asciiTheme="majorHAnsi" w:eastAsia="MS Gothic" w:hAnsiTheme="majorHAnsi" w:cs="Arial"/>
          <w:i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12</w:t>
      </w:r>
      <w:r w:rsidRPr="00F806BB">
        <w:rPr>
          <w:rFonts w:asciiTheme="majorHAnsi" w:eastAsia="MS Gothic" w:hAnsiTheme="majorHAnsi" w:cs="Arial"/>
          <w:i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.3.201</w:t>
      </w:r>
      <w:r w:rsidR="00D4494D">
        <w:rPr>
          <w:rFonts w:asciiTheme="majorHAnsi" w:eastAsia="MS Gothic" w:hAnsiTheme="majorHAnsi" w:cs="Arial"/>
          <w:i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9</w:t>
      </w:r>
    </w:p>
    <w:p w14:paraId="7EFA3BA6" w14:textId="77777777" w:rsidR="006F4673" w:rsidRDefault="006F4673"/>
    <w:sectPr w:rsidR="006F4673">
      <w:headerReference w:type="default" r:id="rId6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2B4E4466" w14:textId="77777777" w:rsidR="005F4B72" w:rsidRDefault="005F4B72" w:rsidP="00192074">
      <w:pPr>
        <w:spacing w:after="0" w:line="240" w:lineRule="auto"/>
      </w:pPr>
      <w:r>
        <w:separator/>
      </w:r>
    </w:p>
  </w:endnote>
  <w:endnote w:type="continuationSeparator" w:id="0">
    <w:p w14:paraId="21B133B1" w14:textId="77777777" w:rsidR="005F4B72" w:rsidRDefault="005F4B72" w:rsidP="0019207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1C455148" w14:textId="77777777" w:rsidR="005F4B72" w:rsidRDefault="005F4B72" w:rsidP="00192074">
      <w:pPr>
        <w:spacing w:after="0" w:line="240" w:lineRule="auto"/>
      </w:pPr>
      <w:r>
        <w:separator/>
      </w:r>
    </w:p>
  </w:footnote>
  <w:footnote w:type="continuationSeparator" w:id="0">
    <w:p w14:paraId="3CC5C26A" w14:textId="77777777" w:rsidR="005F4B72" w:rsidRDefault="005F4B72" w:rsidP="0019207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740A2D6" w14:textId="77777777" w:rsidR="00192074" w:rsidRDefault="00192074" w:rsidP="00192074">
    <w:pPr>
      <w:pStyle w:val="Hlavika"/>
      <w:rPr>
        <w:rFonts w:asciiTheme="majorHAnsi" w:hAnsiTheme="majorHAnsi"/>
      </w:rPr>
    </w:pPr>
  </w:p>
  <w:p w14:paraId="75B3BAA4" w14:textId="44BF33BE" w:rsidR="00192074" w:rsidRPr="006A6ED1" w:rsidRDefault="00192074" w:rsidP="00192074">
    <w:pPr>
      <w:pStyle w:val="Hlavika"/>
      <w:jc w:val="right"/>
      <w:rPr>
        <w:color w:val="2F5496" w:themeColor="accent1" w:themeShade="BF"/>
        <w:sz w:val="36"/>
        <w:szCs w:val="36"/>
      </w:rPr>
    </w:pPr>
    <w:r>
      <w:rPr>
        <w:noProof/>
        <w:color w:val="4472C4" w:themeColor="accent1"/>
        <w:lang w:eastAsia="sk-SK"/>
      </w:rPr>
      <mc:AlternateContent>
        <mc:Choice Requires="wpg">
          <w:drawing>
            <wp:anchor distT="0" distB="0" distL="114300" distR="114300" simplePos="0" relativeHeight="251659264" behindDoc="0" locked="0" layoutInCell="1" allowOverlap="1" wp14:anchorId="158F7FD1" wp14:editId="3D272F4C">
              <wp:simplePos x="0" y="0"/>
              <wp:positionH relativeFrom="page">
                <wp:align>left</wp:align>
              </wp:positionH>
              <wp:positionV relativeFrom="page">
                <wp:align>top</wp:align>
              </wp:positionV>
              <wp:extent cx="4041530" cy="1003564"/>
              <wp:effectExtent l="0" t="57150" r="35170" b="25136"/>
              <wp:wrapNone/>
              <wp:docPr id="63" name="Group 63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4041530" cy="1003564"/>
                        <a:chOff x="0" y="-40192"/>
                        <a:chExt cx="4041530" cy="1003564"/>
                      </a:xfrm>
                    </wpg:grpSpPr>
                    <wps:wsp>
                      <wps:cNvPr id="57" name="Straight Connector 57"/>
                      <wps:cNvCnPr/>
                      <wps:spPr>
                        <a:xfrm flipV="1">
                          <a:off x="459084" y="-40192"/>
                          <a:ext cx="3582446" cy="969053"/>
                        </a:xfrm>
                        <a:prstGeom prst="lin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solidFill>
                            <a:schemeClr val="accent1">
                              <a:lumMod val="60000"/>
                              <a:lumOff val="40000"/>
                            </a:schemeClr>
                          </a:solidFill>
                        </a:ln>
                        <a:scene3d>
                          <a:camera prst="orthographicFront"/>
                          <a:lightRig rig="threePt" dir="t"/>
                        </a:scene3d>
                        <a:sp3d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  <wps:wsp>
                      <wps:cNvPr id="62" name="Oval 62"/>
                      <wps:cNvSpPr/>
                      <wps:spPr>
                        <a:xfrm>
                          <a:off x="0" y="50242"/>
                          <a:ext cx="1014730" cy="913130"/>
                        </a:xfrm>
                        <a:prstGeom prst="ellips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noFill/>
                        </a:ln>
                        <a:scene3d>
                          <a:camera prst="perspectiveContrastingRightFacing"/>
                          <a:lightRig rig="twoPt" dir="t"/>
                        </a:scene3d>
                        <a:sp3d>
                          <a:bevelT w="101600" prst="riblet"/>
                        </a:sp3d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  <wp14:sizeRelH relativeFrom="margin">
                <wp14:pctWidth>50000</wp14:pctWidth>
              </wp14:sizeRelH>
              <wp14:sizeRelV relativeFrom="topMargin">
                <wp14:pctHeight>100000</wp14:pctHeight>
              </wp14:sizeRelV>
            </wp:anchor>
          </w:drawing>
        </mc:Choice>
        <mc:Fallback>
          <w:pict>
            <v:group w14:anchorId="17156A11" id="Group 63" o:spid="_x0000_s1026" style="position:absolute;margin-left:0;margin-top:0;width:318.25pt;height:79pt;z-index:251659264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8KSzjgQAAGEPAAAOAAAAZHJzL2Uyb0RvYy54bWzsV1tP4zgUfl9p/4OV96FJmxZaUUaIWdBK&#10;7ICAXZ5N4iSWHNtruxf21+9nO0krYG4MM0/Th9SXY/ucz8ffOef4/bYVZM2M5Uouk+wgTQiThSq5&#10;rJfJ33fn744SYh2VJRVKsmXyyGzy/uT33443esHGqlGiZIZgE2kXG71MGuf0YjSyRcNaag+UZhKT&#10;lTItdeiaelQausHurRiN03Q22ihTaqMKZi1GP8TJ5CTsX1WscFdVZZkjYplANxe+Jnwf/Hd0ckwX&#10;taG64UWnBn2FFi3lEocOW32gjpKV4c+2anlhlFWVOyhUO1JVxQsWbIA1WfrEmgujVjrYUi82tR5g&#10;ArRPcHr1tsXH9bUhvFwms0lCJG1xR+FYgj7A2eh6AZkLo2/1tekG6tjz9m4r0/p/WEK2AdbHAVa2&#10;daTAYJ7m2XQC9AvMZWk6mc7yCHzR4HZ2697laTYf91N/fGH5qD995JUcdNpoeJLdgWW/D6zbhmoW&#10;7sB6IDqwpoc9WLfOUF43jpwpKeFuyhBMBqDCgjPZwWYXFgj2mJFKcP0P4Ahe06GXT+fpUZ4QwLQP&#10;RY/jZHo0zvNZxHE+m6fTcEUDDnShjXUXTLXEN5aJ4NKrThd0fWkddIJoL+KH4fflORciKLNMJF5o&#10;Qoxy99w1we5ev9pifVhhiVZANA3bhlfKzoQha4r3RYuCSRctEqv2L1XG8VmKX7xVDPsbD+L5bthx&#10;6TpZLxxlLXXDFtmwB0wYjg0G1XZfsWnY1I8MUm+nXJ5j++9QDr7vrftB2o0nr9EOeA63q6lriP8s&#10;k4KbQkTnqeAhd+oGvu1JNALsibRrgUy7Fgg1tjpPw0beVMcF86vjaO9zfkbIAIUSPLjhG+LyzEvs&#10;7hDMdQfDXdmk9McWID5Du2ejjGtUFxPOjZKu813/zG94TQwHAbvGMHbtElJyIBBEwqHDllZPSm+y&#10;56P48kPLPQoWbb9hFYgX/BhfzCf8NaImJKT9Mn8Zw8LPulJc2Mn7pSyEw29ZPKwIJwOIYXHLpTIv&#10;ObLbZh4tQFFF+R6BaLeH4EGVj4ETAzSgah9lfgJnz8Y9Z1+Bfwi6UNSfDFofglt/V31seRLZpuk4&#10;7wJUz8pZmuWHfXSbZ5MM7YhAHxt7yu3ciwlQv/1FzG8YNX4Rc0+9b0nMUvnkIPry5xlTowDQoHi+&#10;ZkiDkBFZRPQaXNm4c1qg+SKDbtSX+NPzzgNbM3FHNj519GlA0j0jwx8EG3gXZNszTciyPsW145dI&#10;az9xsQ0tWUwZ9oPZwM6B216m46/g8Z9NxwLp2FfRsU/7QvpudXHOkT1e4g6vqUExBMRR4LkrfCqh&#10;cA+qayWkUea/l8a9PNJuzCZkg+Jqmdh/V9QguxR/SqSP8yzPfTUWOvn0cIyO2Z952J+Rq/ZMIfXI&#10;UErqIjS9vBN9szKqvUcdeOpPxRSVBc5GEuNM3zlz6GMKlWTBTk9DGxUYkp1LeauLPgh7qr7b3lOj&#10;Oy9zoPmPqi8CnmXSUda7qVSnK6cqHtKcXZjrnDJEuVCnoI4LLtTlF75Q3O8H+V1lfPI/AAAA//8D&#10;AFBLAwQUAAYACAAAACEAx59TrtgAAAAFAQAADwAAAGRycy9kb3ducmV2LnhtbEyPQUvEMBCF74L/&#10;IYzgzU2tbFlq00UXPHmyevE2bWabYjMpTXZb/fWOXvTyYHiP976p9qsf1ZnmOAQ2cLvJQBF3wQ7c&#10;G3h7fbrZgYoJ2eIYmAx8UoR9fXlRYWnDwi90blKvpIRjiQZcSlOpdewceYybMBGLdwyzxyTn3Gs7&#10;4yLlftR5lhXa48Cy4HCig6Puozl5A+3jimvroj7Ydy6eccmPzVduzPXV+nAPKtGa/sLwgy/oUAtT&#10;G05soxoNyCPpV8Ur7ootqFZC210Guq70f/r6GwAA//8DAFBLAQItABQABgAIAAAAIQC2gziS/gAA&#10;AOEBAAATAAAAAAAAAAAAAAAAAAAAAABbQ29udGVudF9UeXBlc10ueG1sUEsBAi0AFAAGAAgAAAAh&#10;ADj9If/WAAAAlAEAAAsAAAAAAAAAAAAAAAAALwEAAF9yZWxzLy5yZWxzUEsBAi0AFAAGAAgAAAAh&#10;AJbwpLOOBAAAYQ8AAA4AAAAAAAAAAAAAAAAALgIAAGRycy9lMm9Eb2MueG1sUEsBAi0AFAAGAAgA&#10;AAAhAMefU67YAAAABQEAAA8AAAAAAAAAAAAAAAAA6AYAAGRycy9kb3ducmV2LnhtbFBLBQYAAAAA&#10;BAAEAPMAAADtBwAAAAA=&#10;">
              <v:line id="Straight Connector 57" o:spid="_x0000_s1027" style="position:absolute;flip:y;visibility:visible;mso-wrap-style:square" from="4590,-401" to="40415,928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/ccETxQAAANsAAAAPAAAAZHJzL2Rvd25yZXYueG1sRI9Ba8JA&#10;FITvhf6H5RW8lLqJWFujq5Si2IuHaH/AI/uSDc2+DdltEv+9Kwgeh5n5hllvR9uInjpfO1aQThMQ&#10;xIXTNVcKfs/7t08QPiBrbByTggt52G6en9aYaTdwTv0pVCJC2GeowITQZlL6wpBFP3UtcfRK11kM&#10;UXaV1B0OEW4bOUuShbRYc1ww2NK3oeLv9G8V1P2QHk01280v+9f8mC7KfHkolZq8jF8rEIHG8Ajf&#10;2z9awfsH3L7EHyA3VwAAAP//AwBQSwECLQAUAAYACAAAACEA2+H2y+4AAACFAQAAEwAAAAAAAAAA&#10;AAAAAAAAAAAAW0NvbnRlbnRfVHlwZXNdLnhtbFBLAQItABQABgAIAAAAIQBa9CxbvwAAABUBAAAL&#10;AAAAAAAAAAAAAAAAAB8BAABfcmVscy8ucmVsc1BLAQItABQABgAIAAAAIQB/ccETxQAAANsAAAAP&#10;AAAAAAAAAAAAAAAAAAcCAABkcnMvZG93bnJldi54bWxQSwUGAAAAAAMAAwC3AAAA+QIAAAAA&#10;" filled="t" fillcolor="#8eaadb [1940]" strokecolor="#8eaadb [1940]" strokeweight=".5pt">
                <v:fill color2="#8eaadb [1940]" rotate="t" focusposition=".5,.5" focussize="" colors="0 #b3c8f5;.5 #cfdcf8;1 #e7edfb" focus="100%" type="gradientRadial"/>
                <v:stroke joinstyle="miter"/>
              </v:line>
              <v:oval id="Oval 62" o:spid="_x0000_s1028" style="position:absolute;top:502;width:10147;height:913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s1aOxAAAANsAAAAPAAAAZHJzL2Rvd25yZXYueG1sRI9Pi8Iw&#10;FMTvC36H8ARva2oPRapR/IPgIgtu9eLt0TzbYvNSkqzWb28WhD0OM/MbZr7sTSvu5HxjWcFknIAg&#10;Lq1uuFJwPu0+pyB8QNbYWiYFT/KwXAw+5phr++AfuhehEhHCPkcFdQhdLqUvazLox7Yjjt7VOoMh&#10;SldJ7fAR4aaVaZJk0mDDcaHGjjY1lbfi1yhIj+vL1p3TbJdc9qfJ4Wv6XRSlUqNhv5qBCNSH//C7&#10;vdcKshT+vsQfIBcvAAAA//8DAFBLAQItABQABgAIAAAAIQDb4fbL7gAAAIUBAAATAAAAAAAAAAAA&#10;AAAAAAAAAABbQ29udGVudF9UeXBlc10ueG1sUEsBAi0AFAAGAAgAAAAhAFr0LFu/AAAAFQEAAAsA&#10;AAAAAAAAAAAAAAAAHwEAAF9yZWxzLy5yZWxzUEsBAi0AFAAGAAgAAAAhAAazVo7EAAAA2wAAAA8A&#10;AAAAAAAAAAAAAAAABwIAAGRycy9kb3ducmV2LnhtbFBLBQYAAAAAAwADALcAAAD4AgAAAAA=&#10;" fillcolor="#8eaadb [1940]" stroked="f" strokeweight="1pt">
                <v:fill color2="#8eaadb [1940]" rotate="t" focusposition=".5,.5" focussize="" colors="0 #b3c8f5;.5 #cfdcf8;1 #e7edfb" focus="100%" type="gradientRadial"/>
                <v:stroke joinstyle="miter"/>
              </v:oval>
              <w10:wrap anchorx="page" anchory="page"/>
            </v:group>
          </w:pict>
        </mc:Fallback>
      </mc:AlternateContent>
    </w:r>
    <w:sdt>
      <w:sdtPr>
        <w:rPr>
          <w:rFonts w:asciiTheme="majorHAnsi" w:hAnsiTheme="majorHAnsi"/>
          <w:b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EndPr/>
      <w:sdtContent>
        <w:r w:rsidRPr="00192074">
          <w:rPr>
            <w:rFonts w:asciiTheme="majorHAnsi" w:hAnsiTheme="majorHAnsi"/>
            <w:b/>
            <w:sz w:val="36"/>
            <w:szCs w:val="36"/>
          </w:rPr>
          <w:t>Poznámky MÚJ</w:t>
        </w:r>
      </w:sdtContent>
    </w:sdt>
    <w:r w:rsidR="00D4494D">
      <w:rPr>
        <w:rFonts w:asciiTheme="majorHAnsi" w:hAnsiTheme="majorHAnsi"/>
        <w:b/>
        <w:sz w:val="36"/>
        <w:szCs w:val="36"/>
      </w:rPr>
      <w:t xml:space="preserve"> 3 - 01</w:t>
    </w:r>
  </w:p>
  <w:p w14:paraId="0B0C09B0" w14:textId="77777777" w:rsidR="00192074" w:rsidRDefault="00192074" w:rsidP="00192074">
    <w:pPr>
      <w:pStyle w:val="Hlavika"/>
      <w:rPr>
        <w:rFonts w:asciiTheme="majorHAnsi" w:hAnsiTheme="majorHAnsi"/>
      </w:rPr>
    </w:pPr>
  </w:p>
  <w:p w14:paraId="67DC4BD3" w14:textId="77777777" w:rsidR="00192074" w:rsidRDefault="00192074" w:rsidP="00192074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 w:firstRow="1" w:lastRow="0" w:firstColumn="1" w:lastColumn="0" w:noHBand="0" w:noVBand="1"/>
    </w:tblPr>
    <w:tblGrid>
      <w:gridCol w:w="635"/>
      <w:gridCol w:w="332"/>
      <w:gridCol w:w="332"/>
      <w:gridCol w:w="332"/>
      <w:gridCol w:w="332"/>
      <w:gridCol w:w="332"/>
      <w:gridCol w:w="332"/>
      <w:gridCol w:w="332"/>
      <w:gridCol w:w="332"/>
      <w:gridCol w:w="866"/>
      <w:gridCol w:w="635"/>
      <w:gridCol w:w="332"/>
      <w:gridCol w:w="332"/>
      <w:gridCol w:w="332"/>
      <w:gridCol w:w="332"/>
      <w:gridCol w:w="332"/>
      <w:gridCol w:w="332"/>
      <w:gridCol w:w="332"/>
      <w:gridCol w:w="332"/>
      <w:gridCol w:w="332"/>
      <w:gridCol w:w="332"/>
    </w:tblGrid>
    <w:tr w:rsidR="00192074" w14:paraId="3F17F7F0" w14:textId="77777777" w:rsidTr="00045D9F">
      <w:trPr>
        <w:trHeight w:val="382"/>
        <w:jc w:val="right"/>
      </w:trPr>
      <w:tc>
        <w:tcPr>
          <w:tcW w:w="635" w:type="dxa"/>
          <w:vAlign w:val="center"/>
        </w:tcPr>
        <w:p w14:paraId="0955C1E9" w14:textId="77777777" w:rsidR="00192074" w:rsidRPr="006A6ED1" w:rsidRDefault="00192074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332" w:type="dxa"/>
          <w:vAlign w:val="center"/>
        </w:tcPr>
        <w:p w14:paraId="39FCBC78" w14:textId="77777777" w:rsidR="00192074" w:rsidRPr="006A6ED1" w:rsidRDefault="00192074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332" w:type="dxa"/>
          <w:vAlign w:val="center"/>
        </w:tcPr>
        <w:p w14:paraId="2FD7239B" w14:textId="77777777" w:rsidR="00192074" w:rsidRPr="006A6ED1" w:rsidRDefault="00192074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332" w:type="dxa"/>
          <w:vAlign w:val="center"/>
        </w:tcPr>
        <w:p w14:paraId="6B7DCD3E" w14:textId="77777777" w:rsidR="00192074" w:rsidRPr="006A6ED1" w:rsidRDefault="00192074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332" w:type="dxa"/>
          <w:vAlign w:val="center"/>
        </w:tcPr>
        <w:p w14:paraId="5437BEDB" w14:textId="77777777" w:rsidR="00192074" w:rsidRPr="006A6ED1" w:rsidRDefault="00192074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332" w:type="dxa"/>
          <w:vAlign w:val="center"/>
        </w:tcPr>
        <w:p w14:paraId="79A1B0CC" w14:textId="77777777" w:rsidR="00192074" w:rsidRPr="006A6ED1" w:rsidRDefault="00192074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332" w:type="dxa"/>
          <w:vAlign w:val="center"/>
        </w:tcPr>
        <w:p w14:paraId="4B0868C3" w14:textId="77777777" w:rsidR="00192074" w:rsidRPr="006A6ED1" w:rsidRDefault="00192074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332" w:type="dxa"/>
          <w:vAlign w:val="center"/>
        </w:tcPr>
        <w:p w14:paraId="1CA7D4FD" w14:textId="77777777" w:rsidR="00192074" w:rsidRPr="006A6ED1" w:rsidRDefault="00192074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332" w:type="dxa"/>
          <w:vAlign w:val="center"/>
        </w:tcPr>
        <w:p w14:paraId="6DA2A0B6" w14:textId="77777777" w:rsidR="00192074" w:rsidRPr="006A6ED1" w:rsidRDefault="00192074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866" w:type="dxa"/>
          <w:tcBorders>
            <w:top w:val="nil"/>
            <w:bottom w:val="nil"/>
          </w:tcBorders>
          <w:vAlign w:val="center"/>
        </w:tcPr>
        <w:p w14:paraId="12FC45CE" w14:textId="77777777" w:rsidR="00192074" w:rsidRPr="006A6ED1" w:rsidRDefault="00192074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35" w:type="dxa"/>
          <w:vAlign w:val="center"/>
        </w:tcPr>
        <w:p w14:paraId="730EA1A9" w14:textId="77777777" w:rsidR="00192074" w:rsidRPr="006A6ED1" w:rsidRDefault="00192074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332" w:type="dxa"/>
          <w:vAlign w:val="center"/>
        </w:tcPr>
        <w:p w14:paraId="135CC895" w14:textId="77777777" w:rsidR="00192074" w:rsidRPr="006A6ED1" w:rsidRDefault="00192074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332" w:type="dxa"/>
          <w:vAlign w:val="center"/>
        </w:tcPr>
        <w:p w14:paraId="6987BD17" w14:textId="77777777" w:rsidR="00192074" w:rsidRPr="006A6ED1" w:rsidRDefault="00192074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332" w:type="dxa"/>
          <w:vAlign w:val="center"/>
        </w:tcPr>
        <w:p w14:paraId="176E07B4" w14:textId="77777777" w:rsidR="00192074" w:rsidRPr="006A6ED1" w:rsidRDefault="00192074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332" w:type="dxa"/>
          <w:vAlign w:val="center"/>
        </w:tcPr>
        <w:p w14:paraId="732A50E4" w14:textId="77777777" w:rsidR="00192074" w:rsidRPr="006A6ED1" w:rsidRDefault="00192074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332" w:type="dxa"/>
          <w:vAlign w:val="center"/>
        </w:tcPr>
        <w:p w14:paraId="396E2620" w14:textId="77777777" w:rsidR="00192074" w:rsidRPr="006A6ED1" w:rsidRDefault="00192074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332" w:type="dxa"/>
          <w:vAlign w:val="center"/>
        </w:tcPr>
        <w:p w14:paraId="51B977A9" w14:textId="77777777" w:rsidR="00192074" w:rsidRPr="006A6ED1" w:rsidRDefault="00192074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332" w:type="dxa"/>
          <w:vAlign w:val="center"/>
        </w:tcPr>
        <w:p w14:paraId="533066A9" w14:textId="77777777" w:rsidR="00192074" w:rsidRPr="006A6ED1" w:rsidRDefault="00192074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332" w:type="dxa"/>
          <w:vAlign w:val="center"/>
        </w:tcPr>
        <w:p w14:paraId="02DF3A30" w14:textId="77777777" w:rsidR="00192074" w:rsidRPr="006A6ED1" w:rsidRDefault="00192074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332" w:type="dxa"/>
          <w:vAlign w:val="center"/>
        </w:tcPr>
        <w:p w14:paraId="48C80047" w14:textId="77777777" w:rsidR="00192074" w:rsidRPr="006A6ED1" w:rsidRDefault="00192074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332" w:type="dxa"/>
          <w:vAlign w:val="center"/>
        </w:tcPr>
        <w:p w14:paraId="3BBF9084" w14:textId="77777777" w:rsidR="00192074" w:rsidRPr="006A6ED1" w:rsidRDefault="00192074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</w:tr>
  </w:tbl>
  <w:p w14:paraId="437439A5" w14:textId="77777777" w:rsidR="00192074" w:rsidRDefault="00192074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E0B9F"/>
    <w:rsid w:val="00192074"/>
    <w:rsid w:val="0026395E"/>
    <w:rsid w:val="00465332"/>
    <w:rsid w:val="005D505D"/>
    <w:rsid w:val="005F4B72"/>
    <w:rsid w:val="006F4673"/>
    <w:rsid w:val="00CE0B9F"/>
    <w:rsid w:val="00D4494D"/>
    <w:rsid w:val="00F554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4307515"/>
  <w15:chartTrackingRefBased/>
  <w15:docId w15:val="{EF177329-F1F2-4492-B321-93D4004EC4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92074"/>
    <w:pPr>
      <w:spacing w:after="200" w:line="276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19207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192074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19207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192074"/>
  </w:style>
  <w:style w:type="paragraph" w:styleId="Pta">
    <w:name w:val="footer"/>
    <w:basedOn w:val="Normlny"/>
    <w:link w:val="PtaChar"/>
    <w:uiPriority w:val="99"/>
    <w:unhideWhenUsed/>
    <w:rsid w:val="0019207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9207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1</Pages>
  <Words>493</Words>
  <Characters>2814</Characters>
  <Application>Microsoft Office Word</Application>
  <DocSecurity>0</DocSecurity>
  <Lines>23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MÚJ</dc:title>
  <dc:subject/>
  <dc:creator>Daniela Kolenová</dc:creator>
  <cp:keywords/>
  <dc:description/>
  <cp:lastModifiedBy>Marián Koleno</cp:lastModifiedBy>
  <cp:revision>5</cp:revision>
  <dcterms:created xsi:type="dcterms:W3CDTF">2019-03-20T08:20:00Z</dcterms:created>
  <dcterms:modified xsi:type="dcterms:W3CDTF">2020-03-12T08:39:00Z</dcterms:modified>
</cp:coreProperties>
</file>