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-7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58" w:type="dxa"/>
          <w:bottom w:w="0" w:type="dxa"/>
          <w:right w:w="108" w:type="dxa"/>
        </w:tblCellMar>
      </w:tblPr>
      <w:tblGrid>
        <w:gridCol w:w="2090"/>
        <w:gridCol w:w="7037"/>
      </w:tblGrid>
      <w:tr>
        <w:trPr>
          <w:trHeight w:val="110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Drevo-Lučatín,sro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Lazovná 18, 974 01 Banská Bystrica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  <w:tr>
        <w:trPr>
          <w:trHeight w:val="390" w:hRule="atLeast"/>
          <w:cantSplit w:val="false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5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19.3.2011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20" w:after="14"/>
        <w:rPr>
          <w:b w:val="false"/>
          <w:bCs w:val="false"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Účtovná jednotka sa v prevážnej činnosti zaoberá poskytovaním služieb – prenájom nehnuteľností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 w:val="false"/>
          <w:bCs w:val="false"/>
          <w:sz w:val="20"/>
          <w:szCs w:val="20"/>
        </w:rPr>
        <w:t xml:space="preserve">  </w:t>
      </w:r>
      <w:r>
        <w:rPr>
          <w:b w:val="false"/>
          <w:bCs w:val="false"/>
          <w:sz w:val="20"/>
          <w:szCs w:val="20"/>
        </w:rPr>
        <w:t>a hnuteľných vecí.</w:t>
      </w: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20" w:after="200"/>
        <w:rPr/>
      </w:pPr>
      <w:r>
        <w:rPr/>
      </w:r>
    </w:p>
    <w:tbl>
      <w:tblPr>
        <w:jc w:val="left"/>
        <w:tblInd w:w="7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68" w:type="dxa"/>
          <w:bottom w:w="0" w:type="dxa"/>
          <w:right w:w="108" w:type="dxa"/>
        </w:tblCellMar>
      </w:tblPr>
      <w:tblGrid>
        <w:gridCol w:w="567"/>
        <w:gridCol w:w="3819"/>
        <w:gridCol w:w="2245"/>
        <w:gridCol w:w="565"/>
        <w:gridCol w:w="705"/>
        <w:gridCol w:w="843"/>
        <w:gridCol w:w="385"/>
      </w:tblGrid>
      <w:tr>
        <w:trPr>
          <w:trHeight w:val="340" w:hRule="exact"/>
          <w:cantSplit w:val="false"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9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3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7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4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25.03.2019</w:t>
            </w:r>
          </w:p>
        </w:tc>
        <w:tc>
          <w:tcPr>
            <w:tcW w:w="12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6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85"/>
        <w:gridCol w:w="6519"/>
        <w:gridCol w:w="818"/>
        <w:gridCol w:w="285"/>
        <w:gridCol w:w="573"/>
        <w:gridCol w:w="370"/>
      </w:tblGrid>
      <w:tr>
        <w:trPr>
          <w:trHeight w:val="340" w:hRule="exact"/>
          <w:cantSplit w:val="false"/>
        </w:trPr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578"/>
        <w:gridCol w:w="8554"/>
      </w:tblGrid>
      <w:tr>
        <w:trPr>
          <w:trHeight w:val="395" w:hRule="exact"/>
          <w:cantSplit w:val="false"/>
        </w:trPr>
        <w:tc>
          <w:tcPr>
            <w:tcW w:w="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912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8543"/>
        <w:gridCol w:w="585"/>
      </w:tblGrid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21 % po úpravách na daňové účely podľa zákona o daniach z príjmov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7066"/>
        <w:gridCol w:w="1536"/>
        <w:gridCol w:w="4"/>
        <w:gridCol w:w="52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jc w:val="both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tbl>
      <w:tblPr>
        <w:jc w:val="left"/>
        <w:tblInd w:w="77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3" w:type="dxa"/>
          <w:bottom w:w="0" w:type="dxa"/>
          <w:right w:w="108" w:type="dxa"/>
        </w:tblCellMar>
      </w:tblPr>
      <w:tblGrid>
        <w:gridCol w:w="3105"/>
        <w:gridCol w:w="975"/>
        <w:gridCol w:w="1162"/>
        <w:gridCol w:w="1179"/>
        <w:gridCol w:w="979"/>
        <w:gridCol w:w="1733"/>
      </w:tblGrid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Strojné zariadenia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Výrobné haly- budovy</w:t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3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/>
      </w:pPr>
      <w:r>
        <w:rPr/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152955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64200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32100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185055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218468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2805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136389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139194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8221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9131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3715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144610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148325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16566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47174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14478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40445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70143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134955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168368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18000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18193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152955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186368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1895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126563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128458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9826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10736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2805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136389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139194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16298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8392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39910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15220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15388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16566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47174</w:t>
            </w:r>
          </w:p>
        </w:tc>
      </w:tr>
    </w:tbl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/>
      </w:pPr>
      <w:r>
        <w:rPr/>
      </w:r>
    </w:p>
    <w:p>
      <w:pPr>
        <w:pStyle w:val="Normal"/>
        <w:spacing w:lineRule="auto" w:line="240" w:before="0" w:after="17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i) až l) dlhodobý finančný majetok za bežné účtovné obdobie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163"/>
        <w:gridCol w:w="864"/>
        <w:gridCol w:w="864"/>
        <w:gridCol w:w="863"/>
        <w:gridCol w:w="864"/>
        <w:gridCol w:w="864"/>
        <w:gridCol w:w="863"/>
        <w:gridCol w:w="864"/>
        <w:gridCol w:w="864"/>
        <w:gridCol w:w="998"/>
      </w:tblGrid>
      <w:tr>
        <w:trPr>
          <w:trHeight w:val="277" w:hRule="atLeast"/>
          <w:cantSplit w:val="false"/>
        </w:trPr>
        <w:tc>
          <w:tcPr>
            <w:tcW w:w="11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790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  <w:cantSplit w:val="false"/>
        </w:trPr>
        <w:tc>
          <w:tcPr>
            <w:tcW w:w="11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Podielové CP a podiely v DÚJ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Podielové </w:t>
              <w:br/>
              <w:t xml:space="preserve">CP a podiely </w:t>
              <w:br/>
              <w:t>v spoločnosti s podstatným vplyvom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dlhodobé CP a podiely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Pôžičky ÚJ </w:t>
              <w:br/>
              <w:t>v kons. celku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DFM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Pôžičky s  dobou splatnosti najviac jeden rok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Obstarávaný </w:t>
              <w:br/>
              <w:t>DFM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 </w:t>
            </w:r>
          </w:p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DFM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</w:t>
            </w:r>
          </w:p>
        </w:tc>
      </w:tr>
      <w:tr>
        <w:trPr>
          <w:trHeight w:val="195" w:hRule="atLeast"/>
          <w:cantSplit w:val="false"/>
        </w:trPr>
        <w:tc>
          <w:tcPr>
            <w:tcW w:w="11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a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c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d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e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g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h</w:t>
            </w:r>
          </w:p>
        </w:tc>
        <w:tc>
          <w:tcPr>
            <w:tcW w:w="86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i</w:t>
            </w:r>
          </w:p>
        </w:tc>
        <w:tc>
          <w:tcPr>
            <w:tcW w:w="99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j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 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38000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4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</w:tr>
      <w:tr>
        <w:trPr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Účtovná hodnota </w:t>
            </w:r>
          </w:p>
        </w:tc>
      </w:tr>
      <w:tr>
        <w:trPr>
          <w:trHeight w:val="278" w:hRule="atLeast"/>
          <w:cantSplit w:val="false"/>
        </w:trPr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  <w:tc>
          <w:tcPr>
            <w:tcW w:w="8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18000</w:t>
            </w:r>
          </w:p>
        </w:tc>
      </w:tr>
      <w:tr>
        <w:trPr>
          <w:trHeight w:val="290" w:hRule="atLeast"/>
          <w:cantSplit w:val="false"/>
        </w:trPr>
        <w:tc>
          <w:tcPr>
            <w:tcW w:w="11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 konci účtovného obdobia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  <w:tc>
          <w:tcPr>
            <w:tcW w:w="8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0</w:t>
            </w:r>
          </w:p>
        </w:tc>
        <w:tc>
          <w:tcPr>
            <w:tcW w:w="99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56000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2506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3780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6286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2506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3780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6286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14564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14570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14698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14631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tbl>
      <w:tblPr>
        <w:jc w:val="left"/>
        <w:tblInd w:w="-5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4526"/>
        <w:gridCol w:w="2210"/>
        <w:gridCol w:w="2788"/>
      </w:tblGrid>
      <w:tr>
        <w:trPr>
          <w:cantSplit w:val="false"/>
        </w:trPr>
        <w:tc>
          <w:tcPr>
            <w:tcW w:w="45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Text</w:t>
            </w:r>
          </w:p>
        </w:tc>
        <w:tc>
          <w:tcPr>
            <w:tcW w:w="49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 EUR</w:t>
            </w:r>
          </w:p>
        </w:tc>
      </w:tr>
      <w:tr>
        <w:trPr>
          <w:cantSplit w:val="false"/>
        </w:trPr>
        <w:tc>
          <w:tcPr>
            <w:tcW w:w="452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BO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</w:t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Základné imanie celkom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Počet akcií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5 000</w:t>
            </w:r>
          </w:p>
        </w:tc>
      </w:tr>
      <w:tr>
        <w:trPr>
          <w:cantSplit w:val="false"/>
        </w:trPr>
        <w:tc>
          <w:tcPr>
            <w:tcW w:w="4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2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  <w:tc>
          <w:tcPr>
            <w:tcW w:w="2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114620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101620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3827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2843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2827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1843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22762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19426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23783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20447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22762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19426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23783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20447</w:t>
            </w:r>
          </w:p>
        </w:tc>
      </w:tr>
    </w:tbl>
    <w:p>
      <w:pPr>
        <w:pStyle w:val="Default"/>
        <w:spacing w:before="600" w:after="200"/>
        <w:rPr>
          <w:b w:val="false"/>
          <w:bCs w:val="false"/>
          <w:sz w:val="20"/>
          <w:szCs w:val="20"/>
        </w:rPr>
      </w:pPr>
      <w:r>
        <w:rPr>
          <w:b/>
          <w:bCs/>
        </w:rPr>
        <w:t xml:space="preserve">J. Informácie o daniach z príjmov </w:t>
      </w:r>
      <w:r>
        <w:rPr>
          <w:b/>
          <w:bCs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>f ) a g) o daniach z príjmov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11421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6724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235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181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11475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1374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1</w:t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15480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14386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6445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9011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14025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15480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-6445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1455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5350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12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7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