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pPr>
      <w:r>
        <w:rPr/>
      </w:r>
    </w:p>
    <w:p>
      <w:pPr>
        <w:pStyle w:val="Normal"/>
        <w:jc w:val="left"/>
        <w:rPr>
          <w:b/>
          <w:b/>
          <w:bCs/>
          <w:highlight w:val="green"/>
        </w:rPr>
      </w:pPr>
      <w:r>
        <w:rPr>
          <w:b/>
          <w:bCs/>
          <w:shd w:fill="99FF66" w:val="clear"/>
        </w:rPr>
        <w:t>–</w:t>
      </w:r>
      <w:r>
        <w:rPr>
          <w:b/>
          <w:bCs/>
          <w:shd w:fill="99FF66" w:val="clear"/>
        </w:rPr>
        <w:t>-------------------------------------------------------------------------------------------------------------</w:t>
      </w:r>
    </w:p>
    <w:p>
      <w:pPr>
        <w:pStyle w:val="Normal"/>
        <w:jc w:val="left"/>
        <w:rPr>
          <w:b/>
          <w:b/>
          <w:bCs/>
          <w:u w:val="single"/>
        </w:rPr>
      </w:pPr>
      <w:r>
        <w:rPr>
          <w:b/>
          <w:bCs/>
          <w:u w:val="single"/>
          <w:shd w:fill="99FF66" w:val="clear"/>
        </w:rPr>
        <w:t>Poznámky Úč PODV 3-01                               IČO: 36370754                             DIČ: 2020983580</w:t>
      </w:r>
      <w:r>
        <w:rPr>
          <w:b/>
          <w:bCs/>
          <w:u w:val="single"/>
        </w:rPr>
        <w:t xml:space="preserve">     </w:t>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b/>
          <w:b/>
          <w:bCs/>
          <w:sz w:val="26"/>
          <w:szCs w:val="26"/>
          <w:u w:val="none"/>
        </w:rPr>
      </w:pPr>
      <w:r>
        <w:rPr>
          <w:b/>
          <w:bCs/>
          <w:sz w:val="26"/>
          <w:szCs w:val="26"/>
          <w:u w:val="none"/>
        </w:rPr>
        <w:t>Poznámky individuálnej účtovnej závierky</w:t>
      </w:r>
    </w:p>
    <w:p>
      <w:pPr>
        <w:pStyle w:val="Normal"/>
        <w:jc w:val="left"/>
        <w:rPr>
          <w:b/>
          <w:b/>
          <w:bCs/>
          <w:sz w:val="26"/>
          <w:szCs w:val="26"/>
          <w:u w:val="none"/>
        </w:rPr>
      </w:pPr>
      <w:r>
        <w:rPr>
          <w:b/>
          <w:bCs/>
          <w:sz w:val="26"/>
          <w:szCs w:val="26"/>
          <w:u w:val="none"/>
        </w:rPr>
      </w:r>
    </w:p>
    <w:p>
      <w:pPr>
        <w:pStyle w:val="Normal"/>
        <w:jc w:val="left"/>
        <w:rPr/>
      </w:pPr>
      <w:r>
        <w:rPr>
          <w:b w:val="false"/>
          <w:bCs w:val="false"/>
          <w:i/>
          <w:iCs/>
          <w:sz w:val="21"/>
          <w:szCs w:val="21"/>
          <w:u w:val="none"/>
        </w:rPr>
        <w:t>Zostavenej k 31. decembru 201</w:t>
      </w:r>
      <w:r>
        <w:rPr>
          <w:b w:val="false"/>
          <w:bCs w:val="false"/>
          <w:i/>
          <w:iCs/>
          <w:sz w:val="21"/>
          <w:szCs w:val="21"/>
          <w:u w:val="none"/>
        </w:rPr>
        <w:t>9</w:t>
      </w:r>
    </w:p>
    <w:p>
      <w:pPr>
        <w:pStyle w:val="Normal"/>
        <w:jc w:val="left"/>
        <w:rPr>
          <w:b w:val="false"/>
          <w:b w:val="false"/>
          <w:bCs w:val="false"/>
          <w:i/>
          <w:i/>
          <w:iCs/>
          <w:sz w:val="21"/>
          <w:szCs w:val="21"/>
          <w:u w:val="none"/>
        </w:rPr>
      </w:pPr>
      <w:r>
        <w:rPr>
          <w:b w:val="false"/>
          <w:bCs w:val="false"/>
          <w:i/>
          <w:iCs/>
          <w:sz w:val="21"/>
          <w:szCs w:val="21"/>
          <w:u w:val="none"/>
        </w:rPr>
        <w:t>(údaje v tabuľkách sú uvedené v celých eurách, ak nie je uvedené inak)</w:t>
      </w:r>
    </w:p>
    <w:p>
      <w:pPr>
        <w:pStyle w:val="Normal"/>
        <w:jc w:val="left"/>
        <w:rPr>
          <w:b w:val="false"/>
          <w:b w:val="false"/>
          <w:bCs w:val="false"/>
          <w:i/>
          <w:i/>
          <w:iCs/>
          <w:u w:val="single"/>
        </w:rPr>
      </w:pPr>
      <w:r>
        <w:rPr>
          <w:b w:val="false"/>
          <w:bCs w:val="false"/>
          <w:i/>
          <w:iCs/>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t>Poznámka:</w:t>
      </w:r>
    </w:p>
    <w:p>
      <w:pPr>
        <w:pStyle w:val="Normal"/>
        <w:rPr>
          <w:sz w:val="14"/>
          <w:szCs w:val="14"/>
          <w:lang w:eastAsia="sk-SK"/>
        </w:rPr>
      </w:pPr>
      <w:r>
        <w:rPr>
          <w:sz w:val="14"/>
          <w:szCs w:val="14"/>
          <w:lang w:eastAsia="sk-SK"/>
        </w:rPr>
      </w:r>
    </w:p>
    <w:p>
      <w:pPr>
        <w:pStyle w:val="Normal"/>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rPr>
      </w:pPr>
      <w:r>
        <w:rPr>
          <w:sz w:val="14"/>
          <w:szCs w:val="14"/>
        </w:rPr>
      </w:r>
    </w:p>
    <w:p>
      <w:pPr>
        <w:pStyle w:val="Nadpis1"/>
        <w:numPr>
          <w:ilvl w:val="0"/>
          <w:numId w:val="1"/>
        </w:numPr>
        <w:rPr/>
      </w:pPr>
      <w:r>
        <w:rPr/>
        <w:t>VŠEOBECNÉ INFORMÁCIE</w:t>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adpis2"/>
        <w:numPr>
          <w:ilvl w:val="1"/>
          <w:numId w:val="1"/>
        </w:numPr>
        <w:rPr/>
      </w:pPr>
      <w:r>
        <w:rPr/>
        <w:t>Základné údaje o spoločnosti</w:t>
      </w:r>
    </w:p>
    <w:p>
      <w:pPr>
        <w:pStyle w:val="Normal"/>
        <w:rPr>
          <w:b/>
          <w:b/>
          <w:sz w:val="14"/>
          <w:szCs w:val="14"/>
          <w:u w:val="single"/>
          <w:lang w:eastAsia="sk-SK"/>
        </w:rPr>
      </w:pPr>
      <w:r>
        <w:rPr>
          <w:b/>
          <w:sz w:val="14"/>
          <w:szCs w:val="14"/>
          <w:u w:val="single"/>
          <w:lang w:eastAsia="sk-SK"/>
        </w:rPr>
      </w:r>
    </w:p>
    <w:tbl>
      <w:tblPr>
        <w:tblW w:w="9063" w:type="dxa"/>
        <w:jc w:val="left"/>
        <w:tblInd w:w="109" w:type="dxa"/>
        <w:tblCellMar>
          <w:top w:w="0" w:type="dxa"/>
          <w:left w:w="108" w:type="dxa"/>
          <w:bottom w:w="0" w:type="dxa"/>
          <w:right w:w="108" w:type="dxa"/>
        </w:tblCellMar>
      </w:tblPr>
      <w:tblGrid>
        <w:gridCol w:w="3961"/>
        <w:gridCol w:w="5101"/>
      </w:tblGrid>
      <w:tr>
        <w:trPr/>
        <w:tc>
          <w:tcPr>
            <w:tcW w:w="3961" w:type="dxa"/>
            <w:tcBorders>
              <w:top w:val="single" w:sz="8" w:space="0" w:color="00000A"/>
              <w:bottom w:val="dotted" w:sz="4" w:space="0" w:color="00000A"/>
            </w:tcBorders>
            <w:shd w:fill="FFFFFF" w:val="clear"/>
          </w:tcPr>
          <w:p>
            <w:pPr>
              <w:pStyle w:val="Normal"/>
              <w:rPr/>
            </w:pPr>
            <w:r>
              <w:rPr/>
            </w:r>
          </w:p>
          <w:p>
            <w:pPr>
              <w:pStyle w:val="Normal"/>
              <w:rPr>
                <w:b/>
                <w:b/>
                <w:sz w:val="15"/>
                <w:szCs w:val="15"/>
              </w:rPr>
            </w:pPr>
            <w:r>
              <w:rPr>
                <w:b/>
                <w:sz w:val="15"/>
                <w:szCs w:val="15"/>
              </w:rPr>
              <w:t>Obchodné meno a sídlo</w:t>
            </w:r>
          </w:p>
          <w:p>
            <w:pPr>
              <w:pStyle w:val="Normal"/>
              <w:rPr/>
            </w:pPr>
            <w:r>
              <w:rPr/>
            </w:r>
          </w:p>
          <w:p>
            <w:pPr>
              <w:pStyle w:val="Normal"/>
              <w:rPr/>
            </w:pPr>
            <w:r>
              <w:rPr/>
            </w:r>
          </w:p>
          <w:p>
            <w:pPr>
              <w:pStyle w:val="Normal"/>
              <w:rPr>
                <w:b/>
                <w:b/>
                <w:sz w:val="15"/>
                <w:szCs w:val="15"/>
              </w:rPr>
            </w:pPr>
            <w:r>
              <w:rPr>
                <w:b/>
                <w:sz w:val="15"/>
                <w:szCs w:val="15"/>
              </w:rPr>
              <w:t>Dátum vzniku podľa OR</w:t>
            </w:r>
          </w:p>
        </w:tc>
        <w:tc>
          <w:tcPr>
            <w:tcW w:w="5101" w:type="dxa"/>
            <w:tcBorders>
              <w:top w:val="single" w:sz="8" w:space="0" w:color="00000A"/>
              <w:bottom w:val="dotted" w:sz="4" w:space="0" w:color="00000A"/>
            </w:tcBorders>
            <w:shd w:fill="FFFFFF" w:val="clear"/>
          </w:tcPr>
          <w:p>
            <w:pPr>
              <w:pStyle w:val="Normal"/>
              <w:rPr>
                <w:b/>
                <w:b/>
                <w:bCs/>
                <w:color w:val="000000"/>
              </w:rPr>
            </w:pPr>
            <w:r>
              <w:rPr>
                <w:b/>
                <w:bCs/>
                <w:color w:val="000000"/>
              </w:rPr>
            </w:r>
          </w:p>
          <w:p>
            <w:pPr>
              <w:pStyle w:val="Normal"/>
              <w:rPr>
                <w:b/>
                <w:b/>
                <w:bCs/>
                <w:color w:val="000000"/>
                <w:sz w:val="15"/>
                <w:szCs w:val="15"/>
                <w:lang w:eastAsia="sk-SK"/>
              </w:rPr>
            </w:pPr>
            <w:r>
              <w:rPr>
                <w:b/>
                <w:bCs/>
                <w:color w:val="000000"/>
                <w:sz w:val="15"/>
                <w:szCs w:val="15"/>
                <w:lang w:eastAsia="sk-SK"/>
              </w:rPr>
              <w:t xml:space="preserve">PRO – SPORT, spol. s r.o.. </w:t>
            </w:r>
          </w:p>
          <w:p>
            <w:pPr>
              <w:pStyle w:val="Normal"/>
              <w:rPr>
                <w:b/>
                <w:b/>
                <w:bCs/>
                <w:color w:val="000000"/>
                <w:sz w:val="15"/>
                <w:szCs w:val="15"/>
              </w:rPr>
            </w:pPr>
            <w:r>
              <w:rPr>
                <w:b/>
                <w:bCs/>
                <w:color w:val="000000"/>
                <w:sz w:val="15"/>
                <w:szCs w:val="15"/>
              </w:rPr>
              <w:t>Západ 1145, 028 01 Trstená</w:t>
            </w:r>
          </w:p>
          <w:p>
            <w:pPr>
              <w:pStyle w:val="Normal"/>
              <w:rPr>
                <w:b/>
                <w:b/>
                <w:bCs/>
                <w:color w:val="000000"/>
              </w:rPr>
            </w:pPr>
            <w:r>
              <w:rPr>
                <w:b/>
                <w:bCs/>
                <w:color w:val="000000"/>
              </w:rPr>
            </w:r>
          </w:p>
          <w:p>
            <w:pPr>
              <w:pStyle w:val="Normal"/>
              <w:rPr>
                <w:b/>
                <w:b/>
                <w:bCs/>
                <w:color w:val="000000"/>
                <w:sz w:val="15"/>
                <w:szCs w:val="15"/>
              </w:rPr>
            </w:pPr>
            <w:r>
              <w:rPr>
                <w:b/>
                <w:bCs/>
                <w:color w:val="000000"/>
                <w:sz w:val="15"/>
                <w:szCs w:val="15"/>
              </w:rPr>
              <w:t>28.04.1998</w:t>
            </w:r>
          </w:p>
          <w:p>
            <w:pPr>
              <w:pStyle w:val="Normal"/>
              <w:rPr>
                <w:b/>
                <w:b/>
                <w:bCs/>
                <w:color w:val="000000"/>
              </w:rPr>
            </w:pPr>
            <w:r>
              <w:rPr>
                <w:b/>
                <w:bCs/>
                <w:color w:val="000000"/>
              </w:rPr>
            </w:r>
          </w:p>
        </w:tc>
      </w:tr>
      <w:tr>
        <w:trPr/>
        <w:tc>
          <w:tcPr>
            <w:tcW w:w="3961" w:type="dxa"/>
            <w:tcBorders>
              <w:top w:val="dotted" w:sz="4" w:space="0" w:color="00000A"/>
              <w:bottom w:val="single" w:sz="8" w:space="0" w:color="00000A"/>
            </w:tcBorders>
            <w:shd w:fill="FFFFFF" w:val="clear"/>
          </w:tcPr>
          <w:p>
            <w:pPr>
              <w:pStyle w:val="Normal"/>
              <w:rPr>
                <w:b/>
                <w:b/>
                <w:sz w:val="15"/>
                <w:szCs w:val="15"/>
              </w:rPr>
            </w:pPr>
            <w:r>
              <w:rPr>
                <w:b/>
                <w:sz w:val="15"/>
                <w:szCs w:val="15"/>
              </w:rPr>
              <w:t>Hospodárska činnosť</w:t>
            </w:r>
          </w:p>
        </w:tc>
        <w:tc>
          <w:tcPr>
            <w:tcW w:w="5101" w:type="dxa"/>
            <w:tcBorders>
              <w:top w:val="dotted" w:sz="4" w:space="0" w:color="00000A"/>
              <w:bottom w:val="single" w:sz="8" w:space="0" w:color="00000A"/>
            </w:tcBorders>
            <w:shd w:fill="FFFFFF" w:val="clear"/>
          </w:tcPr>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Obchodná činnosť v rámci voľných živností, okrem jedov, drahých kovov a výrobkov z nich</w:t>
            </w:r>
          </w:p>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 xml:space="preserve">sprostredkovanie obchodu a služieb </w:t>
            </w:r>
          </w:p>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prenajímmanie plavidiel s vlastným pohonom a bez vlastného pohonu a ďalších 7 činností</w:t>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Zamestnanci</w:t>
      </w:r>
    </w:p>
    <w:p>
      <w:pPr>
        <w:pStyle w:val="Normal"/>
        <w:rPr>
          <w:rFonts w:cs="Arial"/>
          <w:b/>
          <w:b/>
          <w:bCs/>
          <w:i/>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jc w:val="left"/>
        <w:tblInd w:w="0" w:type="dxa"/>
        <w:tblCellMar>
          <w:top w:w="0" w:type="dxa"/>
          <w:left w:w="70" w:type="dxa"/>
          <w:bottom w:w="0" w:type="dxa"/>
          <w:right w:w="70" w:type="dxa"/>
        </w:tblCellMar>
      </w:tblPr>
      <w:tblGrid>
        <w:gridCol w:w="6436"/>
        <w:gridCol w:w="1310"/>
        <w:gridCol w:w="1324"/>
      </w:tblGrid>
      <w:tr>
        <w:trPr/>
        <w:tc>
          <w:tcPr>
            <w:tcW w:w="6436" w:type="dxa"/>
            <w:tcBorders>
              <w:top w:val="single" w:sz="8" w:space="0" w:color="00000A"/>
              <w:bottom w:val="single" w:sz="4" w:space="0" w:color="00000A"/>
            </w:tcBorders>
            <w:shd w:fill="FFFFFF" w:val="clear"/>
            <w:vAlign w:val="center"/>
          </w:tcPr>
          <w:p>
            <w:pPr>
              <w:pStyle w:val="Normal"/>
              <w:jc w:val="left"/>
              <w:rPr>
                <w:rFonts w:cs="Arial"/>
                <w:b/>
                <w:b/>
                <w:bCs/>
                <w:i/>
                <w:i/>
                <w:iCs/>
                <w:sz w:val="15"/>
                <w:szCs w:val="15"/>
                <w:lang w:eastAsia="sk-SK"/>
              </w:rPr>
            </w:pPr>
            <w:bookmarkStart w:id="1" w:name="RANGE!B7%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9</w:t>
            </w:r>
          </w:p>
        </w:tc>
        <w:tc>
          <w:tcPr>
            <w:tcW w:w="1324"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8</w:t>
            </w:r>
          </w:p>
        </w:tc>
      </w:tr>
      <w:tr>
        <w:trPr/>
        <w:tc>
          <w:tcPr>
            <w:tcW w:w="6436" w:type="dxa"/>
            <w:tcBorders>
              <w:top w:val="single" w:sz="4" w:space="0" w:color="00000A"/>
              <w:bottom w:val="single" w:sz="8" w:space="0" w:color="00000A"/>
            </w:tcBorders>
            <w:shd w:fill="FFFFFF" w:val="clear"/>
            <w:vAlign w:val="center"/>
          </w:tcPr>
          <w:p>
            <w:pPr>
              <w:pStyle w:val="Normal"/>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fill="FFFFFF" w:val="clear"/>
            <w:vAlign w:val="bottom"/>
          </w:tcPr>
          <w:p>
            <w:pPr>
              <w:pStyle w:val="Normal"/>
              <w:jc w:val="right"/>
              <w:rPr>
                <w:rFonts w:cs="Arial"/>
                <w:sz w:val="15"/>
                <w:szCs w:val="15"/>
                <w:lang w:eastAsia="sk-SK"/>
              </w:rPr>
            </w:pPr>
            <w:r>
              <w:rPr>
                <w:rFonts w:cs="Arial"/>
                <w:sz w:val="15"/>
                <w:szCs w:val="15"/>
                <w:lang w:eastAsia="sk-SK"/>
              </w:rPr>
              <w:t xml:space="preserve">- </w:t>
            </w:r>
          </w:p>
        </w:tc>
        <w:tc>
          <w:tcPr>
            <w:tcW w:w="1324" w:type="dxa"/>
            <w:tcBorders>
              <w:top w:val="single" w:sz="4" w:space="0" w:color="00000A"/>
              <w:bottom w:val="single" w:sz="8" w:space="0" w:color="00000A"/>
            </w:tcBorders>
            <w:shd w:fill="FFFFFF" w:val="clear"/>
            <w:vAlign w:val="bottom"/>
          </w:tcPr>
          <w:p>
            <w:pPr>
              <w:pStyle w:val="Normal"/>
              <w:jc w:val="right"/>
              <w:rPr>
                <w:rFonts w:cs="Arial"/>
                <w:sz w:val="15"/>
                <w:szCs w:val="15"/>
                <w:lang w:eastAsia="sk-SK"/>
              </w:rPr>
            </w:pPr>
            <w:r>
              <w:rPr>
                <w:rFonts w:cs="Arial"/>
                <w:sz w:val="15"/>
                <w:szCs w:val="15"/>
                <w:lang w:eastAsia="sk-SK"/>
              </w:rPr>
              <w:t xml:space="preserve">- </w:t>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t xml:space="preserve">Spoločnosť počas roka 2017 ani v bezprostredne predchádzajúcom účtovnom období nezamestnávala žiadnych pracovníkov.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bookmarkStart w:id="2" w:name="T_number_of_employees1"/>
      <w:bookmarkStart w:id="3" w:name="T_number_of_employees1"/>
      <w:bookmarkEnd w:id="3"/>
    </w:p>
    <w:p>
      <w:pPr>
        <w:pStyle w:val="Nadpis2"/>
        <w:numPr>
          <w:ilvl w:val="1"/>
          <w:numId w:val="1"/>
        </w:numPr>
        <w:rPr/>
      </w:pPr>
      <w:r>
        <w:rPr/>
        <w:t>Právny dôvod zostavenia účtovnej závierky</w:t>
      </w:r>
    </w:p>
    <w:p>
      <w:pPr>
        <w:pStyle w:val="Normal"/>
        <w:rPr>
          <w:sz w:val="14"/>
          <w:szCs w:val="14"/>
          <w:lang w:eastAsia="sk-SK"/>
        </w:rPr>
      </w:pPr>
      <w:r>
        <w:rPr>
          <w:sz w:val="14"/>
          <w:szCs w:val="14"/>
          <w:lang w:eastAsia="sk-SK"/>
        </w:rPr>
      </w:r>
    </w:p>
    <w:p>
      <w:pPr>
        <w:pStyle w:val="Normal"/>
        <w:rPr>
          <w:lang w:eastAsia="sk-SK"/>
        </w:rPr>
      </w:pPr>
      <w:r>
        <w:rPr>
          <w:lang w:eastAsia="sk-SK"/>
        </w:rPr>
        <w:t>Táto účtovná závierka je riadna individuálna účtovná závierka spoločnosti JUSKA s.r.o., bola zostavená za účtovné obdobie od 1. augusta do 31. decembra 2018 podľa slovenských právnych predpisov, a to zákona o</w:t>
      </w:r>
      <w:r>
        <w:rPr/>
        <w:t> </w:t>
      </w:r>
      <w:r>
        <w:rPr>
          <w:lang w:eastAsia="sk-SK"/>
        </w:rPr>
        <w:t xml:space="preserve">účtovníctve a postupov účtovania pre podnikateľov. </w:t>
      </w:r>
    </w:p>
    <w:p>
      <w:pPr>
        <w:pStyle w:val="Normal"/>
        <w:rPr>
          <w:sz w:val="14"/>
          <w:szCs w:val="14"/>
          <w:lang w:eastAsia="sk-SK"/>
        </w:rPr>
      </w:pPr>
      <w:r>
        <w:rPr>
          <w:sz w:val="14"/>
          <w:szCs w:val="14"/>
          <w:lang w:eastAsia="sk-SK"/>
        </w:rPr>
      </w:r>
    </w:p>
    <w:p>
      <w:pPr>
        <w:pStyle w:val="Normal"/>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Schválenie účtovnej závierky za rok 201</w:t>
      </w:r>
      <w:r>
        <w:rPr/>
        <w:t>8</w:t>
      </w:r>
    </w:p>
    <w:p>
      <w:pPr>
        <w:pStyle w:val="Normal"/>
        <w:rPr>
          <w:sz w:val="14"/>
          <w:szCs w:val="14"/>
          <w:lang w:eastAsia="sk-SK"/>
        </w:rPr>
      </w:pPr>
      <w:r>
        <w:rPr>
          <w:sz w:val="14"/>
          <w:szCs w:val="14"/>
          <w:lang w:eastAsia="sk-SK"/>
        </w:rPr>
      </w:r>
    </w:p>
    <w:p>
      <w:pPr>
        <w:pStyle w:val="Normal"/>
        <w:rPr/>
      </w:pPr>
      <w:r>
        <w:rPr>
          <w:lang w:eastAsia="sk-SK"/>
        </w:rPr>
        <w:t xml:space="preserve">Účtovná závierka spoločnosti PRO – SPORT, spol. s r. o. bola schválená Valným zhromaždením dňa </w:t>
      </w:r>
      <w:r>
        <w:rPr>
          <w:lang w:eastAsia="sk-SK"/>
        </w:rPr>
        <w:t>14</w:t>
      </w:r>
      <w:r>
        <w:rPr>
          <w:lang w:eastAsia="sk-SK"/>
        </w:rPr>
        <w:t>.0</w:t>
      </w:r>
      <w:r>
        <w:rPr>
          <w:lang w:eastAsia="sk-SK"/>
        </w:rPr>
        <w:t>3</w:t>
      </w:r>
      <w:r>
        <w:rPr>
          <w:lang w:eastAsia="sk-SK"/>
        </w:rPr>
        <w:t>.201</w:t>
      </w:r>
      <w:r>
        <w:rPr>
          <w:lang w:eastAsia="sk-SK"/>
        </w:rPr>
        <w:t>9</w:t>
      </w:r>
      <w:r>
        <w:rPr>
          <w:lang w:eastAsia="sk-SK"/>
        </w:rPr>
        <w:t xml:space="preserve">. </w:t>
      </w:r>
    </w:p>
    <w:p>
      <w:pPr>
        <w:pStyle w:val="Normal"/>
        <w:rPr>
          <w:sz w:val="14"/>
          <w:szCs w:val="14"/>
          <w:lang w:eastAsia="sk-SK"/>
        </w:rPr>
      </w:pPr>
      <w:r>
        <w:rPr>
          <w:sz w:val="14"/>
          <w:szCs w:val="14"/>
          <w:lang w:eastAsia="sk-SK"/>
        </w:rPr>
      </w:r>
    </w:p>
    <w:p>
      <w:pPr>
        <w:pStyle w:val="Normal"/>
        <w:jc w:val="both"/>
        <w:rPr>
          <w:sz w:val="14"/>
          <w:szCs w:val="14"/>
          <w:lang w:eastAsia="sk-SK"/>
        </w:rPr>
      </w:pPr>
      <w:r>
        <w:rPr>
          <w:sz w:val="14"/>
          <w:szCs w:val="14"/>
          <w:lang w:eastAsia="sk-SK"/>
        </w:rPr>
        <w:t xml:space="preserve">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jc w:val="left"/>
        <w:rPr>
          <w:rFonts w:cs="Arial"/>
          <w:b/>
          <w:b/>
          <w:bCs/>
          <w:iCs/>
          <w:szCs w:val="28"/>
        </w:rPr>
      </w:pPr>
      <w:r>
        <w:rPr>
          <w:rFonts w:cs="Arial"/>
          <w:b/>
          <w:bCs/>
          <w:iCs/>
          <w:szCs w:val="28"/>
        </w:rPr>
        <w:t>5.      Neobmedzené ručenie</w:t>
      </w:r>
    </w:p>
    <w:p>
      <w:pPr>
        <w:pStyle w:val="Normal"/>
        <w:jc w:val="left"/>
        <w:rPr>
          <w:rFonts w:cs="Arial"/>
          <w:b w:val="false"/>
          <w:b w:val="false"/>
          <w:bCs w:val="false"/>
          <w:iCs/>
          <w:szCs w:val="28"/>
        </w:rPr>
      </w:pPr>
      <w:r>
        <w:rPr>
          <w:rFonts w:cs="Arial"/>
          <w:b/>
          <w:bCs/>
          <w:iCs/>
          <w:szCs w:val="28"/>
        </w:rPr>
        <w:t>PRO – SPORT, spol. s r. o.</w:t>
      </w:r>
      <w:r>
        <w:rPr>
          <w:rFonts w:cs="Arial"/>
          <w:b w:val="false"/>
          <w:bCs w:val="false"/>
          <w:iCs/>
          <w:szCs w:val="28"/>
        </w:rPr>
        <w:t xml:space="preserve"> nie je neobmedzene ručiacim spoločníkom v iných účtovných jednotkách podľa § 56 ods. 5 Obchodného zákonníka.</w:t>
      </w:r>
    </w:p>
    <w:p>
      <w:pPr>
        <w:pStyle w:val="Normal"/>
        <w:jc w:val="left"/>
        <w:rPr/>
      </w:pPr>
      <w:r>
        <w:rPr/>
      </w:r>
    </w:p>
    <w:p>
      <w:pPr>
        <w:pStyle w:val="Normal"/>
        <w:jc w:val="left"/>
        <w:rPr/>
      </w:pPr>
      <w:r>
        <w:rPr/>
      </w:r>
    </w:p>
    <w:p>
      <w:pPr>
        <w:pStyle w:val="Normal"/>
        <w:jc w:val="left"/>
        <w:rPr>
          <w:b/>
          <w:b/>
          <w:bCs/>
        </w:rPr>
      </w:pPr>
      <w:r>
        <w:rPr>
          <w:b/>
          <w:bCs/>
        </w:rPr>
        <w:t>6.      Konsolidovaná účtovná závierka</w:t>
      </w:r>
    </w:p>
    <w:p>
      <w:pPr>
        <w:pStyle w:val="Normal"/>
        <w:jc w:val="left"/>
        <w:rPr>
          <w:b/>
          <w:b/>
          <w:bCs/>
        </w:rPr>
      </w:pPr>
      <w:r>
        <w:rPr>
          <w:b/>
          <w:bCs/>
        </w:rPr>
      </w:r>
    </w:p>
    <w:p>
      <w:pPr>
        <w:pStyle w:val="Normal"/>
        <w:jc w:val="left"/>
        <w:rPr>
          <w:b w:val="false"/>
          <w:b w:val="false"/>
          <w:bCs w:val="false"/>
        </w:rPr>
      </w:pPr>
      <w:r>
        <w:rPr>
          <w:b/>
          <w:bCs/>
        </w:rPr>
        <w:t xml:space="preserve">- </w:t>
      </w:r>
      <w:r>
        <w:rPr>
          <w:b w:val="false"/>
          <w:bCs w:val="false"/>
        </w:rPr>
        <w:t>Spoločnosť v účtovnom období nevlastnila podiely v iných spoločnostiach,</w:t>
      </w:r>
    </w:p>
    <w:p>
      <w:pPr>
        <w:pStyle w:val="Normal"/>
        <w:jc w:val="left"/>
        <w:rPr>
          <w:b w:val="false"/>
          <w:b w:val="false"/>
          <w:bCs w:val="false"/>
        </w:rPr>
      </w:pPr>
      <w:r>
        <w:rPr>
          <w:b w:val="false"/>
          <w:bCs w:val="false"/>
        </w:rPr>
        <w:t>- Spoločnosť v účtovnom období nezostavovala konsolidovanú účtovnú závierku</w:t>
      </w:r>
    </w:p>
    <w:p>
      <w:pPr>
        <w:pStyle w:val="Nadpis2"/>
        <w:rPr/>
      </w:pPr>
      <w:r>
        <w:rPr/>
      </w:r>
    </w:p>
    <w:p>
      <w:pPr>
        <w:pStyle w:val="Normal"/>
        <w:rPr>
          <w:sz w:val="10"/>
          <w:szCs w:val="10"/>
          <w:lang w:eastAsia="sk-SK"/>
        </w:rPr>
      </w:pPr>
      <w:r>
        <w:rPr>
          <w:sz w:val="10"/>
          <w:szCs w:val="10"/>
          <w:lang w:eastAsia="sk-SK"/>
        </w:rPr>
      </w:r>
    </w:p>
    <w:p>
      <w:pPr>
        <w:pStyle w:val="Normal"/>
        <w:rPr>
          <w:sz w:val="10"/>
          <w:szCs w:val="10"/>
          <w:lang w:eastAsia="sk-SK"/>
        </w:rPr>
      </w:pPr>
      <w:r>
        <w:rPr>
          <w:sz w:val="10"/>
          <w:szCs w:val="10"/>
          <w:lang w:eastAsia="sk-SK"/>
        </w:rPr>
      </w:r>
    </w:p>
    <w:p>
      <w:pPr>
        <w:pStyle w:val="Nadpis1"/>
        <w:tabs>
          <w:tab w:val="clear" w:pos="720"/>
          <w:tab w:val="left" w:pos="75" w:leader="none"/>
        </w:tabs>
        <w:rPr>
          <w:rFonts w:cs="Arial"/>
          <w:b/>
          <w:b/>
          <w:bCs/>
          <w:iCs/>
          <w:szCs w:val="28"/>
        </w:rPr>
      </w:pPr>
      <w:r>
        <w:rPr>
          <w:rFonts w:cs="Arial"/>
          <w:b/>
          <w:bCs/>
          <w:iCs/>
          <w:szCs w:val="28"/>
          <w:u w:val="none"/>
        </w:rPr>
        <w:t xml:space="preserve">II.  </w:t>
      </w:r>
      <w:r>
        <w:rPr>
          <w:rFonts w:cs="Arial"/>
          <w:b/>
          <w:bCs/>
          <w:iCs/>
          <w:szCs w:val="28"/>
        </w:rPr>
        <w:t>NFORMÁCIE O ORGÁNOCH SPOLOČNOSTI</w:t>
      </w:r>
    </w:p>
    <w:p>
      <w:pPr>
        <w:pStyle w:val="Nadpis1"/>
        <w:rPr>
          <w:rFonts w:cs="Arial"/>
          <w:b/>
          <w:b/>
          <w:bCs/>
          <w:iCs/>
          <w:szCs w:val="28"/>
        </w:rPr>
      </w:pPr>
      <w:r>
        <w:rPr>
          <w:rFonts w:cs="Arial"/>
          <w:b/>
          <w:bCs/>
          <w:iCs/>
          <w:szCs w:val="28"/>
        </w:rPr>
      </w:r>
    </w:p>
    <w:p>
      <w:pPr>
        <w:pStyle w:val="Nadpis1"/>
        <w:rPr>
          <w:rFonts w:cs="Arial"/>
          <w:b/>
          <w:b/>
          <w:bCs/>
          <w:iCs/>
          <w:szCs w:val="28"/>
        </w:rPr>
      </w:pPr>
      <w:r>
        <w:rPr>
          <w:rFonts w:cs="Arial"/>
          <w:b/>
          <w:bCs/>
          <w:iCs/>
          <w:szCs w:val="28"/>
        </w:rPr>
      </w:r>
    </w:p>
    <w:p>
      <w:pPr>
        <w:pStyle w:val="Telotextu"/>
        <w:rPr>
          <w:b/>
          <w:b/>
          <w:bCs/>
          <w:sz w:val="16"/>
          <w:szCs w:val="16"/>
        </w:rPr>
      </w:pPr>
      <w:r>
        <w:rPr>
          <w:sz w:val="20"/>
          <w:szCs w:val="20"/>
        </w:rPr>
        <w:t>1.</w:t>
      </w:r>
      <w:r>
        <w:rPr/>
        <w:t xml:space="preserve"> </w:t>
      </w:r>
      <w:r>
        <w:rPr>
          <w:b/>
          <w:bCs/>
          <w:sz w:val="16"/>
          <w:szCs w:val="16"/>
        </w:rPr>
        <w:t>Záruky a iné zabezpečenia poskytnuté členom a orgánom spoločnosti</w:t>
      </w:r>
    </w:p>
    <w:p>
      <w:pPr>
        <w:pStyle w:val="Telotextu"/>
        <w:rPr>
          <w:b w:val="false"/>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Telotextu"/>
        <w:rPr>
          <w:b w:val="false"/>
          <w:b w:val="false"/>
          <w:bCs w:val="false"/>
        </w:rPr>
      </w:pPr>
      <w:r>
        <w:rPr>
          <w:b w:val="false"/>
          <w:bCs w:val="false"/>
        </w:rPr>
      </w:r>
    </w:p>
    <w:p>
      <w:pPr>
        <w:pStyle w:val="Telotextu"/>
        <w:rPr>
          <w:b/>
          <w:b/>
          <w:bCs/>
          <w:sz w:val="16"/>
          <w:szCs w:val="16"/>
        </w:rPr>
      </w:pPr>
      <w:r>
        <w:rPr>
          <w:b/>
          <w:bCs/>
          <w:sz w:val="16"/>
          <w:szCs w:val="16"/>
        </w:rPr>
        <w:t>2.  Pôžičky poskytnuté členom orgánov spoločnosti</w:t>
      </w:r>
    </w:p>
    <w:p>
      <w:pPr>
        <w:pStyle w:val="Telotextu"/>
        <w:rPr/>
      </w:pPr>
      <w:r>
        <w:rPr>
          <w:b w:val="false"/>
          <w:bCs w:val="false"/>
          <w:sz w:val="18"/>
          <w:szCs w:val="18"/>
        </w:rPr>
        <w:t>Spoločnosť v účtovnom období 201</w:t>
      </w:r>
      <w:r>
        <w:rPr>
          <w:b w:val="false"/>
          <w:bCs w:val="false"/>
          <w:sz w:val="18"/>
          <w:szCs w:val="18"/>
        </w:rPr>
        <w:t>9</w:t>
      </w:r>
      <w:r>
        <w:rPr>
          <w:b w:val="false"/>
          <w:bCs w:val="false"/>
          <w:sz w:val="18"/>
          <w:szCs w:val="18"/>
        </w:rPr>
        <w:t xml:space="preserve"> neposkytla členom orgánov spoločnosti žiadne záruky alebo iné zabezpečenie a poskytnuté pôžičky.</w:t>
      </w:r>
    </w:p>
    <w:p>
      <w:pPr>
        <w:pStyle w:val="Telotextu"/>
        <w:rPr>
          <w:b w:val="false"/>
          <w:b w:val="false"/>
          <w:bCs w:val="false"/>
        </w:rPr>
      </w:pPr>
      <w:r>
        <w:rPr>
          <w:b w:val="false"/>
          <w:bCs w:val="false"/>
        </w:rPr>
      </w:r>
    </w:p>
    <w:p>
      <w:pPr>
        <w:pStyle w:val="Telotextu"/>
        <w:rPr>
          <w:b/>
          <w:b/>
          <w:bCs/>
          <w:sz w:val="16"/>
          <w:szCs w:val="16"/>
          <w:u w:val="single"/>
        </w:rPr>
      </w:pPr>
      <w:r>
        <w:rPr>
          <w:b/>
          <w:bCs/>
          <w:sz w:val="16"/>
          <w:szCs w:val="16"/>
        </w:rPr>
        <w:t xml:space="preserve">III.    </w:t>
      </w:r>
      <w:r>
        <w:rPr>
          <w:b/>
          <w:bCs/>
          <w:sz w:val="16"/>
          <w:szCs w:val="16"/>
          <w:u w:val="single"/>
        </w:rPr>
        <w:t>POUŽITÉ ÚČTOVNÉ ZÁSADY A ÚČTOVNÉ METÓDY</w:t>
      </w:r>
    </w:p>
    <w:p>
      <w:pPr>
        <w:pStyle w:val="Telotextu"/>
        <w:rPr>
          <w:b/>
          <w:b/>
          <w:bCs/>
        </w:rPr>
      </w:pPr>
      <w:r>
        <w:rPr>
          <w:b/>
          <w:bCs/>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2. Účtovná závierka za rok 2018 bola spracovaná za predpokladu nepretržitého pokračovania činnosti.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Spôsob ocenenia jednotlivých zložiek majetku a záväzkov – prvé ocenenie</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c) Zásoby obstarané kúpou: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e) Pohľadávky: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alebo bezodplatnom nadobudnutí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g) Časové rozlíšenie na strane aktív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h) Záväzky: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pervzatí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i) Rezervy – v očakávanej výške záväzku alebo poistnomatematickými metódami.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j) Časové rozlíšenie na strane pasív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2017 nevyplynula povinnosť tvorby rezervy.</w:t>
      </w:r>
    </w:p>
    <w:p>
      <w:pPr>
        <w:pStyle w:val="Telotextu"/>
        <w:widowControl/>
        <w:suppressAutoHyphens w:val="true"/>
        <w:spacing w:before="0" w:after="120"/>
        <w:ind w:left="246" w:right="0" w:hanging="214"/>
        <w:jc w:val="both"/>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w:t>
      </w:r>
      <w:r>
        <w:rPr>
          <w:b w:val="false"/>
          <w:bCs w:val="false"/>
          <w:sz w:val="18"/>
          <w:szCs w:val="18"/>
          <w:u w:val="none"/>
        </w:rPr>
        <w:t>9</w:t>
      </w:r>
      <w:r>
        <w:rPr>
          <w:b w:val="false"/>
          <w:bCs w:val="false"/>
          <w:sz w:val="18"/>
          <w:szCs w:val="18"/>
          <w:u w:val="none"/>
        </w:rPr>
        <w:t xml:space="preserve"> nevyplynula povinnosť tvoriť opravné položky.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Plán odpisov</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Podiely na základnom imaní sa ponechávajú v pôvodnom ocenení.</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2. Prepočet údajov v cudzích menách na slovenskú menu</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3. Zmeny účtovných zásad a účtovných metód</w:t>
      </w:r>
    </w:p>
    <w:p>
      <w:pPr>
        <w:pStyle w:val="Telotextu"/>
        <w:widowControl/>
        <w:suppressAutoHyphens w:val="true"/>
        <w:spacing w:before="0" w:after="120"/>
        <w:ind w:left="-11" w:right="0" w:firstLine="11"/>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pPr>
      <w:r>
        <w:rPr>
          <w:b w:val="false"/>
          <w:bCs w:val="false"/>
          <w:sz w:val="18"/>
          <w:szCs w:val="18"/>
          <w:u w:val="none"/>
        </w:rPr>
        <w:t>V účtovnom období roku 201</w:t>
      </w:r>
      <w:r>
        <w:rPr>
          <w:b w:val="false"/>
          <w:bCs w:val="false"/>
          <w:sz w:val="18"/>
          <w:szCs w:val="18"/>
          <w:u w:val="none"/>
        </w:rPr>
        <w:t>9</w:t>
      </w:r>
      <w:r>
        <w:rPr>
          <w:b w:val="false"/>
          <w:bCs w:val="false"/>
          <w:sz w:val="18"/>
          <w:szCs w:val="18"/>
          <w:u w:val="none"/>
        </w:rPr>
        <w:t xml:space="preserve"> nenastali v spoločnosti PRO – SPORT, spol. S r. o., žiadne zmeny týkajúce sa účtovných zásad a účtovných metód.</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pPr>
      <w:r>
        <w:rPr>
          <w:b w:val="false"/>
          <w:bCs w:val="false"/>
          <w:sz w:val="18"/>
          <w:szCs w:val="18"/>
          <w:u w:val="none"/>
        </w:rPr>
        <w:t>V spoločnosti PRO – SPORT, spol. S r. o., nedošlo v účtovnom období roku 201</w:t>
      </w:r>
      <w:r>
        <w:rPr>
          <w:b w:val="false"/>
          <w:bCs w:val="false"/>
          <w:sz w:val="18"/>
          <w:szCs w:val="18"/>
          <w:u w:val="none"/>
        </w:rPr>
        <w:t>9</w:t>
      </w:r>
      <w:r>
        <w:rPr>
          <w:b w:val="false"/>
          <w:bCs w:val="false"/>
          <w:sz w:val="18"/>
          <w:szCs w:val="18"/>
          <w:u w:val="none"/>
        </w:rPr>
        <w:t xml:space="preserve"> k žiadnzm opravám významných chýb minulých období., nakoľko spoločnosť počas celého hodnotiaceho obdobia nevykonávala žiadnu činnosť.</w:t>
      </w:r>
    </w:p>
    <w:p>
      <w:pPr>
        <w:pStyle w:val="Telotextu"/>
        <w:widowControl/>
        <w:suppressAutoHyphens w:val="true"/>
        <w:spacing w:before="0" w:after="120"/>
        <w:ind w:left="246" w:right="0" w:hanging="214"/>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246" w:right="0" w:hanging="214"/>
        <w:jc w:val="both"/>
        <w:rPr>
          <w:b/>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Dlhodobý nehmotný a hmotný majetok</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75"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Telotextu"/>
        <w:rPr>
          <w:b w:val="false"/>
          <w:b w:val="false"/>
          <w:bCs w:val="false"/>
          <w:sz w:val="18"/>
          <w:szCs w:val="18"/>
        </w:rPr>
      </w:pPr>
      <w:r>
        <w:rPr>
          <w:b w:val="false"/>
          <w:bCs w:val="false"/>
          <w:sz w:val="18"/>
          <w:szCs w:val="18"/>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b/>
          <w:bCs/>
          <w:sz w:val="18"/>
          <w:szCs w:val="18"/>
        </w:rPr>
      </w:pPr>
      <w:r>
        <w:rPr>
          <w:b/>
          <w:bCs/>
          <w:sz w:val="18"/>
          <w:szCs w:val="18"/>
        </w:rPr>
        <w:t>2.  Pohľadávky</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8"/>
        <w:gridCol w:w="2392"/>
      </w:tblGrid>
      <w:tr>
        <w:trPr>
          <w:trHeight w:val="300"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b/>
                <w:b/>
                <w:bCs/>
              </w:rPr>
            </w:pPr>
            <w:r>
              <w:rPr>
                <w:b/>
                <w:bCs/>
              </w:rPr>
              <w:t>bežné účtovné obdobie</w:t>
            </w:r>
          </w:p>
        </w:tc>
        <w:tc>
          <w:tcPr>
            <w:tcW w:w="2392"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b/>
                <w:b/>
                <w:bCs/>
              </w:rPr>
            </w:pPr>
            <w:r>
              <w:rPr>
                <w:b/>
                <w:bCs/>
              </w:rPr>
              <w:t>obdobie</w:t>
            </w:r>
          </w:p>
        </w:tc>
        <w:tc>
          <w:tcPr>
            <w:tcW w:w="2392"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Pohľadávky z obchodného styku</w:t>
            </w:r>
          </w:p>
        </w:tc>
        <w:tc>
          <w:tcPr>
            <w:tcW w:w="2378" w:type="dxa"/>
            <w:tcBorders/>
            <w:shd w:fill="FFFFFF" w:val="clear"/>
            <w:vAlign w:val="center"/>
          </w:tcPr>
          <w:p>
            <w:pPr>
              <w:pStyle w:val="Obsahtabuky"/>
              <w:rPr/>
            </w:pPr>
            <w:r>
              <w:rPr/>
              <w:t xml:space="preserve">                   </w:t>
            </w:r>
            <w:r>
              <w:rPr/>
              <w:t>0</w:t>
            </w:r>
          </w:p>
        </w:tc>
        <w:tc>
          <w:tcPr>
            <w:tcW w:w="2392"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Daňové pohľadávky</w:t>
            </w:r>
          </w:p>
        </w:tc>
        <w:tc>
          <w:tcPr>
            <w:tcW w:w="2378" w:type="dxa"/>
            <w:tcBorders/>
            <w:shd w:fill="FFFFFF" w:val="clear"/>
            <w:vAlign w:val="center"/>
          </w:tcPr>
          <w:p>
            <w:pPr>
              <w:pStyle w:val="Obsahtabuky"/>
              <w:rPr/>
            </w:pPr>
            <w:r>
              <w:rPr/>
              <w:t xml:space="preserve">                   </w:t>
            </w:r>
            <w:r>
              <w:rPr/>
              <w:t>0</w:t>
            </w:r>
          </w:p>
        </w:tc>
        <w:tc>
          <w:tcPr>
            <w:tcW w:w="2392"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Ostatné pohľadávky</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b/>
                <w:b/>
                <w:bCs/>
              </w:rPr>
            </w:pPr>
            <w:r>
              <w:rPr>
                <w:b/>
                <w:bCs/>
              </w:rPr>
              <w:t>Pohľadávky spolu:</w:t>
            </w:r>
          </w:p>
        </w:tc>
        <w:tc>
          <w:tcPr>
            <w:tcW w:w="2378" w:type="dxa"/>
            <w:tcBorders/>
            <w:shd w:fill="FFFFFF" w:val="clear"/>
            <w:vAlign w:val="center"/>
          </w:tcPr>
          <w:p>
            <w:pPr>
              <w:pStyle w:val="Obsahtabuky"/>
              <w:rPr>
                <w:b/>
                <w:b/>
                <w:bCs/>
              </w:rPr>
            </w:pPr>
            <w:r>
              <w:rPr>
                <w:b/>
                <w:bCs/>
              </w:rPr>
              <w:t xml:space="preserve">                   </w:t>
            </w:r>
            <w:r>
              <w:rPr>
                <w:b/>
                <w:bCs/>
              </w:rPr>
              <w:t>0</w:t>
            </w:r>
          </w:p>
        </w:tc>
        <w:tc>
          <w:tcPr>
            <w:tcW w:w="2392" w:type="dxa"/>
            <w:tcBorders/>
            <w:shd w:fill="FFFFFF" w:val="clear"/>
            <w:vAlign w:val="center"/>
          </w:tcPr>
          <w:p>
            <w:pPr>
              <w:pStyle w:val="Obsahtabuky"/>
              <w:jc w:val="center"/>
              <w:rPr>
                <w:b/>
                <w:b/>
                <w:bCs/>
              </w:rPr>
            </w:pPr>
            <w:r>
              <w:rPr>
                <w:b/>
                <w:bCs/>
              </w:rPr>
              <w:t>0</w:t>
            </w:r>
          </w:p>
        </w:tc>
      </w:tr>
      <w:tr>
        <w:trPr>
          <w:trHeight w:val="315"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jc w:val="center"/>
              <w:rPr/>
            </w:pPr>
            <w:r>
              <w:rPr/>
              <w:t> </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 xml:space="preserve">V časti pohľadávok spoločnosť nevykazuje žiadne pohľadávky.  </w:t>
      </w:r>
    </w:p>
    <w:p>
      <w:pPr>
        <w:pStyle w:val="Telotextu"/>
        <w:rPr/>
      </w:pPr>
      <w:r>
        <w:rPr/>
      </w:r>
    </w:p>
    <w:p>
      <w:pPr>
        <w:pStyle w:val="Telotextu"/>
        <w:rPr/>
      </w:pPr>
      <w:r>
        <w:rPr>
          <w:b w:val="false"/>
          <w:bCs w:val="false"/>
          <w:sz w:val="18"/>
          <w:szCs w:val="18"/>
        </w:rPr>
        <w:t>Tým, že spoločnosť neeviduje k 31.12.201</w:t>
      </w:r>
      <w:r>
        <w:rPr>
          <w:b w:val="false"/>
          <w:bCs w:val="false"/>
          <w:sz w:val="18"/>
          <w:szCs w:val="18"/>
        </w:rPr>
        <w:t>9</w:t>
      </w:r>
      <w:r>
        <w:rPr>
          <w:b w:val="false"/>
          <w:bCs w:val="false"/>
          <w:sz w:val="18"/>
          <w:szCs w:val="18"/>
        </w:rPr>
        <w:t xml:space="preserve"> pohľadávky žiadne pohľadávky, nebolo </w:t>
      </w:r>
    </w:p>
    <w:p>
      <w:pPr>
        <w:pStyle w:val="Telotextu"/>
        <w:rPr>
          <w:b w:val="false"/>
          <w:b w:val="false"/>
          <w:bCs w:val="false"/>
          <w:sz w:val="18"/>
          <w:szCs w:val="18"/>
        </w:rPr>
      </w:pPr>
      <w:r>
        <w:rPr>
          <w:b w:val="false"/>
          <w:bCs w:val="false"/>
          <w:sz w:val="18"/>
          <w:szCs w:val="18"/>
        </w:rPr>
        <w:t>potrebné tvoriť opravné položky k pohľadávkam.</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3.  Krátkodobý finančný majetok</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8"/>
        <w:gridCol w:w="2392"/>
      </w:tblGrid>
      <w:tr>
        <w:trPr>
          <w:trHeight w:val="300"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b/>
                <w:b/>
                <w:bCs/>
              </w:rPr>
            </w:pPr>
            <w:r>
              <w:rPr>
                <w:b/>
                <w:bCs/>
              </w:rPr>
              <w:t>bežné účtovné obdobie</w:t>
            </w:r>
          </w:p>
        </w:tc>
        <w:tc>
          <w:tcPr>
            <w:tcW w:w="2392"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b/>
                <w:b/>
                <w:bCs/>
              </w:rPr>
            </w:pPr>
            <w:r>
              <w:rPr>
                <w:b/>
                <w:bCs/>
              </w:rPr>
              <w:t>obdobie</w:t>
            </w:r>
          </w:p>
        </w:tc>
        <w:tc>
          <w:tcPr>
            <w:tcW w:w="2392"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8" w:type="dxa"/>
            <w:tcBorders/>
            <w:shd w:fill="FFFFFF" w:val="clear"/>
            <w:vAlign w:val="center"/>
          </w:tcPr>
          <w:p>
            <w:pPr>
              <w:pStyle w:val="Obsahtabuky"/>
              <w:rPr/>
            </w:pPr>
            <w:r>
              <w:rPr/>
              <w:t> </w:t>
            </w:r>
          </w:p>
        </w:tc>
        <w:tc>
          <w:tcPr>
            <w:tcW w:w="2392"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Pokladnica</w:t>
            </w:r>
          </w:p>
        </w:tc>
        <w:tc>
          <w:tcPr>
            <w:tcW w:w="2378" w:type="dxa"/>
            <w:tcBorders/>
            <w:shd w:fill="FFFFFF" w:val="clear"/>
            <w:vAlign w:val="center"/>
          </w:tcPr>
          <w:p>
            <w:pPr>
              <w:pStyle w:val="Obsahtabuky"/>
              <w:rPr/>
            </w:pPr>
            <w:r>
              <w:rPr/>
              <w:t xml:space="preserve">                   </w:t>
            </w:r>
            <w:r>
              <w:rPr/>
              <w:t>0</w:t>
            </w:r>
            <w:r>
              <w:rPr/>
              <w:t xml:space="preserve"> </w:t>
            </w:r>
          </w:p>
        </w:tc>
        <w:tc>
          <w:tcPr>
            <w:tcW w:w="2392"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Ceniny</w:t>
            </w:r>
          </w:p>
        </w:tc>
        <w:tc>
          <w:tcPr>
            <w:tcW w:w="2378" w:type="dxa"/>
            <w:tcBorders/>
            <w:shd w:fill="FFFFFF" w:val="clear"/>
            <w:vAlign w:val="center"/>
          </w:tcPr>
          <w:p>
            <w:pPr>
              <w:pStyle w:val="Obsahtabuky"/>
              <w:rPr/>
            </w:pPr>
            <w:r>
              <w:rPr/>
            </w:r>
          </w:p>
        </w:tc>
        <w:tc>
          <w:tcPr>
            <w:tcW w:w="2392"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pPr>
            <w:r>
              <w:rPr/>
              <w:t>Bankový účet v mene EUR</w:t>
            </w:r>
          </w:p>
        </w:tc>
        <w:tc>
          <w:tcPr>
            <w:tcW w:w="2378" w:type="dxa"/>
            <w:tcBorders/>
            <w:shd w:fill="FFFFFF" w:val="clear"/>
            <w:vAlign w:val="center"/>
          </w:tcPr>
          <w:p>
            <w:pPr>
              <w:pStyle w:val="Obsahtabuky"/>
              <w:rPr/>
            </w:pPr>
            <w:r>
              <w:rPr/>
              <w:t xml:space="preserve">                   </w:t>
            </w:r>
            <w:r>
              <w:rPr/>
              <w:t>0</w:t>
            </w:r>
          </w:p>
        </w:tc>
        <w:tc>
          <w:tcPr>
            <w:tcW w:w="2392"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Bankový účet v mene PLN</w:t>
            </w:r>
          </w:p>
        </w:tc>
        <w:tc>
          <w:tcPr>
            <w:tcW w:w="2378" w:type="dxa"/>
            <w:tcBorders/>
            <w:shd w:fill="FFFFFF" w:val="clear"/>
            <w:vAlign w:val="center"/>
          </w:tcPr>
          <w:p>
            <w:pPr>
              <w:pStyle w:val="Obsahtabuky"/>
              <w:rPr/>
            </w:pPr>
            <w:r>
              <w:rPr/>
            </w:r>
          </w:p>
        </w:tc>
        <w:tc>
          <w:tcPr>
            <w:tcW w:w="2392"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pPr>
            <w:r>
              <w:rPr/>
              <w:t>PeyPal</w:t>
            </w:r>
          </w:p>
        </w:tc>
        <w:tc>
          <w:tcPr>
            <w:tcW w:w="2378" w:type="dxa"/>
            <w:tcBorders/>
            <w:shd w:fill="FFFFFF" w:val="clear"/>
            <w:vAlign w:val="center"/>
          </w:tcPr>
          <w:p>
            <w:pPr>
              <w:pStyle w:val="Obsahtabuky"/>
              <w:rPr/>
            </w:pPr>
            <w:r>
              <w:rPr/>
            </w:r>
          </w:p>
        </w:tc>
        <w:tc>
          <w:tcPr>
            <w:tcW w:w="2392"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Peniaze na ceste</w:t>
            </w:r>
          </w:p>
        </w:tc>
        <w:tc>
          <w:tcPr>
            <w:tcW w:w="2378" w:type="dxa"/>
            <w:tcBorders/>
            <w:shd w:fill="FFFFFF" w:val="clear"/>
            <w:vAlign w:val="center"/>
          </w:tcPr>
          <w:p>
            <w:pPr>
              <w:pStyle w:val="Obsahtabuky"/>
              <w:rPr/>
            </w:pPr>
            <w:r>
              <w:rPr/>
            </w:r>
          </w:p>
        </w:tc>
        <w:tc>
          <w:tcPr>
            <w:tcW w:w="2392"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b/>
                <w:b/>
                <w:bCs/>
              </w:rPr>
            </w:pPr>
            <w:r>
              <w:rPr/>
              <w:t> </w:t>
            </w:r>
            <w:r>
              <w:rPr>
                <w:b/>
                <w:bCs/>
              </w:rPr>
              <w:t>Spolu:</w:t>
            </w:r>
          </w:p>
        </w:tc>
        <w:tc>
          <w:tcPr>
            <w:tcW w:w="2378" w:type="dxa"/>
            <w:tcBorders/>
            <w:shd w:fill="FFFFFF" w:val="clear"/>
            <w:vAlign w:val="center"/>
          </w:tcPr>
          <w:p>
            <w:pPr>
              <w:pStyle w:val="Obsahtabuky"/>
              <w:rPr/>
            </w:pPr>
            <w:r>
              <w:rPr>
                <w:b/>
                <w:bCs/>
              </w:rPr>
              <w:t xml:space="preserve">                   </w:t>
            </w:r>
            <w:r>
              <w:rPr>
                <w:b/>
                <w:bCs/>
              </w:rPr>
              <w:t>0</w:t>
            </w:r>
            <w:r>
              <w:rPr>
                <w:b/>
                <w:bCs/>
              </w:rPr>
              <w:t xml:space="preserve"> </w:t>
            </w:r>
          </w:p>
        </w:tc>
        <w:tc>
          <w:tcPr>
            <w:tcW w:w="2392" w:type="dxa"/>
            <w:tcBorders/>
            <w:shd w:fill="FFFFFF" w:val="clear"/>
            <w:vAlign w:val="center"/>
          </w:tcPr>
          <w:p>
            <w:pPr>
              <w:pStyle w:val="Obsahtabuky"/>
              <w:jc w:val="center"/>
              <w:rPr/>
            </w:pPr>
            <w:r>
              <w:rPr>
                <w:b/>
                <w:bCs/>
              </w:rPr>
              <w:t>0</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Spoločnosť vzhľadom k tomu, že od roku 2006 nevykazuje žiadnu činnosť, nemá</w:t>
      </w:r>
    </w:p>
    <w:p>
      <w:pPr>
        <w:pStyle w:val="Telotextu"/>
        <w:rPr>
          <w:b w:val="false"/>
          <w:b w:val="false"/>
          <w:bCs w:val="false"/>
          <w:sz w:val="18"/>
          <w:szCs w:val="18"/>
        </w:rPr>
      </w:pPr>
      <w:r>
        <w:rPr>
          <w:b w:val="false"/>
          <w:bCs w:val="false"/>
          <w:sz w:val="18"/>
          <w:szCs w:val="18"/>
        </w:rPr>
        <w:t>zriadený účet v banke.</w:t>
      </w:r>
    </w:p>
    <w:p>
      <w:pPr>
        <w:pStyle w:val="Telotextu"/>
        <w:rPr/>
      </w:pPr>
      <w:r>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4.  Informácie o rozdelení účtovného zisku alebo vysporiadanie účtovnej straty.</w:t>
      </w:r>
    </w:p>
    <w:p>
      <w:pPr>
        <w:pStyle w:val="Telotextu"/>
        <w:rPr>
          <w:b/>
          <w:b/>
          <w:bCs/>
          <w:sz w:val="18"/>
          <w:szCs w:val="18"/>
        </w:rPr>
      </w:pPr>
      <w:r>
        <w:rPr>
          <w:b/>
          <w:bCs/>
          <w:sz w:val="18"/>
          <w:szCs w:val="18"/>
        </w:rPr>
      </w:r>
    </w:p>
    <w:tbl>
      <w:tblPr>
        <w:tblW w:w="7179" w:type="dxa"/>
        <w:jc w:val="left"/>
        <w:tblInd w:w="0" w:type="dxa"/>
        <w:tblCellMar>
          <w:top w:w="0" w:type="dxa"/>
          <w:left w:w="0" w:type="dxa"/>
          <w:bottom w:w="0" w:type="dxa"/>
          <w:right w:w="0" w:type="dxa"/>
        </w:tblCellMar>
      </w:tblPr>
      <w:tblGrid>
        <w:gridCol w:w="4129"/>
        <w:gridCol w:w="3049"/>
      </w:tblGrid>
      <w:tr>
        <w:trPr>
          <w:trHeight w:val="315" w:hRule="atLeast"/>
        </w:trPr>
        <w:tc>
          <w:tcPr>
            <w:tcW w:w="4129" w:type="dxa"/>
            <w:tcBorders/>
            <w:shd w:fill="FFFFFF" w:val="clear"/>
            <w:vAlign w:val="center"/>
          </w:tcPr>
          <w:p>
            <w:pPr>
              <w:pStyle w:val="Obsahtabuky"/>
              <w:rPr/>
            </w:pPr>
            <w:r>
              <w:rPr/>
              <w:t>tabuľka č. 1</w:t>
            </w:r>
          </w:p>
        </w:tc>
        <w:tc>
          <w:tcPr>
            <w:tcW w:w="3049" w:type="dxa"/>
            <w:tcBorders/>
            <w:shd w:fill="FFFFFF" w:val="clear"/>
            <w:vAlign w:val="center"/>
          </w:tcPr>
          <w:p>
            <w:pPr>
              <w:pStyle w:val="Obsahtabuky"/>
              <w:rPr>
                <w:sz w:val="4"/>
                <w:szCs w:val="4"/>
              </w:rPr>
            </w:pPr>
            <w:r>
              <w:rPr>
                <w:sz w:val="4"/>
                <w:szCs w:val="4"/>
              </w:rPr>
            </w:r>
          </w:p>
        </w:tc>
      </w:tr>
      <w:tr>
        <w:trPr>
          <w:trHeight w:val="300" w:hRule="atLeast"/>
        </w:trPr>
        <w:tc>
          <w:tcPr>
            <w:tcW w:w="4129" w:type="dxa"/>
            <w:tcBorders/>
            <w:shd w:fill="FFFFFF" w:val="clear"/>
            <w:vAlign w:val="center"/>
          </w:tcPr>
          <w:p>
            <w:pPr>
              <w:pStyle w:val="Obsahtabuky"/>
              <w:rPr>
                <w:b/>
                <w:b/>
                <w:bCs/>
              </w:rPr>
            </w:pPr>
            <w:r>
              <w:rPr/>
              <w:t>N</w:t>
            </w:r>
            <w:r>
              <w:rPr>
                <w:b/>
                <w:bCs/>
              </w:rPr>
              <w:t>ázov položky</w:t>
            </w:r>
          </w:p>
        </w:tc>
        <w:tc>
          <w:tcPr>
            <w:tcW w:w="3049" w:type="dxa"/>
            <w:tcBorders/>
            <w:shd w:fill="FFFFFF" w:val="clear"/>
            <w:vAlign w:val="center"/>
          </w:tcPr>
          <w:p>
            <w:pPr>
              <w:pStyle w:val="Obsahtabuky"/>
              <w:rPr>
                <w:b/>
                <w:b/>
                <w:bCs/>
              </w:rPr>
            </w:pPr>
            <w:r>
              <w:rPr>
                <w:b/>
                <w:bCs/>
              </w:rPr>
              <w:t>Bezprostredne predchádzajúce</w:t>
            </w:r>
          </w:p>
        </w:tc>
      </w:tr>
      <w:tr>
        <w:trPr>
          <w:trHeight w:val="315" w:hRule="atLeast"/>
        </w:trPr>
        <w:tc>
          <w:tcPr>
            <w:tcW w:w="4129" w:type="dxa"/>
            <w:tcBorders/>
            <w:shd w:fill="FFFFFF" w:val="clear"/>
            <w:vAlign w:val="center"/>
          </w:tcPr>
          <w:p>
            <w:pPr>
              <w:pStyle w:val="Obsahtabuky"/>
              <w:rPr/>
            </w:pPr>
            <w:r>
              <w:rPr/>
              <w:t> </w:t>
            </w:r>
          </w:p>
        </w:tc>
        <w:tc>
          <w:tcPr>
            <w:tcW w:w="3049" w:type="dxa"/>
            <w:tcBorders/>
            <w:shd w:fill="FFFFFF" w:val="clear"/>
            <w:vAlign w:val="center"/>
          </w:tcPr>
          <w:p>
            <w:pPr>
              <w:pStyle w:val="Obsahtabuky"/>
              <w:jc w:val="center"/>
              <w:rPr>
                <w:b/>
                <w:b/>
                <w:bCs/>
              </w:rPr>
            </w:pPr>
            <w:r>
              <w:rPr>
                <w:b/>
                <w:bCs/>
              </w:rPr>
              <w:t>účtovné obdobie</w:t>
            </w:r>
          </w:p>
        </w:tc>
      </w:tr>
      <w:tr>
        <w:trPr>
          <w:trHeight w:val="300" w:hRule="atLeast"/>
        </w:trPr>
        <w:tc>
          <w:tcPr>
            <w:tcW w:w="4129" w:type="dxa"/>
            <w:tcBorders/>
            <w:shd w:fill="FFFFFF" w:val="clear"/>
            <w:vAlign w:val="center"/>
          </w:tcPr>
          <w:p>
            <w:pPr>
              <w:pStyle w:val="Obsahtabuky"/>
              <w:rPr>
                <w:b/>
                <w:b/>
                <w:bCs/>
              </w:rPr>
            </w:pPr>
            <w:r>
              <w:rPr>
                <w:b/>
                <w:bCs/>
              </w:rPr>
              <w:t>Účtovný zisk</w:t>
            </w:r>
          </w:p>
        </w:tc>
        <w:tc>
          <w:tcPr>
            <w:tcW w:w="3049" w:type="dxa"/>
            <w:tcBorders/>
            <w:shd w:fill="FFFFFF" w:val="clear"/>
            <w:vAlign w:val="center"/>
          </w:tcPr>
          <w:p>
            <w:pPr>
              <w:pStyle w:val="Obsahtabuky"/>
              <w:rPr/>
            </w:pPr>
            <w:r>
              <w:rPr/>
              <w:t xml:space="preserve">                      </w:t>
            </w:r>
            <w:r>
              <w:rPr/>
              <w:t>0</w:t>
            </w:r>
          </w:p>
        </w:tc>
      </w:tr>
      <w:tr>
        <w:trPr>
          <w:trHeight w:val="300" w:hRule="atLeast"/>
        </w:trPr>
        <w:tc>
          <w:tcPr>
            <w:tcW w:w="4129" w:type="dxa"/>
            <w:tcBorders/>
            <w:shd w:fill="FFFFFF" w:val="clear"/>
            <w:vAlign w:val="center"/>
          </w:tcPr>
          <w:p>
            <w:pPr>
              <w:pStyle w:val="Obsahtabuky"/>
              <w:rPr/>
            </w:pPr>
            <w:r>
              <w:rPr/>
              <w:t> </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t>Rozdelenie účtovného zisku</w:t>
            </w:r>
          </w:p>
        </w:tc>
        <w:tc>
          <w:tcPr>
            <w:tcW w:w="3049" w:type="dxa"/>
            <w:tcBorders/>
            <w:shd w:fill="FFFFFF" w:val="clear"/>
            <w:vAlign w:val="center"/>
          </w:tcPr>
          <w:p>
            <w:pPr>
              <w:pStyle w:val="Obsahtabuky"/>
              <w:jc w:val="center"/>
              <w:rPr>
                <w:b/>
                <w:b/>
                <w:bCs/>
              </w:rPr>
            </w:pPr>
            <w:r>
              <w:rPr>
                <w:b/>
                <w:bCs/>
              </w:rPr>
              <w:t>Bežné účtovné obdobie</w:t>
            </w:r>
          </w:p>
        </w:tc>
      </w:tr>
      <w:tr>
        <w:trPr>
          <w:trHeight w:val="300" w:hRule="atLeast"/>
        </w:trPr>
        <w:tc>
          <w:tcPr>
            <w:tcW w:w="4129" w:type="dxa"/>
            <w:tcBorders/>
            <w:shd w:fill="FFFFFF" w:val="clear"/>
            <w:vAlign w:val="center"/>
          </w:tcPr>
          <w:p>
            <w:pPr>
              <w:pStyle w:val="Obsahtabuky"/>
              <w:rPr/>
            </w:pPr>
            <w:r>
              <w:rPr/>
              <w:t>Prídel do zákonného rezervného fondu</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t>Prídel do štatutárnych a ostatných fondov</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t>Prídel do sociálneho fondu</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t>Prídel na zvýšenie základného imania</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t>Úhrada straty minulých období</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t>Prevod do nerozdeleného zisku minulých rokov</w:t>
            </w:r>
          </w:p>
        </w:tc>
        <w:tc>
          <w:tcPr>
            <w:tcW w:w="3049" w:type="dxa"/>
            <w:tcBorders/>
            <w:shd w:fill="FFFFFF" w:val="clear"/>
            <w:vAlign w:val="center"/>
          </w:tcPr>
          <w:p>
            <w:pPr>
              <w:pStyle w:val="Obsahtabuky"/>
              <w:rPr/>
            </w:pPr>
            <w:r>
              <w:rPr/>
              <w:t xml:space="preserve">                     </w:t>
            </w:r>
            <w:r>
              <w:rPr/>
              <w:t>0</w:t>
            </w:r>
          </w:p>
        </w:tc>
      </w:tr>
      <w:tr>
        <w:trPr>
          <w:trHeight w:val="300" w:hRule="atLeast"/>
        </w:trPr>
        <w:tc>
          <w:tcPr>
            <w:tcW w:w="4129" w:type="dxa"/>
            <w:tcBorders/>
            <w:shd w:fill="FFFFFF" w:val="clear"/>
            <w:vAlign w:val="center"/>
          </w:tcPr>
          <w:p>
            <w:pPr>
              <w:pStyle w:val="Obsahtabuky"/>
              <w:rPr/>
            </w:pPr>
            <w:r>
              <w:rPr/>
              <w:t>Rozdelenie podielu na zisku spoločníkom</w:t>
            </w:r>
          </w:p>
        </w:tc>
        <w:tc>
          <w:tcPr>
            <w:tcW w:w="3049" w:type="dxa"/>
            <w:tcBorders/>
            <w:shd w:fill="FFFFFF" w:val="clear"/>
            <w:vAlign w:val="center"/>
          </w:tcPr>
          <w:p>
            <w:pPr>
              <w:pStyle w:val="Obsahtabuky"/>
              <w:rPr/>
            </w:pPr>
            <w:r>
              <w:rPr/>
              <w:t> </w:t>
            </w:r>
          </w:p>
        </w:tc>
      </w:tr>
      <w:tr>
        <w:trPr>
          <w:trHeight w:val="300" w:hRule="atLeast"/>
        </w:trPr>
        <w:tc>
          <w:tcPr>
            <w:tcW w:w="4129" w:type="dxa"/>
            <w:tcBorders/>
            <w:shd w:fill="FFFFFF" w:val="clear"/>
            <w:vAlign w:val="center"/>
          </w:tcPr>
          <w:p>
            <w:pPr>
              <w:pStyle w:val="Obsahtabuky"/>
              <w:rPr/>
            </w:pPr>
            <w:r>
              <w:rPr/>
            </w:r>
          </w:p>
        </w:tc>
        <w:tc>
          <w:tcPr>
            <w:tcW w:w="3049" w:type="dxa"/>
            <w:tcBorders/>
            <w:shd w:fill="FFFFFF" w:val="clear"/>
            <w:vAlign w:val="center"/>
          </w:tcPr>
          <w:p>
            <w:pPr>
              <w:pStyle w:val="Obsahtabuky"/>
              <w:rPr/>
            </w:pPr>
            <w:r>
              <w:rPr/>
              <w:t xml:space="preserve">                      </w:t>
            </w:r>
          </w:p>
        </w:tc>
      </w:tr>
      <w:tr>
        <w:trPr>
          <w:trHeight w:val="315" w:hRule="atLeast"/>
        </w:trPr>
        <w:tc>
          <w:tcPr>
            <w:tcW w:w="4129" w:type="dxa"/>
            <w:tcBorders/>
            <w:shd w:fill="FFFFFF" w:val="clear"/>
            <w:vAlign w:val="center"/>
          </w:tcPr>
          <w:p>
            <w:pPr>
              <w:pStyle w:val="Obsahtabuky"/>
              <w:rPr/>
            </w:pPr>
            <w:r>
              <w:rPr/>
              <w:t>iné</w:t>
            </w:r>
          </w:p>
        </w:tc>
        <w:tc>
          <w:tcPr>
            <w:tcW w:w="3049" w:type="dxa"/>
            <w:tcBorders/>
            <w:shd w:fill="FFFFFF" w:val="clear"/>
            <w:vAlign w:val="center"/>
          </w:tcPr>
          <w:p>
            <w:pPr>
              <w:pStyle w:val="Obsahtabuky"/>
              <w:rPr/>
            </w:pPr>
            <w:r>
              <w:rPr/>
              <w:t> </w:t>
            </w:r>
          </w:p>
        </w:tc>
      </w:tr>
      <w:tr>
        <w:trPr>
          <w:trHeight w:val="315" w:hRule="atLeast"/>
        </w:trPr>
        <w:tc>
          <w:tcPr>
            <w:tcW w:w="4129" w:type="dxa"/>
            <w:tcBorders/>
            <w:shd w:fill="FFFFFF" w:val="clear"/>
            <w:vAlign w:val="center"/>
          </w:tcPr>
          <w:p>
            <w:pPr>
              <w:pStyle w:val="Obsahtabuky"/>
              <w:rPr>
                <w:b/>
                <w:b/>
                <w:bCs/>
              </w:rPr>
            </w:pPr>
            <w:r>
              <w:rPr>
                <w:b/>
                <w:bCs/>
              </w:rPr>
              <w:t>Spolu:</w:t>
            </w:r>
          </w:p>
        </w:tc>
        <w:tc>
          <w:tcPr>
            <w:tcW w:w="3049" w:type="dxa"/>
            <w:tcBorders/>
            <w:shd w:fill="FFFFFF" w:val="clear"/>
            <w:vAlign w:val="center"/>
          </w:tcPr>
          <w:p>
            <w:pPr>
              <w:pStyle w:val="Obsahtabuky"/>
              <w:rPr>
                <w:b/>
                <w:b/>
                <w:bCs/>
              </w:rPr>
            </w:pPr>
            <w:r>
              <w:rPr/>
              <w:t xml:space="preserve">              </w:t>
            </w:r>
            <w:r>
              <w:rPr>
                <w:b/>
                <w:bCs/>
              </w:rPr>
              <w:t xml:space="preserve">        </w:t>
            </w:r>
            <w:r>
              <w:rPr>
                <w:b/>
                <w:bCs/>
              </w:rPr>
              <w:t>0</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t>Spoločnosť v účtovnom období nevykázala zisk, účtovala iba o odloženej dani.</w:t>
      </w:r>
    </w:p>
    <w:p>
      <w:pPr>
        <w:pStyle w:val="Telotextu"/>
        <w:rPr>
          <w:b w:val="false"/>
          <w:b w:val="false"/>
          <w:bCs w:val="false"/>
          <w:sz w:val="18"/>
          <w:szCs w:val="18"/>
        </w:rPr>
      </w:pPr>
      <w:r>
        <w:rPr>
          <w:b w:val="false"/>
          <w:bCs w:val="false"/>
          <w:sz w:val="18"/>
          <w:szCs w:val="18"/>
        </w:rPr>
      </w:r>
    </w:p>
    <w:tbl>
      <w:tblPr>
        <w:tblW w:w="7179" w:type="dxa"/>
        <w:jc w:val="left"/>
        <w:tblInd w:w="0" w:type="dxa"/>
        <w:tblCellMar>
          <w:top w:w="0" w:type="dxa"/>
          <w:left w:w="0" w:type="dxa"/>
          <w:bottom w:w="0" w:type="dxa"/>
          <w:right w:w="0" w:type="dxa"/>
        </w:tblCellMar>
      </w:tblPr>
      <w:tblGrid>
        <w:gridCol w:w="4164"/>
        <w:gridCol w:w="3014"/>
      </w:tblGrid>
      <w:tr>
        <w:trPr>
          <w:trHeight w:val="315" w:hRule="atLeast"/>
        </w:trPr>
        <w:tc>
          <w:tcPr>
            <w:tcW w:w="4164" w:type="dxa"/>
            <w:tcBorders/>
            <w:shd w:fill="FFFFFF" w:val="clear"/>
            <w:vAlign w:val="center"/>
          </w:tcPr>
          <w:p>
            <w:pPr>
              <w:pStyle w:val="Obsahtabuky"/>
              <w:rPr/>
            </w:pPr>
            <w:r>
              <w:rPr/>
              <w:t>tabuľka č. 2</w:t>
            </w:r>
          </w:p>
        </w:tc>
        <w:tc>
          <w:tcPr>
            <w:tcW w:w="3014" w:type="dxa"/>
            <w:tcBorders/>
            <w:shd w:fill="FFFFFF" w:val="clear"/>
            <w:vAlign w:val="center"/>
          </w:tcPr>
          <w:p>
            <w:pPr>
              <w:pStyle w:val="Obsahtabuky"/>
              <w:rPr>
                <w:sz w:val="4"/>
                <w:szCs w:val="4"/>
              </w:rPr>
            </w:pPr>
            <w:r>
              <w:rPr>
                <w:sz w:val="4"/>
                <w:szCs w:val="4"/>
              </w:rPr>
            </w:r>
          </w:p>
        </w:tc>
      </w:tr>
      <w:tr>
        <w:trPr>
          <w:trHeight w:val="300" w:hRule="atLeast"/>
        </w:trPr>
        <w:tc>
          <w:tcPr>
            <w:tcW w:w="4164" w:type="dxa"/>
            <w:tcBorders/>
            <w:shd w:fill="FFFFFF" w:val="clear"/>
            <w:vAlign w:val="center"/>
          </w:tcPr>
          <w:p>
            <w:pPr>
              <w:pStyle w:val="Obsahtabuky"/>
              <w:rPr>
                <w:b/>
                <w:b/>
                <w:bCs/>
              </w:rPr>
            </w:pPr>
            <w:r>
              <w:rPr>
                <w:b/>
                <w:bCs/>
              </w:rPr>
              <w:t>Názov položky</w:t>
            </w:r>
          </w:p>
        </w:tc>
        <w:tc>
          <w:tcPr>
            <w:tcW w:w="3014" w:type="dxa"/>
            <w:tcBorders/>
            <w:shd w:fill="FFFFFF" w:val="clear"/>
            <w:vAlign w:val="center"/>
          </w:tcPr>
          <w:p>
            <w:pPr>
              <w:pStyle w:val="Obsahtabuky"/>
              <w:rPr>
                <w:b/>
                <w:b/>
                <w:bCs/>
              </w:rPr>
            </w:pPr>
            <w:r>
              <w:rPr>
                <w:b/>
                <w:bCs/>
              </w:rPr>
              <w:t>Bezprostredne predchádzajúce</w:t>
            </w:r>
          </w:p>
        </w:tc>
      </w:tr>
      <w:tr>
        <w:trPr>
          <w:trHeight w:val="315" w:hRule="atLeast"/>
        </w:trPr>
        <w:tc>
          <w:tcPr>
            <w:tcW w:w="4164" w:type="dxa"/>
            <w:tcBorders/>
            <w:shd w:fill="FFFFFF" w:val="clear"/>
            <w:vAlign w:val="center"/>
          </w:tcPr>
          <w:p>
            <w:pPr>
              <w:pStyle w:val="Obsahtabuky"/>
              <w:rPr/>
            </w:pPr>
            <w:r>
              <w:rPr/>
              <w:t> </w:t>
            </w:r>
          </w:p>
        </w:tc>
        <w:tc>
          <w:tcPr>
            <w:tcW w:w="3014" w:type="dxa"/>
            <w:tcBorders/>
            <w:shd w:fill="FFFFFF" w:val="clear"/>
            <w:vAlign w:val="center"/>
          </w:tcPr>
          <w:p>
            <w:pPr>
              <w:pStyle w:val="Obsahtabuky"/>
              <w:jc w:val="center"/>
              <w:rPr>
                <w:b/>
                <w:b/>
                <w:bCs/>
              </w:rPr>
            </w:pPr>
            <w:r>
              <w:rPr>
                <w:b/>
                <w:bCs/>
              </w:rPr>
              <w:t>účtovné obdobie</w:t>
            </w:r>
          </w:p>
        </w:tc>
      </w:tr>
      <w:tr>
        <w:trPr>
          <w:trHeight w:val="300" w:hRule="atLeast"/>
        </w:trPr>
        <w:tc>
          <w:tcPr>
            <w:tcW w:w="4164" w:type="dxa"/>
            <w:tcBorders/>
            <w:shd w:fill="FFFFFF" w:val="clear"/>
            <w:vAlign w:val="center"/>
          </w:tcPr>
          <w:p>
            <w:pPr>
              <w:pStyle w:val="Obsahtabuky"/>
              <w:rPr>
                <w:b/>
                <w:b/>
                <w:bCs/>
              </w:rPr>
            </w:pPr>
            <w:r>
              <w:rPr>
                <w:b/>
                <w:bCs/>
              </w:rPr>
              <w:t>Účtovná strata</w:t>
            </w:r>
          </w:p>
        </w:tc>
        <w:tc>
          <w:tcPr>
            <w:tcW w:w="3014" w:type="dxa"/>
            <w:tcBorders/>
            <w:shd w:fill="FFFFFF" w:val="clear"/>
            <w:vAlign w:val="center"/>
          </w:tcPr>
          <w:p>
            <w:pPr>
              <w:pStyle w:val="Obsahtabuky"/>
              <w:jc w:val="center"/>
              <w:rPr/>
            </w:pPr>
            <w:r>
              <w:rPr/>
              <w:t>0</w:t>
            </w:r>
          </w:p>
        </w:tc>
      </w:tr>
      <w:tr>
        <w:trPr>
          <w:trHeight w:val="300" w:hRule="atLeast"/>
        </w:trPr>
        <w:tc>
          <w:tcPr>
            <w:tcW w:w="4164" w:type="dxa"/>
            <w:tcBorders/>
            <w:shd w:fill="FFFFFF" w:val="clear"/>
            <w:vAlign w:val="center"/>
          </w:tcPr>
          <w:p>
            <w:pPr>
              <w:pStyle w:val="Obsahtabuky"/>
              <w:rPr/>
            </w:pPr>
            <w:r>
              <w:rPr/>
              <w:t> </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vysporiadanie účtovnej straty</w:t>
            </w:r>
          </w:p>
        </w:tc>
        <w:tc>
          <w:tcPr>
            <w:tcW w:w="3014" w:type="dxa"/>
            <w:tcBorders/>
            <w:shd w:fill="FFFFFF" w:val="clear"/>
            <w:vAlign w:val="center"/>
          </w:tcPr>
          <w:p>
            <w:pPr>
              <w:pStyle w:val="Obsahtabuky"/>
              <w:jc w:val="center"/>
              <w:rPr>
                <w:b/>
                <w:b/>
                <w:bCs/>
              </w:rPr>
            </w:pPr>
            <w:r>
              <w:rPr>
                <w:b/>
                <w:bCs/>
              </w:rPr>
              <w:t>Bežné účtovné obdobie</w:t>
            </w:r>
          </w:p>
        </w:tc>
      </w:tr>
      <w:tr>
        <w:trPr>
          <w:trHeight w:val="300" w:hRule="atLeast"/>
        </w:trPr>
        <w:tc>
          <w:tcPr>
            <w:tcW w:w="4164" w:type="dxa"/>
            <w:tcBorders/>
            <w:shd w:fill="FFFFFF" w:val="clear"/>
            <w:vAlign w:val="center"/>
          </w:tcPr>
          <w:p>
            <w:pPr>
              <w:pStyle w:val="Obsahtabuky"/>
              <w:rPr/>
            </w:pPr>
            <w:r>
              <w:rPr/>
              <w:t>Prídel do zákonného rezervného fondu</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Prídel do štatutárnych a ostatných fondov</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Prídel do sociálneho fondu</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Prídel na zvýšenie základného imania</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Úhrada straty minulých období</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Prevod do nerozdeleného zisku minulých rokov</w:t>
            </w:r>
          </w:p>
        </w:tc>
        <w:tc>
          <w:tcPr>
            <w:tcW w:w="3014" w:type="dxa"/>
            <w:tcBorders/>
            <w:shd w:fill="FFFFFF" w:val="clear"/>
            <w:vAlign w:val="center"/>
          </w:tcPr>
          <w:p>
            <w:pPr>
              <w:pStyle w:val="Obsahtabuky"/>
              <w:rPr/>
            </w:pPr>
            <w:r>
              <w:rPr/>
              <w:t> </w:t>
            </w:r>
          </w:p>
        </w:tc>
      </w:tr>
      <w:tr>
        <w:trPr>
          <w:trHeight w:val="300" w:hRule="atLeast"/>
        </w:trPr>
        <w:tc>
          <w:tcPr>
            <w:tcW w:w="4164" w:type="dxa"/>
            <w:tcBorders/>
            <w:shd w:fill="FFFFFF" w:val="clear"/>
            <w:vAlign w:val="center"/>
          </w:tcPr>
          <w:p>
            <w:pPr>
              <w:pStyle w:val="Obsahtabuky"/>
              <w:rPr/>
            </w:pPr>
            <w:r>
              <w:rPr/>
              <w:t>Rozdelenie podielu na zisku spoločníkom</w:t>
            </w:r>
          </w:p>
        </w:tc>
        <w:tc>
          <w:tcPr>
            <w:tcW w:w="3014" w:type="dxa"/>
            <w:tcBorders/>
            <w:shd w:fill="FFFFFF" w:val="clear"/>
            <w:vAlign w:val="center"/>
          </w:tcPr>
          <w:p>
            <w:pPr>
              <w:pStyle w:val="Obsahtabuky"/>
              <w:rPr/>
            </w:pPr>
            <w:r>
              <w:rPr/>
              <w:t> </w:t>
            </w:r>
          </w:p>
        </w:tc>
      </w:tr>
      <w:tr>
        <w:trPr>
          <w:trHeight w:val="315" w:hRule="atLeast"/>
        </w:trPr>
        <w:tc>
          <w:tcPr>
            <w:tcW w:w="4164" w:type="dxa"/>
            <w:tcBorders/>
            <w:shd w:fill="FFFFFF" w:val="clear"/>
            <w:vAlign w:val="center"/>
          </w:tcPr>
          <w:p>
            <w:pPr>
              <w:pStyle w:val="Obsahtabuky"/>
              <w:rPr/>
            </w:pPr>
            <w:r>
              <w:rPr/>
              <w:t>Daňová licencia</w:t>
            </w:r>
          </w:p>
        </w:tc>
        <w:tc>
          <w:tcPr>
            <w:tcW w:w="3014" w:type="dxa"/>
            <w:tcBorders/>
            <w:shd w:fill="FFFFFF" w:val="clear"/>
            <w:vAlign w:val="center"/>
          </w:tcPr>
          <w:p>
            <w:pPr>
              <w:pStyle w:val="Obsahtabuky"/>
              <w:jc w:val="center"/>
              <w:rPr/>
            </w:pPr>
            <w:r>
              <w:rPr/>
              <w:t>0</w:t>
            </w:r>
          </w:p>
        </w:tc>
      </w:tr>
      <w:tr>
        <w:trPr>
          <w:trHeight w:val="315" w:hRule="atLeast"/>
        </w:trPr>
        <w:tc>
          <w:tcPr>
            <w:tcW w:w="4164" w:type="dxa"/>
            <w:tcBorders/>
            <w:shd w:fill="FFFFFF" w:val="clear"/>
            <w:vAlign w:val="center"/>
          </w:tcPr>
          <w:p>
            <w:pPr>
              <w:pStyle w:val="Obsahtabuky"/>
              <w:rPr>
                <w:b/>
                <w:b/>
                <w:bCs/>
              </w:rPr>
            </w:pPr>
            <w:r>
              <w:rPr>
                <w:b/>
                <w:bCs/>
              </w:rPr>
              <w:t>Spolu:</w:t>
            </w:r>
          </w:p>
        </w:tc>
        <w:tc>
          <w:tcPr>
            <w:tcW w:w="3014" w:type="dxa"/>
            <w:tcBorders/>
            <w:shd w:fill="FFFFFF" w:val="clear"/>
            <w:vAlign w:val="center"/>
          </w:tcPr>
          <w:p>
            <w:pPr>
              <w:pStyle w:val="Obsahtabuky"/>
              <w:jc w:val="center"/>
              <w:rPr/>
            </w:pPr>
            <w:r>
              <w:rPr/>
              <w:t>0</w:t>
            </w:r>
          </w:p>
        </w:tc>
      </w:tr>
    </w:tbl>
    <w:p>
      <w:pPr>
        <w:pStyle w:val="Telotextu"/>
        <w:rPr>
          <w:b w:val="false"/>
          <w:b w:val="false"/>
          <w:bCs w:val="false"/>
          <w:sz w:val="18"/>
          <w:szCs w:val="18"/>
        </w:rPr>
      </w:pPr>
      <w:r>
        <w:rPr>
          <w:b w:val="false"/>
          <w:bCs w:val="false"/>
          <w:sz w:val="18"/>
          <w:szCs w:val="18"/>
        </w:rPr>
      </w:r>
    </w:p>
    <w:p>
      <w:pPr>
        <w:pStyle w:val="Telotextu"/>
        <w:rPr/>
      </w:pPr>
      <w:r>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5.  Informácie o rezervách</w:t>
      </w:r>
    </w:p>
    <w:p>
      <w:pPr>
        <w:pStyle w:val="Telotextu"/>
        <w:rPr>
          <w:b w:val="false"/>
          <w:b w:val="false"/>
          <w:bCs w:val="false"/>
          <w:sz w:val="18"/>
          <w:szCs w:val="18"/>
        </w:rPr>
      </w:pPr>
      <w:r>
        <w:rPr>
          <w:b w:val="false"/>
          <w:bCs w:val="false"/>
          <w:sz w:val="18"/>
          <w:szCs w:val="18"/>
        </w:rPr>
        <w:t>Spoločnosť v bežnom účtovnom období nemala povinnosť tvoriť rezervy.</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6.  Informácie o záväzkoch</w:t>
      </w:r>
    </w:p>
    <w:p>
      <w:pPr>
        <w:pStyle w:val="Telotextu"/>
        <w:rPr>
          <w:b w:val="false"/>
          <w:b w:val="false"/>
          <w:bCs w:val="false"/>
          <w:sz w:val="18"/>
          <w:szCs w:val="18"/>
        </w:rPr>
      </w:pPr>
      <w:r>
        <w:rPr>
          <w:b w:val="false"/>
          <w:bCs w:val="false"/>
          <w:sz w:val="18"/>
          <w:szCs w:val="18"/>
        </w:rPr>
      </w:r>
    </w:p>
    <w:tbl>
      <w:tblPr>
        <w:tblW w:w="7876" w:type="dxa"/>
        <w:jc w:val="left"/>
        <w:tblInd w:w="7" w:type="dxa"/>
        <w:tblCellMar>
          <w:top w:w="0" w:type="dxa"/>
          <w:left w:w="0" w:type="dxa"/>
          <w:bottom w:w="0" w:type="dxa"/>
          <w:right w:w="0" w:type="dxa"/>
        </w:tblCellMar>
      </w:tblPr>
      <w:tblGrid>
        <w:gridCol w:w="2898"/>
        <w:gridCol w:w="2484"/>
        <w:gridCol w:w="2494"/>
      </w:tblGrid>
      <w:tr>
        <w:trPr>
          <w:trHeight w:val="300" w:hRule="atLeast"/>
        </w:trPr>
        <w:tc>
          <w:tcPr>
            <w:tcW w:w="2898" w:type="dxa"/>
            <w:tcBorders/>
            <w:shd w:fill="FFFFFF" w:val="clear"/>
            <w:vAlign w:val="center"/>
          </w:tcPr>
          <w:p>
            <w:pPr>
              <w:pStyle w:val="Obsahtabuky"/>
              <w:rPr>
                <w:b/>
                <w:b/>
                <w:bCs/>
              </w:rPr>
            </w:pPr>
            <w:r>
              <w:rPr>
                <w:b/>
                <w:bCs/>
              </w:rPr>
              <w:t>Názov položky</w:t>
            </w:r>
          </w:p>
        </w:tc>
        <w:tc>
          <w:tcPr>
            <w:tcW w:w="2484" w:type="dxa"/>
            <w:tcBorders/>
            <w:shd w:fill="FFFFFF" w:val="clear"/>
            <w:vAlign w:val="center"/>
          </w:tcPr>
          <w:p>
            <w:pPr>
              <w:pStyle w:val="Obsahtabuky"/>
              <w:jc w:val="center"/>
              <w:rPr>
                <w:b/>
                <w:b/>
                <w:bCs/>
              </w:rPr>
            </w:pPr>
            <w:r>
              <w:rPr>
                <w:b/>
                <w:bCs/>
              </w:rPr>
              <w:t>Bežné účtovné obdobie</w:t>
            </w:r>
          </w:p>
        </w:tc>
        <w:tc>
          <w:tcPr>
            <w:tcW w:w="2494" w:type="dxa"/>
            <w:tcBorders/>
            <w:shd w:fill="FFFFFF" w:val="clear"/>
            <w:vAlign w:val="center"/>
          </w:tcPr>
          <w:p>
            <w:pPr>
              <w:pStyle w:val="Obsahtabuky"/>
              <w:jc w:val="center"/>
              <w:rPr>
                <w:b/>
                <w:b/>
                <w:bCs/>
              </w:rPr>
            </w:pPr>
            <w:r>
              <w:rPr>
                <w:b/>
                <w:bCs/>
              </w:rPr>
              <w:t>Bezprostredne predchádzajúce</w:t>
            </w:r>
          </w:p>
        </w:tc>
      </w:tr>
      <w:tr>
        <w:trPr>
          <w:trHeight w:val="315" w:hRule="atLeast"/>
        </w:trPr>
        <w:tc>
          <w:tcPr>
            <w:tcW w:w="2898" w:type="dxa"/>
            <w:tcBorders/>
            <w:shd w:fill="FFFFFF" w:val="clear"/>
            <w:vAlign w:val="center"/>
          </w:tcPr>
          <w:p>
            <w:pPr>
              <w:pStyle w:val="Obsahtabuky"/>
              <w:rPr/>
            </w:pPr>
            <w:r>
              <w:rPr/>
              <w:t> </w:t>
            </w:r>
          </w:p>
        </w:tc>
        <w:tc>
          <w:tcPr>
            <w:tcW w:w="2484" w:type="dxa"/>
            <w:tcBorders/>
            <w:shd w:fill="FFFFFF" w:val="clear"/>
            <w:vAlign w:val="center"/>
          </w:tcPr>
          <w:p>
            <w:pPr>
              <w:pStyle w:val="Obsahtabuky"/>
              <w:jc w:val="center"/>
              <w:rPr>
                <w:b/>
                <w:b/>
                <w:bCs/>
              </w:rPr>
            </w:pPr>
            <w:r>
              <w:rPr>
                <w:b/>
                <w:bCs/>
              </w:rPr>
              <w:t>účtovné obdobie</w:t>
            </w:r>
          </w:p>
        </w:tc>
        <w:tc>
          <w:tcPr>
            <w:tcW w:w="2494" w:type="dxa"/>
            <w:tcBorders/>
            <w:shd w:fill="FFFFFF" w:val="clear"/>
            <w:vAlign w:val="center"/>
          </w:tcPr>
          <w:p>
            <w:pPr>
              <w:pStyle w:val="Obsahtabuky"/>
              <w:jc w:val="center"/>
              <w:rPr>
                <w:b/>
                <w:b/>
                <w:bCs/>
              </w:rPr>
            </w:pPr>
            <w:r>
              <w:rPr>
                <w:b/>
                <w:bCs/>
              </w:rPr>
              <w:t>účtovné obdobie</w:t>
            </w:r>
          </w:p>
        </w:tc>
      </w:tr>
      <w:tr>
        <w:trPr>
          <w:trHeight w:val="300" w:hRule="atLeast"/>
        </w:trPr>
        <w:tc>
          <w:tcPr>
            <w:tcW w:w="2898" w:type="dxa"/>
            <w:tcBorders/>
            <w:shd w:fill="FFFFFF" w:val="clear"/>
            <w:vAlign w:val="center"/>
          </w:tcPr>
          <w:p>
            <w:pPr>
              <w:pStyle w:val="Obsahtabuky"/>
              <w:rPr/>
            </w:pPr>
            <w:r>
              <w:rPr/>
              <w:t>Záväzky z obchodného styku</w:t>
            </w:r>
          </w:p>
        </w:tc>
        <w:tc>
          <w:tcPr>
            <w:tcW w:w="2484" w:type="dxa"/>
            <w:tcBorders/>
            <w:shd w:fill="FFFFFF" w:val="clear"/>
            <w:vAlign w:val="center"/>
          </w:tcPr>
          <w:p>
            <w:pPr>
              <w:pStyle w:val="Obsahtabuky"/>
              <w:rPr/>
            </w:pPr>
            <w:r>
              <w:rPr/>
              <w:t xml:space="preserve">                    </w:t>
            </w:r>
            <w:r>
              <w:rPr/>
              <w:t>0</w:t>
            </w:r>
          </w:p>
        </w:tc>
        <w:tc>
          <w:tcPr>
            <w:tcW w:w="2494" w:type="dxa"/>
            <w:tcBorders/>
            <w:shd w:fill="FFFFFF" w:val="clear"/>
            <w:vAlign w:val="center"/>
          </w:tcPr>
          <w:p>
            <w:pPr>
              <w:pStyle w:val="Obsahtabuky"/>
              <w:rPr/>
            </w:pPr>
            <w:r>
              <w:rPr/>
              <w:t xml:space="preserve">                  </w:t>
            </w:r>
          </w:p>
        </w:tc>
      </w:tr>
      <w:tr>
        <w:trPr>
          <w:trHeight w:val="300" w:hRule="atLeast"/>
        </w:trPr>
        <w:tc>
          <w:tcPr>
            <w:tcW w:w="2898" w:type="dxa"/>
            <w:tcBorders/>
            <w:shd w:fill="FFFFFF" w:val="clear"/>
            <w:vAlign w:val="center"/>
          </w:tcPr>
          <w:p>
            <w:pPr>
              <w:pStyle w:val="Obsahtabuky"/>
              <w:rPr/>
            </w:pPr>
            <w:r>
              <w:rPr/>
              <w:t>Záväzky voči daňovému úradu</w:t>
            </w:r>
          </w:p>
        </w:tc>
        <w:tc>
          <w:tcPr>
            <w:tcW w:w="2484" w:type="dxa"/>
            <w:tcBorders/>
            <w:shd w:fill="FFFFFF" w:val="clear"/>
            <w:vAlign w:val="center"/>
          </w:tcPr>
          <w:p>
            <w:pPr>
              <w:pStyle w:val="Obsahtabuky"/>
              <w:jc w:val="center"/>
              <w:rPr>
                <w:sz w:val="16"/>
                <w:szCs w:val="16"/>
              </w:rPr>
            </w:pPr>
            <w:r>
              <w:rPr>
                <w:sz w:val="16"/>
                <w:szCs w:val="16"/>
              </w:rPr>
              <w:t>0</w:t>
            </w:r>
          </w:p>
        </w:tc>
        <w:tc>
          <w:tcPr>
            <w:tcW w:w="2494" w:type="dxa"/>
            <w:tcBorders/>
            <w:shd w:fill="FFFFFF" w:val="clear"/>
            <w:vAlign w:val="center"/>
          </w:tcPr>
          <w:p>
            <w:pPr>
              <w:pStyle w:val="Obsahtabuky"/>
              <w:jc w:val="center"/>
              <w:rPr/>
            </w:pPr>
            <w:r>
              <w:rPr/>
              <w:t>0</w:t>
            </w:r>
          </w:p>
        </w:tc>
      </w:tr>
      <w:tr>
        <w:trPr>
          <w:trHeight w:val="315" w:hRule="atLeast"/>
        </w:trPr>
        <w:tc>
          <w:tcPr>
            <w:tcW w:w="2898" w:type="dxa"/>
            <w:tcBorders/>
            <w:shd w:fill="FFFFFF" w:val="clear"/>
            <w:vAlign w:val="center"/>
          </w:tcPr>
          <w:p>
            <w:pPr>
              <w:pStyle w:val="Obsahtabuky"/>
              <w:rPr/>
            </w:pPr>
            <w:r>
              <w:rPr/>
              <w:t>né záväzky</w:t>
            </w:r>
          </w:p>
        </w:tc>
        <w:tc>
          <w:tcPr>
            <w:tcW w:w="2484" w:type="dxa"/>
            <w:tcBorders/>
            <w:shd w:fill="FFFFFF" w:val="clear"/>
            <w:vAlign w:val="center"/>
          </w:tcPr>
          <w:p>
            <w:pPr>
              <w:pStyle w:val="Obsahtabuky"/>
              <w:rPr/>
            </w:pPr>
            <w:r>
              <w:rPr/>
            </w:r>
          </w:p>
        </w:tc>
        <w:tc>
          <w:tcPr>
            <w:tcW w:w="2494" w:type="dxa"/>
            <w:tcBorders/>
            <w:shd w:fill="FFFFFF" w:val="clear"/>
            <w:vAlign w:val="center"/>
          </w:tcPr>
          <w:p>
            <w:pPr>
              <w:pStyle w:val="Obsahtabuky"/>
              <w:jc w:val="center"/>
              <w:rPr/>
            </w:pPr>
            <w:r>
              <w:rPr/>
            </w:r>
          </w:p>
        </w:tc>
      </w:tr>
      <w:tr>
        <w:trPr>
          <w:trHeight w:val="315" w:hRule="atLeast"/>
        </w:trPr>
        <w:tc>
          <w:tcPr>
            <w:tcW w:w="2898" w:type="dxa"/>
            <w:tcBorders/>
            <w:shd w:fill="FFFFFF" w:val="clear"/>
            <w:vAlign w:val="center"/>
          </w:tcPr>
          <w:p>
            <w:pPr>
              <w:pStyle w:val="Obsahtabuky"/>
              <w:rPr>
                <w:b/>
                <w:b/>
                <w:bCs/>
              </w:rPr>
            </w:pPr>
            <w:r>
              <w:rPr>
                <w:b/>
                <w:bCs/>
              </w:rPr>
              <w:t>Krátkodobé záväzky spolu:</w:t>
            </w:r>
          </w:p>
        </w:tc>
        <w:tc>
          <w:tcPr>
            <w:tcW w:w="2484" w:type="dxa"/>
            <w:tcBorders/>
            <w:shd w:fill="FFFFFF" w:val="clear"/>
            <w:vAlign w:val="center"/>
          </w:tcPr>
          <w:p>
            <w:pPr>
              <w:pStyle w:val="Obsahtabuky"/>
              <w:jc w:val="center"/>
              <w:rPr>
                <w:b/>
                <w:b/>
                <w:bCs/>
                <w:sz w:val="16"/>
                <w:szCs w:val="16"/>
              </w:rPr>
            </w:pPr>
            <w:r>
              <w:rPr>
                <w:b/>
                <w:bCs/>
                <w:sz w:val="16"/>
                <w:szCs w:val="16"/>
              </w:rPr>
              <w:t>0</w:t>
            </w:r>
          </w:p>
        </w:tc>
        <w:tc>
          <w:tcPr>
            <w:tcW w:w="2494" w:type="dxa"/>
            <w:tcBorders/>
            <w:shd w:fill="FFFFFF" w:val="clear"/>
            <w:vAlign w:val="center"/>
          </w:tcPr>
          <w:p>
            <w:pPr>
              <w:pStyle w:val="Obsahtabuky"/>
              <w:jc w:val="center"/>
              <w:rPr/>
            </w:pPr>
            <w:r>
              <w:rPr>
                <w:b/>
                <w:bCs/>
                <w:sz w:val="16"/>
                <w:szCs w:val="16"/>
              </w:rPr>
              <w:t>0</w:t>
            </w:r>
          </w:p>
        </w:tc>
      </w:tr>
      <w:tr>
        <w:trPr>
          <w:trHeight w:val="300" w:hRule="atLeast"/>
        </w:trPr>
        <w:tc>
          <w:tcPr>
            <w:tcW w:w="2898" w:type="dxa"/>
            <w:tcBorders/>
            <w:shd w:fill="FFFFFF" w:val="clear"/>
            <w:vAlign w:val="center"/>
          </w:tcPr>
          <w:p>
            <w:pPr>
              <w:pStyle w:val="Obsahtabuky"/>
              <w:rPr/>
            </w:pPr>
            <w:r>
              <w:rPr/>
              <w:t>Záväzky s dobou splatnosti 1-5</w:t>
            </w:r>
          </w:p>
        </w:tc>
        <w:tc>
          <w:tcPr>
            <w:tcW w:w="2484" w:type="dxa"/>
            <w:tcBorders/>
            <w:shd w:fill="FFFFFF" w:val="clear"/>
            <w:vAlign w:val="center"/>
          </w:tcPr>
          <w:p>
            <w:pPr>
              <w:pStyle w:val="Obsahtabuky"/>
              <w:rPr/>
            </w:pPr>
            <w:r>
              <w:rPr/>
            </w:r>
          </w:p>
        </w:tc>
        <w:tc>
          <w:tcPr>
            <w:tcW w:w="2494" w:type="dxa"/>
            <w:tcBorders/>
            <w:shd w:fill="FFFFFF" w:val="clear"/>
            <w:vAlign w:val="center"/>
          </w:tcPr>
          <w:p>
            <w:pPr>
              <w:pStyle w:val="Obsahtabuky"/>
              <w:jc w:val="center"/>
              <w:rPr/>
            </w:pPr>
            <w:r>
              <w:rPr/>
            </w:r>
          </w:p>
        </w:tc>
      </w:tr>
      <w:tr>
        <w:trPr>
          <w:trHeight w:val="315" w:hRule="atLeast"/>
        </w:trPr>
        <w:tc>
          <w:tcPr>
            <w:tcW w:w="2898" w:type="dxa"/>
            <w:tcBorders/>
            <w:shd w:fill="FFFFFF" w:val="clear"/>
            <w:vAlign w:val="center"/>
          </w:tcPr>
          <w:p>
            <w:pPr>
              <w:pStyle w:val="Obsahtabuky"/>
              <w:rPr/>
            </w:pPr>
            <w:r>
              <w:rPr/>
              <w:t>Záväzky s dobou splatnosti nad 5</w:t>
            </w:r>
          </w:p>
        </w:tc>
        <w:tc>
          <w:tcPr>
            <w:tcW w:w="2484" w:type="dxa"/>
            <w:tcBorders/>
            <w:shd w:fill="FFFFFF" w:val="clear"/>
            <w:vAlign w:val="center"/>
          </w:tcPr>
          <w:p>
            <w:pPr>
              <w:pStyle w:val="Obsahtabuky"/>
              <w:rPr/>
            </w:pPr>
            <w:r>
              <w:rPr/>
            </w:r>
          </w:p>
        </w:tc>
        <w:tc>
          <w:tcPr>
            <w:tcW w:w="2494" w:type="dxa"/>
            <w:tcBorders/>
            <w:shd w:fill="FFFFFF" w:val="clear"/>
            <w:vAlign w:val="center"/>
          </w:tcPr>
          <w:p>
            <w:pPr>
              <w:pStyle w:val="Obsahtabuky"/>
              <w:jc w:val="center"/>
              <w:rPr/>
            </w:pPr>
            <w:r>
              <w:rPr/>
            </w:r>
          </w:p>
        </w:tc>
      </w:tr>
      <w:tr>
        <w:trPr>
          <w:trHeight w:val="315" w:hRule="atLeast"/>
        </w:trPr>
        <w:tc>
          <w:tcPr>
            <w:tcW w:w="2898" w:type="dxa"/>
            <w:tcBorders/>
            <w:shd w:fill="FFFFFF" w:val="clear"/>
            <w:vAlign w:val="center"/>
          </w:tcPr>
          <w:p>
            <w:pPr>
              <w:pStyle w:val="Obsahtabuky"/>
              <w:rPr>
                <w:b/>
                <w:b/>
                <w:bCs/>
              </w:rPr>
            </w:pPr>
            <w:r>
              <w:rPr>
                <w:b/>
                <w:bCs/>
              </w:rPr>
              <w:t>Záväzky spolu:</w:t>
            </w:r>
          </w:p>
        </w:tc>
        <w:tc>
          <w:tcPr>
            <w:tcW w:w="2484" w:type="dxa"/>
            <w:tcBorders/>
            <w:shd w:fill="FFFFFF" w:val="clear"/>
            <w:vAlign w:val="center"/>
          </w:tcPr>
          <w:p>
            <w:pPr>
              <w:pStyle w:val="Obsahtabuky"/>
              <w:jc w:val="center"/>
              <w:rPr>
                <w:b/>
                <w:b/>
                <w:bCs/>
                <w:sz w:val="16"/>
                <w:szCs w:val="16"/>
              </w:rPr>
            </w:pPr>
            <w:r>
              <w:rPr>
                <w:b/>
                <w:bCs/>
                <w:sz w:val="16"/>
                <w:szCs w:val="16"/>
              </w:rPr>
              <w:t>0</w:t>
            </w:r>
          </w:p>
        </w:tc>
        <w:tc>
          <w:tcPr>
            <w:tcW w:w="2494" w:type="dxa"/>
            <w:tcBorders/>
            <w:shd w:fill="FFFFFF" w:val="clear"/>
            <w:vAlign w:val="center"/>
          </w:tcPr>
          <w:p>
            <w:pPr>
              <w:pStyle w:val="Obsahtabuky"/>
              <w:jc w:val="center"/>
              <w:rPr/>
            </w:pPr>
            <w:r>
              <w:rPr>
                <w:b/>
                <w:bCs/>
                <w:sz w:val="16"/>
                <w:szCs w:val="16"/>
              </w:rPr>
              <w:t>0</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Spoločnosť vykazuje za hodnotiace obdobie iba krátkodobé záväzky v lehote splatnosti</w:t>
      </w:r>
    </w:p>
    <w:p>
      <w:pPr>
        <w:pStyle w:val="Telotextu"/>
        <w:rPr>
          <w:b w:val="false"/>
          <w:b w:val="false"/>
          <w:bCs w:val="false"/>
          <w:sz w:val="16"/>
          <w:szCs w:val="16"/>
        </w:rPr>
      </w:pPr>
      <w:r>
        <w:rPr>
          <w:b w:val="false"/>
          <w:bCs w:val="false"/>
          <w:sz w:val="16"/>
          <w:szCs w:val="16"/>
        </w:rPr>
      </w:r>
    </w:p>
    <w:tbl>
      <w:tblPr>
        <w:tblW w:w="7889" w:type="dxa"/>
        <w:jc w:val="left"/>
        <w:tblInd w:w="0" w:type="dxa"/>
        <w:tblCellMar>
          <w:top w:w="0" w:type="dxa"/>
          <w:left w:w="0" w:type="dxa"/>
          <w:bottom w:w="0" w:type="dxa"/>
          <w:right w:w="0" w:type="dxa"/>
        </w:tblCellMar>
      </w:tblPr>
      <w:tblGrid>
        <w:gridCol w:w="2903"/>
        <w:gridCol w:w="2486"/>
        <w:gridCol w:w="2500"/>
      </w:tblGrid>
      <w:tr>
        <w:trPr>
          <w:trHeight w:val="300" w:hRule="atLeast"/>
        </w:trPr>
        <w:tc>
          <w:tcPr>
            <w:tcW w:w="2903" w:type="dxa"/>
            <w:tcBorders/>
            <w:shd w:fill="FFFFFF" w:val="clear"/>
            <w:vAlign w:val="center"/>
          </w:tcPr>
          <w:p>
            <w:pPr>
              <w:pStyle w:val="Obsahtabuky"/>
              <w:rPr>
                <w:b/>
                <w:b/>
                <w:bCs/>
                <w:sz w:val="16"/>
                <w:szCs w:val="16"/>
              </w:rPr>
            </w:pPr>
            <w:r>
              <w:rPr>
                <w:b/>
                <w:bCs/>
                <w:sz w:val="16"/>
                <w:szCs w:val="16"/>
              </w:rPr>
              <w:t>Názov položky</w:t>
            </w:r>
          </w:p>
        </w:tc>
        <w:tc>
          <w:tcPr>
            <w:tcW w:w="2486" w:type="dxa"/>
            <w:tcBorders/>
            <w:shd w:fill="FFFFFF" w:val="clear"/>
            <w:vAlign w:val="center"/>
          </w:tcPr>
          <w:p>
            <w:pPr>
              <w:pStyle w:val="Obsahtabuky"/>
              <w:jc w:val="center"/>
              <w:rPr>
                <w:b/>
                <w:b/>
                <w:bCs/>
                <w:sz w:val="16"/>
                <w:szCs w:val="16"/>
              </w:rPr>
            </w:pPr>
            <w:r>
              <w:rPr>
                <w:b/>
                <w:bCs/>
                <w:sz w:val="16"/>
                <w:szCs w:val="16"/>
              </w:rPr>
              <w:t>Bežné účtovné obdobie</w:t>
            </w:r>
          </w:p>
        </w:tc>
        <w:tc>
          <w:tcPr>
            <w:tcW w:w="2500" w:type="dxa"/>
            <w:tcBorders/>
            <w:shd w:fill="FFFFFF" w:val="clear"/>
            <w:vAlign w:val="center"/>
          </w:tcPr>
          <w:p>
            <w:pPr>
              <w:pStyle w:val="Obsahtabuky"/>
              <w:jc w:val="center"/>
              <w:rPr>
                <w:b/>
                <w:b/>
                <w:bCs/>
                <w:sz w:val="16"/>
                <w:szCs w:val="16"/>
              </w:rPr>
            </w:pPr>
            <w:r>
              <w:rPr>
                <w:b/>
                <w:bCs/>
                <w:sz w:val="16"/>
                <w:szCs w:val="16"/>
              </w:rPr>
              <w:t>Bezprostredne predchádzajúce</w:t>
            </w:r>
          </w:p>
        </w:tc>
      </w:tr>
      <w:tr>
        <w:trPr>
          <w:trHeight w:val="315"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jc w:val="center"/>
              <w:rPr>
                <w:b/>
                <w:b/>
                <w:bCs/>
                <w:sz w:val="16"/>
                <w:szCs w:val="16"/>
              </w:rPr>
            </w:pPr>
            <w:r>
              <w:rPr>
                <w:b/>
                <w:bCs/>
                <w:sz w:val="16"/>
                <w:szCs w:val="16"/>
              </w:rPr>
              <w:t>účtovné obdobie</w:t>
            </w:r>
          </w:p>
        </w:tc>
        <w:tc>
          <w:tcPr>
            <w:tcW w:w="2500" w:type="dxa"/>
            <w:tcBorders/>
            <w:shd w:fill="FFFFFF" w:val="clear"/>
            <w:vAlign w:val="center"/>
          </w:tcPr>
          <w:p>
            <w:pPr>
              <w:pStyle w:val="Obsahtabuky"/>
              <w:jc w:val="center"/>
              <w:rPr>
                <w:b/>
                <w:b/>
                <w:bCs/>
                <w:sz w:val="16"/>
                <w:szCs w:val="16"/>
              </w:rPr>
            </w:pPr>
            <w:r>
              <w:rPr>
                <w:b/>
                <w:bCs/>
                <w:sz w:val="16"/>
                <w:szCs w:val="16"/>
              </w:rPr>
              <w:t>účtovné obdobie</w:t>
            </w:r>
          </w:p>
        </w:tc>
      </w:tr>
      <w:tr>
        <w:trPr>
          <w:trHeight w:val="315" w:hRule="atLeast"/>
        </w:trPr>
        <w:tc>
          <w:tcPr>
            <w:tcW w:w="2903" w:type="dxa"/>
            <w:tcBorders/>
            <w:shd w:fill="FFFFFF" w:val="clear"/>
            <w:vAlign w:val="center"/>
          </w:tcPr>
          <w:p>
            <w:pPr>
              <w:pStyle w:val="Obsahtabuky"/>
              <w:rPr>
                <w:b/>
                <w:b/>
                <w:bCs/>
                <w:sz w:val="16"/>
                <w:szCs w:val="16"/>
              </w:rPr>
            </w:pPr>
            <w:r>
              <w:rPr>
                <w:b/>
                <w:bCs/>
                <w:sz w:val="16"/>
                <w:szCs w:val="16"/>
              </w:rPr>
              <w:t>Krátkodobé pôžičky</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sz w:val="16"/>
                <w:szCs w:val="16"/>
              </w:rPr>
            </w:pPr>
            <w:r>
              <w:rPr>
                <w:sz w:val="16"/>
                <w:szCs w:val="16"/>
              </w:rPr>
              <w:t>Úroky z pôžičiek</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15" w:hRule="atLeast"/>
        </w:trPr>
        <w:tc>
          <w:tcPr>
            <w:tcW w:w="2903" w:type="dxa"/>
            <w:tcBorders/>
            <w:shd w:fill="FFFFFF" w:val="clear"/>
            <w:vAlign w:val="center"/>
          </w:tcPr>
          <w:p>
            <w:pPr>
              <w:pStyle w:val="Obsahtabuky"/>
              <w:rPr>
                <w:sz w:val="16"/>
                <w:szCs w:val="16"/>
              </w:rPr>
            </w:pPr>
            <w:r>
              <w:rPr>
                <w:sz w:val="16"/>
                <w:szCs w:val="16"/>
              </w:rPr>
              <w:t>Krátkodobé pôžičky spolu:</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b/>
                <w:b/>
                <w:bCs/>
                <w:sz w:val="16"/>
                <w:szCs w:val="16"/>
              </w:rPr>
            </w:pPr>
            <w:r>
              <w:rPr>
                <w:b/>
                <w:bCs/>
                <w:sz w:val="16"/>
                <w:szCs w:val="16"/>
              </w:rPr>
              <w:t>Krátkodobé finančné výpomoci</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15" w:hRule="atLeast"/>
        </w:trPr>
        <w:tc>
          <w:tcPr>
            <w:tcW w:w="2903" w:type="dxa"/>
            <w:tcBorders/>
            <w:shd w:fill="FFFFFF" w:val="clear"/>
            <w:vAlign w:val="center"/>
          </w:tcPr>
          <w:p>
            <w:pPr>
              <w:pStyle w:val="Obsahtabuky"/>
              <w:rPr>
                <w:sz w:val="16"/>
                <w:szCs w:val="16"/>
              </w:rPr>
            </w:pPr>
            <w:r>
              <w:rPr>
                <w:sz w:val="16"/>
                <w:szCs w:val="16"/>
              </w:rPr>
              <w:t>Úroky z finančných výpomocí</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00" w:hRule="atLeast"/>
        </w:trPr>
        <w:tc>
          <w:tcPr>
            <w:tcW w:w="2903" w:type="dxa"/>
            <w:tcBorders/>
            <w:shd w:fill="FFFFFF" w:val="clear"/>
            <w:vAlign w:val="center"/>
          </w:tcPr>
          <w:p>
            <w:pPr>
              <w:pStyle w:val="Obsahtabuky"/>
              <w:rPr>
                <w:b/>
                <w:b/>
                <w:bCs/>
                <w:sz w:val="16"/>
                <w:szCs w:val="16"/>
              </w:rPr>
            </w:pPr>
            <w:r>
              <w:rPr>
                <w:b/>
                <w:bCs/>
                <w:sz w:val="16"/>
                <w:szCs w:val="16"/>
              </w:rPr>
              <w:t>Krátkodobé výpomoci spolu:</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r>
        <w:trPr>
          <w:trHeight w:val="315" w:hRule="atLeast"/>
        </w:trPr>
        <w:tc>
          <w:tcPr>
            <w:tcW w:w="2903" w:type="dxa"/>
            <w:tcBorders/>
            <w:shd w:fill="FFFFFF" w:val="clear"/>
            <w:vAlign w:val="center"/>
          </w:tcPr>
          <w:p>
            <w:pPr>
              <w:pStyle w:val="Obsahtabuky"/>
              <w:rPr>
                <w:sz w:val="16"/>
                <w:szCs w:val="16"/>
              </w:rPr>
            </w:pPr>
            <w:r>
              <w:rPr>
                <w:sz w:val="16"/>
                <w:szCs w:val="16"/>
              </w:rPr>
              <w:t> </w:t>
            </w:r>
          </w:p>
        </w:tc>
        <w:tc>
          <w:tcPr>
            <w:tcW w:w="2486" w:type="dxa"/>
            <w:tcBorders/>
            <w:shd w:fill="FFFFFF" w:val="clear"/>
            <w:vAlign w:val="center"/>
          </w:tcPr>
          <w:p>
            <w:pPr>
              <w:pStyle w:val="Obsahtabuky"/>
              <w:rPr>
                <w:sz w:val="16"/>
                <w:szCs w:val="16"/>
              </w:rPr>
            </w:pPr>
            <w:r>
              <w:rPr>
                <w:sz w:val="16"/>
                <w:szCs w:val="16"/>
              </w:rPr>
              <w:t> </w:t>
            </w:r>
          </w:p>
        </w:tc>
        <w:tc>
          <w:tcPr>
            <w:tcW w:w="2500" w:type="dxa"/>
            <w:tcBorders/>
            <w:shd w:fill="FFFFFF" w:val="clear"/>
            <w:vAlign w:val="center"/>
          </w:tcPr>
          <w:p>
            <w:pPr>
              <w:pStyle w:val="Obsahtabuky"/>
              <w:rPr>
                <w:sz w:val="16"/>
                <w:szCs w:val="16"/>
              </w:rPr>
            </w:pPr>
            <w:r>
              <w:rPr>
                <w:sz w:val="16"/>
                <w:szCs w:val="16"/>
              </w:rPr>
              <w:t> </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Telotextu"/>
        <w:rPr>
          <w:b w:val="false"/>
          <w:b w:val="false"/>
          <w:bCs w:val="false"/>
          <w:sz w:val="16"/>
          <w:szCs w:val="16"/>
        </w:rPr>
      </w:pPr>
      <w:r>
        <w:rPr>
          <w:b w:val="false"/>
          <w:bCs w:val="false"/>
          <w:sz w:val="16"/>
          <w:szCs w:val="16"/>
        </w:rPr>
        <w:t>ani finančné výpomoci.</w:t>
      </w:r>
      <w:r>
        <w:br w:type="page"/>
      </w:r>
    </w:p>
    <w:p>
      <w:pPr>
        <w:pStyle w:val="Nadpis2"/>
        <w:rPr/>
      </w:pPr>
      <w:r>
        <w:rPr/>
      </w:r>
    </w:p>
    <w:p>
      <w:pPr>
        <w:pStyle w:val="Nadpis2"/>
        <w:rPr/>
      </w:pPr>
      <w:r>
        <w:rPr/>
      </w:r>
    </w:p>
    <w:p>
      <w:pPr>
        <w:pStyle w:val="Nadpis2"/>
        <w:rPr/>
      </w:pPr>
      <w:r>
        <w:rPr/>
      </w:r>
    </w:p>
    <w:p>
      <w:pPr>
        <w:pStyle w:val="Nadpis2"/>
        <w:rPr>
          <w:rFonts w:cs="Arial"/>
          <w:b/>
          <w:b/>
          <w:bCs/>
          <w:caps/>
          <w:sz w:val="18"/>
          <w:szCs w:val="32"/>
          <w:u w:val="none"/>
        </w:rPr>
      </w:pPr>
      <w:r>
        <w:rPr>
          <w:rFonts w:cs="Arial"/>
          <w:b/>
          <w:bCs/>
          <w:caps/>
          <w:sz w:val="18"/>
          <w:szCs w:val="32"/>
          <w:u w:val="none"/>
        </w:rPr>
        <w:t>V.  Informácie o výnosoch</w:t>
      </w:r>
    </w:p>
    <w:p>
      <w:pPr>
        <w:pStyle w:val="Nadpis2"/>
        <w:rPr/>
      </w:pPr>
      <w:r>
        <w:rPr/>
      </w:r>
    </w:p>
    <w:p>
      <w:pPr>
        <w:pStyle w:val="Normal"/>
        <w:rPr/>
      </w:pPr>
      <w:r>
        <w:rPr>
          <w:sz w:val="16"/>
          <w:szCs w:val="16"/>
        </w:rPr>
        <w:t>Za rok 201</w:t>
      </w:r>
      <w:r>
        <w:rPr>
          <w:sz w:val="16"/>
          <w:szCs w:val="16"/>
        </w:rPr>
        <w:t>9</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pPr>
        <w:pStyle w:val="Normal"/>
        <w:rPr>
          <w:sz w:val="16"/>
          <w:szCs w:val="16"/>
        </w:rPr>
      </w:pPr>
      <w:r>
        <w:rPr>
          <w:sz w:val="16"/>
          <w:szCs w:val="16"/>
        </w:rPr>
      </w:r>
    </w:p>
    <w:p>
      <w:pPr>
        <w:pStyle w:val="Normal"/>
        <w:rPr>
          <w:b w:val="false"/>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tbl>
      <w:tblPr>
        <w:tblW w:w="8295" w:type="dxa"/>
        <w:jc w:val="left"/>
        <w:tblInd w:w="0" w:type="dxa"/>
        <w:tblCellMar>
          <w:top w:w="0" w:type="dxa"/>
          <w:left w:w="0" w:type="dxa"/>
          <w:bottom w:w="0" w:type="dxa"/>
          <w:right w:w="0" w:type="dxa"/>
        </w:tblCellMar>
      </w:tblPr>
      <w:tblGrid>
        <w:gridCol w:w="3308"/>
        <w:gridCol w:w="2488"/>
        <w:gridCol w:w="2499"/>
      </w:tblGrid>
      <w:tr>
        <w:trPr>
          <w:trHeight w:val="300" w:hRule="atLeast"/>
        </w:trPr>
        <w:tc>
          <w:tcPr>
            <w:tcW w:w="3308" w:type="dxa"/>
            <w:tcBorders/>
            <w:shd w:fill="FFFFFF" w:val="clear"/>
            <w:vAlign w:val="center"/>
          </w:tcPr>
          <w:p>
            <w:pPr>
              <w:pStyle w:val="Obsahtabuky"/>
              <w:rPr>
                <w:b/>
                <w:b/>
                <w:bCs/>
              </w:rPr>
            </w:pPr>
            <w:r>
              <w:rPr>
                <w:b/>
                <w:bCs/>
              </w:rPr>
              <w:t>Oblasť odbytu</w:t>
            </w:r>
          </w:p>
        </w:tc>
        <w:tc>
          <w:tcPr>
            <w:tcW w:w="2488" w:type="dxa"/>
            <w:tcBorders/>
            <w:shd w:fill="FFFFFF" w:val="clear"/>
            <w:vAlign w:val="center"/>
          </w:tcPr>
          <w:p>
            <w:pPr>
              <w:pStyle w:val="Obsahtabuky"/>
              <w:rPr>
                <w:b/>
                <w:b/>
                <w:bCs/>
              </w:rPr>
            </w:pPr>
            <w:r>
              <w:rPr>
                <w:b/>
                <w:bCs/>
              </w:rPr>
              <w:t>Bežné účtovné obdobie</w:t>
            </w:r>
          </w:p>
        </w:tc>
        <w:tc>
          <w:tcPr>
            <w:tcW w:w="2499" w:type="dxa"/>
            <w:tcBorders/>
            <w:shd w:fill="FFFFFF" w:val="clear"/>
            <w:vAlign w:val="center"/>
          </w:tcPr>
          <w:p>
            <w:pPr>
              <w:pStyle w:val="Obsahtabuky"/>
              <w:rPr>
                <w:b/>
                <w:b/>
                <w:bCs/>
              </w:rPr>
            </w:pPr>
            <w:r>
              <w:rPr>
                <w:b/>
                <w:bCs/>
              </w:rPr>
              <w:t>Bezprostredne predchádzajúce</w:t>
            </w:r>
          </w:p>
        </w:tc>
      </w:tr>
      <w:tr>
        <w:trPr>
          <w:trHeight w:val="315" w:hRule="atLeast"/>
        </w:trPr>
        <w:tc>
          <w:tcPr>
            <w:tcW w:w="3308" w:type="dxa"/>
            <w:tcBorders/>
            <w:shd w:fill="FFFFFF" w:val="clear"/>
            <w:vAlign w:val="center"/>
          </w:tcPr>
          <w:p>
            <w:pPr>
              <w:pStyle w:val="Obsahtabuky"/>
              <w:rPr>
                <w:b/>
                <w:b/>
                <w:bCs/>
              </w:rPr>
            </w:pPr>
            <w:r>
              <w:rPr>
                <w:b/>
                <w:bCs/>
              </w:rPr>
              <w:t> </w:t>
            </w:r>
          </w:p>
        </w:tc>
        <w:tc>
          <w:tcPr>
            <w:tcW w:w="2488" w:type="dxa"/>
            <w:tcBorders/>
            <w:shd w:fill="FFFFFF" w:val="clear"/>
            <w:vAlign w:val="center"/>
          </w:tcPr>
          <w:p>
            <w:pPr>
              <w:pStyle w:val="Obsahtabuky"/>
              <w:rPr>
                <w:b/>
                <w:b/>
                <w:bCs/>
              </w:rPr>
            </w:pPr>
            <w:r>
              <w:rPr>
                <w:b/>
                <w:bCs/>
              </w:rPr>
              <w:t>účtovné obdobie</w:t>
            </w:r>
          </w:p>
        </w:tc>
        <w:tc>
          <w:tcPr>
            <w:tcW w:w="2499" w:type="dxa"/>
            <w:tcBorders/>
            <w:shd w:fill="FFFFFF" w:val="clear"/>
            <w:vAlign w:val="center"/>
          </w:tcPr>
          <w:p>
            <w:pPr>
              <w:pStyle w:val="Obsahtabuky"/>
              <w:rPr>
                <w:b/>
                <w:b/>
                <w:bCs/>
              </w:rPr>
            </w:pPr>
            <w:r>
              <w:rPr>
                <w:b/>
                <w:bCs/>
              </w:rPr>
              <w:t>účtovné obdobie</w:t>
            </w:r>
          </w:p>
        </w:tc>
      </w:tr>
      <w:tr>
        <w:trPr>
          <w:trHeight w:val="315" w:hRule="atLeast"/>
        </w:trPr>
        <w:tc>
          <w:tcPr>
            <w:tcW w:w="3308" w:type="dxa"/>
            <w:tcBorders/>
            <w:shd w:fill="FFFFFF" w:val="clear"/>
            <w:vAlign w:val="center"/>
          </w:tcPr>
          <w:p>
            <w:pPr>
              <w:pStyle w:val="Obsahtabuky"/>
              <w:rPr/>
            </w:pPr>
            <w:r>
              <w:rPr/>
              <w:t>Predaj služieb:</w:t>
            </w:r>
          </w:p>
        </w:tc>
        <w:tc>
          <w:tcPr>
            <w:tcW w:w="2488"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00" w:hRule="atLeast"/>
        </w:trPr>
        <w:tc>
          <w:tcPr>
            <w:tcW w:w="3308" w:type="dxa"/>
            <w:tcBorders/>
            <w:shd w:fill="FFFFFF" w:val="clear"/>
            <w:vAlign w:val="center"/>
          </w:tcPr>
          <w:p>
            <w:pPr>
              <w:pStyle w:val="Obsahtabuky"/>
              <w:rPr/>
            </w:pPr>
            <w:r>
              <w:rPr/>
              <w:t>Predaj služieb – z toho:</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08" w:type="dxa"/>
            <w:tcBorders/>
            <w:shd w:fill="FFFFFF" w:val="clear"/>
            <w:vAlign w:val="center"/>
          </w:tcPr>
          <w:p>
            <w:pPr>
              <w:pStyle w:val="Obsahtabuky"/>
              <w:rPr/>
            </w:pPr>
            <w:r>
              <w:rPr/>
              <w:t>- Obchodné zastúpenie</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08" w:type="dxa"/>
            <w:tcBorders/>
            <w:shd w:fill="FFFFFF" w:val="clear"/>
            <w:vAlign w:val="center"/>
          </w:tcPr>
          <w:p>
            <w:pPr>
              <w:pStyle w:val="Obsahtabuky"/>
              <w:rPr/>
            </w:pPr>
            <w:r>
              <w:rPr/>
              <w:t>- Hostingové služby</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08" w:type="dxa"/>
            <w:tcBorders/>
            <w:shd w:fill="FFFFFF" w:val="clear"/>
            <w:vAlign w:val="center"/>
          </w:tcPr>
          <w:p>
            <w:pPr>
              <w:pStyle w:val="Obsahtabuky"/>
              <w:rPr/>
            </w:pPr>
            <w:r>
              <w:rPr/>
              <w:t>Tržby z predaja IM</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08" w:type="dxa"/>
            <w:tcBorders/>
            <w:shd w:fill="FFFFFF" w:val="clear"/>
            <w:vAlign w:val="center"/>
          </w:tcPr>
          <w:p>
            <w:pPr>
              <w:pStyle w:val="Obsahtabuky"/>
              <w:rPr/>
            </w:pPr>
            <w:r>
              <w:rPr/>
              <w:t>Bankové úrokx</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08" w:type="dxa"/>
            <w:tcBorders/>
            <w:shd w:fill="FFFFFF" w:val="clear"/>
            <w:vAlign w:val="center"/>
          </w:tcPr>
          <w:p>
            <w:pPr>
              <w:pStyle w:val="Obsahtabuky"/>
              <w:rPr/>
            </w:pPr>
            <w:r>
              <w:rPr/>
              <w:t>Úroky z omeškania</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15" w:hRule="atLeast"/>
        </w:trPr>
        <w:tc>
          <w:tcPr>
            <w:tcW w:w="3308" w:type="dxa"/>
            <w:tcBorders/>
            <w:shd w:fill="FFFFFF" w:val="clear"/>
            <w:vAlign w:val="center"/>
          </w:tcPr>
          <w:p>
            <w:pPr>
              <w:pStyle w:val="Obsahtabuky"/>
              <w:rPr/>
            </w:pPr>
            <w:r>
              <w:rPr/>
              <w:t> </w:t>
            </w:r>
          </w:p>
        </w:tc>
        <w:tc>
          <w:tcPr>
            <w:tcW w:w="2488"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15" w:hRule="atLeast"/>
        </w:trPr>
        <w:tc>
          <w:tcPr>
            <w:tcW w:w="3308" w:type="dxa"/>
            <w:tcBorders/>
            <w:shd w:fill="FFFFFF" w:val="clear"/>
            <w:vAlign w:val="center"/>
          </w:tcPr>
          <w:p>
            <w:pPr>
              <w:pStyle w:val="Obsahtabuky"/>
              <w:rPr>
                <w:b/>
                <w:b/>
                <w:bCs/>
                <w:sz w:val="16"/>
                <w:szCs w:val="16"/>
              </w:rPr>
            </w:pPr>
            <w:r>
              <w:rPr>
                <w:b/>
                <w:bCs/>
                <w:sz w:val="16"/>
                <w:szCs w:val="16"/>
              </w:rPr>
              <w:t>Výnosy spolu:</w:t>
            </w:r>
          </w:p>
        </w:tc>
        <w:tc>
          <w:tcPr>
            <w:tcW w:w="2488" w:type="dxa"/>
            <w:tcBorders/>
            <w:shd w:fill="FFFFFF" w:val="clear"/>
            <w:vAlign w:val="center"/>
          </w:tcPr>
          <w:p>
            <w:pPr>
              <w:pStyle w:val="Obsahtabuky"/>
              <w:jc w:val="center"/>
              <w:rPr>
                <w:b/>
                <w:b/>
                <w:bCs/>
                <w:sz w:val="18"/>
                <w:szCs w:val="18"/>
              </w:rPr>
            </w:pPr>
            <w:r>
              <w:rPr>
                <w:b/>
                <w:bCs/>
                <w:sz w:val="18"/>
                <w:szCs w:val="18"/>
              </w:rPr>
              <w:t>0</w:t>
            </w:r>
          </w:p>
        </w:tc>
        <w:tc>
          <w:tcPr>
            <w:tcW w:w="2499" w:type="dxa"/>
            <w:tcBorders/>
            <w:shd w:fill="FFFFFF" w:val="clear"/>
            <w:vAlign w:val="center"/>
          </w:tcPr>
          <w:p>
            <w:pPr>
              <w:pStyle w:val="Obsahtabuky"/>
              <w:jc w:val="center"/>
              <w:rPr>
                <w:b/>
                <w:b/>
                <w:bCs/>
                <w:sz w:val="18"/>
                <w:szCs w:val="18"/>
              </w:rPr>
            </w:pPr>
            <w:r>
              <w:rPr>
                <w:b/>
                <w:bCs/>
                <w:sz w:val="18"/>
                <w:szCs w:val="18"/>
              </w:rPr>
              <w:t>0</w:t>
            </w:r>
          </w:p>
        </w:tc>
      </w:tr>
    </w:tbl>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pPr>
      <w:r>
        <w:rPr/>
      </w:r>
    </w:p>
    <w:p>
      <w:pPr>
        <w:pStyle w:val="Normal"/>
        <w:rPr>
          <w:b/>
          <w:b/>
          <w:bCs/>
        </w:rPr>
      </w:pPr>
      <w:r>
        <w:rPr>
          <w:b/>
          <w:bCs/>
        </w:rPr>
        <w:t>VI.  INFORMÁCIE O NÁKLADOCH</w:t>
      </w:r>
    </w:p>
    <w:p>
      <w:pPr>
        <w:pStyle w:val="Normal"/>
        <w:rPr>
          <w:b/>
          <w:b/>
          <w:bCs/>
        </w:rPr>
      </w:pPr>
      <w:r>
        <w:rPr>
          <w:b/>
          <w:bCs/>
        </w:rPr>
      </w:r>
    </w:p>
    <w:p>
      <w:pPr>
        <w:pStyle w:val="Normal"/>
        <w:rPr/>
      </w:pPr>
      <w:r>
        <w:rPr>
          <w:b w:val="false"/>
          <w:bCs w:val="false"/>
          <w:sz w:val="16"/>
          <w:szCs w:val="16"/>
        </w:rPr>
        <w:t>Za rok 201</w:t>
      </w:r>
      <w:r>
        <w:rPr>
          <w:b w:val="false"/>
          <w:bCs w:val="false"/>
          <w:sz w:val="16"/>
          <w:szCs w:val="16"/>
        </w:rPr>
        <w:t>9</w:t>
      </w:r>
      <w:r>
        <w:rPr>
          <w:b w:val="false"/>
          <w:bCs w:val="false"/>
          <w:sz w:val="16"/>
          <w:szCs w:val="16"/>
        </w:rPr>
        <w:t xml:space="preserve"> spoločnosť dosiahla celkové náklady vo výške   </w:t>
      </w:r>
      <w:r>
        <w:rPr>
          <w:b/>
          <w:bCs/>
          <w:sz w:val="16"/>
          <w:szCs w:val="16"/>
        </w:rPr>
        <w:t>0 €</w:t>
      </w:r>
    </w:p>
    <w:p>
      <w:pPr>
        <w:pStyle w:val="Normal"/>
        <w:rPr>
          <w:b w:val="false"/>
          <w:b w:val="false"/>
          <w:bCs w:val="false"/>
          <w:sz w:val="16"/>
          <w:szCs w:val="16"/>
        </w:rPr>
      </w:pPr>
      <w:r>
        <w:rPr>
          <w:b w:val="false"/>
          <w:bCs w:val="false"/>
          <w:sz w:val="16"/>
          <w:szCs w:val="16"/>
        </w:rPr>
      </w:r>
    </w:p>
    <w:tbl>
      <w:tblPr>
        <w:tblW w:w="8309" w:type="dxa"/>
        <w:jc w:val="left"/>
        <w:tblInd w:w="-14" w:type="dxa"/>
        <w:tblCellMar>
          <w:top w:w="0" w:type="dxa"/>
          <w:left w:w="0" w:type="dxa"/>
          <w:bottom w:w="0" w:type="dxa"/>
          <w:right w:w="0" w:type="dxa"/>
        </w:tblCellMar>
      </w:tblPr>
      <w:tblGrid>
        <w:gridCol w:w="3314"/>
        <w:gridCol w:w="2496"/>
        <w:gridCol w:w="2499"/>
      </w:tblGrid>
      <w:tr>
        <w:trPr>
          <w:trHeight w:val="300" w:hRule="atLeast"/>
        </w:trPr>
        <w:tc>
          <w:tcPr>
            <w:tcW w:w="3314" w:type="dxa"/>
            <w:tcBorders/>
            <w:shd w:fill="FFFFFF" w:val="clear"/>
            <w:vAlign w:val="center"/>
          </w:tcPr>
          <w:p>
            <w:pPr>
              <w:pStyle w:val="Obsahtabuky"/>
              <w:rPr>
                <w:b/>
                <w:b/>
                <w:bCs/>
                <w:sz w:val="16"/>
                <w:szCs w:val="16"/>
              </w:rPr>
            </w:pPr>
            <w:r>
              <w:rPr>
                <w:b/>
                <w:bCs/>
                <w:sz w:val="16"/>
                <w:szCs w:val="16"/>
              </w:rPr>
              <w:t>Názov položky</w:t>
            </w:r>
          </w:p>
        </w:tc>
        <w:tc>
          <w:tcPr>
            <w:tcW w:w="2496" w:type="dxa"/>
            <w:tcBorders/>
            <w:shd w:fill="FFFFFF" w:val="clear"/>
            <w:vAlign w:val="center"/>
          </w:tcPr>
          <w:p>
            <w:pPr>
              <w:pStyle w:val="Obsahtabuky"/>
              <w:rPr>
                <w:b/>
                <w:b/>
                <w:bCs/>
                <w:sz w:val="16"/>
                <w:szCs w:val="16"/>
              </w:rPr>
            </w:pPr>
            <w:r>
              <w:rPr>
                <w:b/>
                <w:bCs/>
                <w:sz w:val="16"/>
                <w:szCs w:val="16"/>
              </w:rPr>
              <w:t>Bežné účtovné obdobie</w:t>
            </w:r>
          </w:p>
        </w:tc>
        <w:tc>
          <w:tcPr>
            <w:tcW w:w="2499" w:type="dxa"/>
            <w:tcBorders/>
            <w:shd w:fill="FFFFFF" w:val="clear"/>
            <w:vAlign w:val="center"/>
          </w:tcPr>
          <w:p>
            <w:pPr>
              <w:pStyle w:val="Obsahtabuky"/>
              <w:rPr>
                <w:b/>
                <w:b/>
                <w:bCs/>
                <w:sz w:val="16"/>
                <w:szCs w:val="16"/>
              </w:rPr>
            </w:pPr>
            <w:r>
              <w:rPr>
                <w:b/>
                <w:bCs/>
                <w:sz w:val="16"/>
                <w:szCs w:val="16"/>
              </w:rPr>
              <w:t>Bezprostredne predchádzajúce</w:t>
            </w:r>
          </w:p>
        </w:tc>
      </w:tr>
      <w:tr>
        <w:trPr>
          <w:trHeight w:val="315" w:hRule="atLeast"/>
        </w:trPr>
        <w:tc>
          <w:tcPr>
            <w:tcW w:w="3314" w:type="dxa"/>
            <w:tcBorders/>
            <w:shd w:fill="FFFFFF" w:val="clear"/>
            <w:vAlign w:val="center"/>
          </w:tcPr>
          <w:p>
            <w:pPr>
              <w:pStyle w:val="Obsahtabuky"/>
              <w:rPr>
                <w:b/>
                <w:b/>
                <w:bCs/>
                <w:sz w:val="16"/>
                <w:szCs w:val="16"/>
              </w:rPr>
            </w:pPr>
            <w:r>
              <w:rPr>
                <w:b/>
                <w:bCs/>
                <w:sz w:val="16"/>
                <w:szCs w:val="16"/>
              </w:rPr>
              <w:t> </w:t>
            </w:r>
          </w:p>
        </w:tc>
        <w:tc>
          <w:tcPr>
            <w:tcW w:w="2496" w:type="dxa"/>
            <w:tcBorders/>
            <w:shd w:fill="FFFFFF" w:val="clear"/>
            <w:vAlign w:val="center"/>
          </w:tcPr>
          <w:p>
            <w:pPr>
              <w:pStyle w:val="Obsahtabuky"/>
              <w:rPr>
                <w:b/>
                <w:b/>
                <w:bCs/>
                <w:sz w:val="16"/>
                <w:szCs w:val="16"/>
              </w:rPr>
            </w:pPr>
            <w:r>
              <w:rPr>
                <w:b/>
                <w:bCs/>
                <w:sz w:val="16"/>
                <w:szCs w:val="16"/>
              </w:rPr>
              <w:t>účtovné obdobie</w:t>
            </w:r>
          </w:p>
        </w:tc>
        <w:tc>
          <w:tcPr>
            <w:tcW w:w="2499" w:type="dxa"/>
            <w:tcBorders/>
            <w:shd w:fill="FFFFFF" w:val="clear"/>
            <w:vAlign w:val="center"/>
          </w:tcPr>
          <w:p>
            <w:pPr>
              <w:pStyle w:val="Obsahtabuky"/>
              <w:rPr>
                <w:b/>
                <w:b/>
                <w:bCs/>
                <w:sz w:val="16"/>
                <w:szCs w:val="16"/>
              </w:rPr>
            </w:pPr>
            <w:r>
              <w:rPr>
                <w:b/>
                <w:bCs/>
                <w:sz w:val="16"/>
                <w:szCs w:val="16"/>
              </w:rPr>
              <w:t>účtovné obdobie</w:t>
            </w:r>
          </w:p>
        </w:tc>
      </w:tr>
      <w:tr>
        <w:trPr>
          <w:trHeight w:val="315" w:hRule="atLeast"/>
        </w:trPr>
        <w:tc>
          <w:tcPr>
            <w:tcW w:w="3314" w:type="dxa"/>
            <w:tcBorders/>
            <w:shd w:fill="FFFFFF" w:val="clear"/>
            <w:vAlign w:val="center"/>
          </w:tcPr>
          <w:p>
            <w:pPr>
              <w:pStyle w:val="Obsahtabuky"/>
              <w:rPr>
                <w:sz w:val="16"/>
                <w:szCs w:val="16"/>
              </w:rPr>
            </w:pPr>
            <w:r>
              <w:rPr>
                <w:sz w:val="16"/>
                <w:szCs w:val="16"/>
              </w:rPr>
              <w:t>Spotreba materiálu</w:t>
            </w:r>
          </w:p>
        </w:tc>
        <w:tc>
          <w:tcPr>
            <w:tcW w:w="2496"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Spotreba PHM</w:t>
            </w:r>
          </w:p>
        </w:tc>
        <w:tc>
          <w:tcPr>
            <w:tcW w:w="2496"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Spotreba energií</w:t>
            </w:r>
          </w:p>
        </w:tc>
        <w:tc>
          <w:tcPr>
            <w:tcW w:w="2496" w:type="dxa"/>
            <w:tcBorders/>
            <w:shd w:fill="FFFFFF" w:val="clear"/>
            <w:vAlign w:val="center"/>
          </w:tcPr>
          <w:p>
            <w:pPr>
              <w:pStyle w:val="Obsahtabuky"/>
              <w:rPr/>
            </w:pPr>
            <w:r>
              <w:rPr/>
            </w:r>
          </w:p>
        </w:tc>
        <w:tc>
          <w:tcPr>
            <w:tcW w:w="2499" w:type="dxa"/>
            <w:tcBorders/>
            <w:shd w:fill="FFFFFF" w:val="clear"/>
            <w:vAlign w:val="center"/>
          </w:tcPr>
          <w:p>
            <w:pPr>
              <w:pStyle w:val="Obsahtabuky"/>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Predaný tovar</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Ostatné služby</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t>4</w:t>
            </w:r>
          </w:p>
        </w:tc>
      </w:tr>
      <w:tr>
        <w:trPr>
          <w:trHeight w:val="300" w:hRule="atLeast"/>
        </w:trPr>
        <w:tc>
          <w:tcPr>
            <w:tcW w:w="3314" w:type="dxa"/>
            <w:tcBorders/>
            <w:shd w:fill="FFFFFF" w:val="clear"/>
            <w:vAlign w:val="center"/>
          </w:tcPr>
          <w:p>
            <w:pPr>
              <w:pStyle w:val="Obsahtabuky"/>
              <w:rPr>
                <w:sz w:val="16"/>
                <w:szCs w:val="16"/>
              </w:rPr>
            </w:pPr>
            <w:r>
              <w:rPr>
                <w:sz w:val="16"/>
                <w:szCs w:val="16"/>
              </w:rPr>
              <w:t>Prevádzkové náklady</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Zostatková cena predaného IM</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Odpisy IM</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Bankové poplatky</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00" w:hRule="atLeast"/>
        </w:trPr>
        <w:tc>
          <w:tcPr>
            <w:tcW w:w="3314" w:type="dxa"/>
            <w:tcBorders/>
            <w:shd w:fill="FFFFFF" w:val="clear"/>
            <w:vAlign w:val="center"/>
          </w:tcPr>
          <w:p>
            <w:pPr>
              <w:pStyle w:val="Obsahtabuky"/>
              <w:rPr>
                <w:sz w:val="16"/>
                <w:szCs w:val="16"/>
              </w:rPr>
            </w:pPr>
            <w:r>
              <w:rPr>
                <w:sz w:val="16"/>
                <w:szCs w:val="16"/>
              </w:rPr>
              <w:t>Daň z bežnej činnosti splatná</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15" w:hRule="atLeast"/>
        </w:trPr>
        <w:tc>
          <w:tcPr>
            <w:tcW w:w="3314" w:type="dxa"/>
            <w:tcBorders/>
            <w:shd w:fill="FFFFFF" w:val="clear"/>
            <w:vAlign w:val="center"/>
          </w:tcPr>
          <w:p>
            <w:pPr>
              <w:pStyle w:val="Obsahtabuky"/>
              <w:rPr/>
            </w:pPr>
            <w:r>
              <w:rPr/>
              <w:t> </w:t>
            </w:r>
          </w:p>
        </w:tc>
        <w:tc>
          <w:tcPr>
            <w:tcW w:w="2496" w:type="dxa"/>
            <w:tcBorders/>
            <w:shd w:fill="FFFFFF" w:val="clear"/>
            <w:vAlign w:val="center"/>
          </w:tcPr>
          <w:p>
            <w:pPr>
              <w:pStyle w:val="Obsahtabuky"/>
              <w:jc w:val="center"/>
              <w:rPr/>
            </w:pPr>
            <w:r>
              <w:rPr/>
            </w:r>
          </w:p>
        </w:tc>
        <w:tc>
          <w:tcPr>
            <w:tcW w:w="2499" w:type="dxa"/>
            <w:tcBorders/>
            <w:shd w:fill="FFFFFF" w:val="clear"/>
            <w:vAlign w:val="center"/>
          </w:tcPr>
          <w:p>
            <w:pPr>
              <w:pStyle w:val="Obsahtabuky"/>
              <w:jc w:val="center"/>
              <w:rPr/>
            </w:pPr>
            <w:r>
              <w:rPr/>
            </w:r>
          </w:p>
        </w:tc>
      </w:tr>
      <w:tr>
        <w:trPr>
          <w:trHeight w:val="315" w:hRule="atLeast"/>
        </w:trPr>
        <w:tc>
          <w:tcPr>
            <w:tcW w:w="3314" w:type="dxa"/>
            <w:tcBorders/>
            <w:shd w:fill="FFFFFF" w:val="clear"/>
            <w:vAlign w:val="center"/>
          </w:tcPr>
          <w:p>
            <w:pPr>
              <w:pStyle w:val="Obsahtabuky"/>
              <w:rPr>
                <w:b/>
                <w:b/>
                <w:bCs/>
                <w:sz w:val="16"/>
                <w:szCs w:val="16"/>
              </w:rPr>
            </w:pPr>
            <w:r>
              <w:rPr>
                <w:b/>
                <w:bCs/>
                <w:sz w:val="16"/>
                <w:szCs w:val="16"/>
              </w:rPr>
              <w:t>Náklady spolu:</w:t>
            </w:r>
          </w:p>
        </w:tc>
        <w:tc>
          <w:tcPr>
            <w:tcW w:w="2496" w:type="dxa"/>
            <w:tcBorders/>
            <w:shd w:fill="FFFFFF" w:val="clear"/>
            <w:vAlign w:val="center"/>
          </w:tcPr>
          <w:p>
            <w:pPr>
              <w:pStyle w:val="Obsahtabuky"/>
              <w:jc w:val="center"/>
              <w:rPr>
                <w:b/>
                <w:b/>
                <w:bCs/>
                <w:sz w:val="18"/>
                <w:szCs w:val="18"/>
              </w:rPr>
            </w:pPr>
            <w:r>
              <w:rPr>
                <w:b/>
                <w:bCs/>
                <w:sz w:val="18"/>
                <w:szCs w:val="18"/>
              </w:rPr>
              <w:t>0</w:t>
            </w:r>
          </w:p>
        </w:tc>
        <w:tc>
          <w:tcPr>
            <w:tcW w:w="2499" w:type="dxa"/>
            <w:tcBorders/>
            <w:shd w:fill="FFFFFF" w:val="clear"/>
            <w:vAlign w:val="center"/>
          </w:tcPr>
          <w:p>
            <w:pPr>
              <w:pStyle w:val="Obsahtabuky"/>
              <w:jc w:val="center"/>
              <w:rPr>
                <w:b/>
                <w:b/>
                <w:bCs/>
                <w:sz w:val="18"/>
                <w:szCs w:val="18"/>
              </w:rPr>
            </w:pPr>
            <w:r>
              <w:rPr>
                <w:b/>
                <w:bCs/>
                <w:sz w:val="18"/>
                <w:szCs w:val="18"/>
              </w:rPr>
              <w:t>4</w:t>
            </w:r>
          </w:p>
        </w:tc>
      </w:tr>
    </w:tbl>
    <w:p>
      <w:pPr>
        <w:pStyle w:val="Normal"/>
        <w:rPr>
          <w:b w:val="false"/>
          <w:b w:val="false"/>
          <w:bCs w:val="false"/>
          <w:sz w:val="16"/>
          <w:szCs w:val="16"/>
        </w:rPr>
      </w:pPr>
      <w:r>
        <w:rPr>
          <w:b w:val="false"/>
          <w:bCs w:val="false"/>
          <w:sz w:val="16"/>
          <w:szCs w:val="16"/>
        </w:rPr>
      </w:r>
    </w:p>
    <w:p>
      <w:pPr>
        <w:pStyle w:val="Normal"/>
        <w:jc w:val="left"/>
        <w:rPr>
          <w:rFonts w:cs="Arial"/>
          <w:b/>
          <w:b/>
          <w:bCs/>
          <w:iCs/>
          <w:szCs w:val="28"/>
        </w:rPr>
      </w:pPr>
      <w:r>
        <w:rPr>
          <w:rFonts w:cs="Arial"/>
          <w:b/>
          <w:bCs/>
          <w:iCs/>
          <w:szCs w:val="28"/>
        </w:rPr>
      </w:r>
    </w:p>
    <w:p>
      <w:pPr>
        <w:pStyle w:val="Normal"/>
        <w:jc w:val="left"/>
        <w:rPr>
          <w:rFonts w:cs="Arial"/>
          <w:b w:val="false"/>
          <w:b w:val="false"/>
          <w:bCs w:val="false"/>
          <w:iCs/>
          <w:szCs w:val="28"/>
        </w:rPr>
      </w:pPr>
      <w:r>
        <w:rPr>
          <w:rFonts w:cs="Arial"/>
          <w:b w:val="false"/>
          <w:bCs w:val="false"/>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pPr>
      <w:r>
        <w:rPr/>
      </w:r>
      <w:r>
        <w:br w:type="page"/>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t>VII. INFORMÁCIE O DANIACH Z PRÍJMOV</w:t>
      </w:r>
    </w:p>
    <w:p>
      <w:pPr>
        <w:pStyle w:val="Normal"/>
        <w:jc w:val="left"/>
        <w:rPr>
          <w:rFonts w:cs="Arial"/>
          <w:b/>
          <w:b/>
          <w:bCs/>
          <w:iCs/>
          <w:sz w:val="20"/>
          <w:szCs w:val="20"/>
        </w:rPr>
      </w:pPr>
      <w:r>
        <w:rPr>
          <w:rFonts w:cs="Arial"/>
          <w:b/>
          <w:bCs/>
          <w:iCs/>
          <w:sz w:val="20"/>
          <w:szCs w:val="20"/>
        </w:rPr>
      </w:r>
    </w:p>
    <w:p>
      <w:pPr>
        <w:pStyle w:val="Normal"/>
        <w:jc w:val="left"/>
        <w:rPr>
          <w:rFonts w:ascii="Calibri" w:hAnsi="Calibri" w:eastAsia="Times New Roman" w:cs="Arial"/>
          <w:b w:val="false"/>
          <w:b w:val="false"/>
          <w:bCs w:val="false"/>
          <w:iCs/>
          <w:color w:val="000000"/>
          <w:sz w:val="20"/>
          <w:szCs w:val="20"/>
        </w:rPr>
      </w:pPr>
      <w:r>
        <w:rPr>
          <w:rFonts w:cs="Arial"/>
          <w:b w:val="false"/>
          <w:bCs w:val="false"/>
          <w:iCs/>
          <w:sz w:val="20"/>
          <w:szCs w:val="20"/>
        </w:rPr>
        <w:t xml:space="preserve">Spoločnosť v bežnom účtovnom období vykázala </w:t>
      </w:r>
      <w:r>
        <w:rPr>
          <w:rFonts w:eastAsia="Times New Roman" w:cs="Arial" w:ascii="Calibri" w:hAnsi="Calibri"/>
          <w:b w:val="false"/>
          <w:bCs w:val="false"/>
          <w:iCs/>
          <w:color w:val="000000"/>
          <w:sz w:val="20"/>
          <w:szCs w:val="20"/>
        </w:rPr>
        <w:t xml:space="preserve">účtovný zisk  </w:t>
      </w:r>
      <w:r>
        <w:rPr>
          <w:rFonts w:eastAsia="Times New Roman" w:cs="Arial" w:ascii="Calibri" w:hAnsi="Calibri"/>
          <w:b/>
          <w:bCs/>
          <w:iCs/>
          <w:color w:val="000000"/>
          <w:sz w:val="20"/>
          <w:szCs w:val="20"/>
        </w:rPr>
        <w:t>0,00</w:t>
      </w:r>
      <w:r>
        <w:rPr>
          <w:rFonts w:eastAsia="Times New Roman" w:cs="Arial" w:ascii="Calibri" w:hAnsi="Calibri"/>
          <w:b w:val="false"/>
          <w:bCs w:val="false"/>
          <w:iCs/>
          <w:color w:val="000000"/>
          <w:sz w:val="20"/>
          <w:szCs w:val="20"/>
        </w:rPr>
        <w:t xml:space="preserve"> €. P</w:t>
      </w:r>
    </w:p>
    <w:p>
      <w:pPr>
        <w:pStyle w:val="Normal"/>
        <w:jc w:val="left"/>
        <w:rPr>
          <w:rFonts w:ascii="Calibri" w:hAnsi="Calibri" w:eastAsia="Times New Roman" w:cs="Arial"/>
          <w:b w:val="false"/>
          <w:b w:val="false"/>
          <w:bCs w:val="false"/>
          <w:iCs/>
          <w:color w:val="000000"/>
          <w:sz w:val="20"/>
          <w:szCs w:val="20"/>
        </w:rPr>
      </w:pPr>
      <w:r>
        <w:rPr/>
      </w:r>
    </w:p>
    <w:p>
      <w:pPr>
        <w:pStyle w:val="Normal"/>
        <w:jc w:val="left"/>
        <w:rPr>
          <w:rFonts w:ascii="Calibri" w:hAnsi="Calibri" w:eastAsia="Times New Roman" w:cs="Arial"/>
          <w:b/>
          <w:b/>
          <w:bCs/>
          <w:iCs/>
          <w:color w:val="000000"/>
          <w:sz w:val="20"/>
          <w:szCs w:val="20"/>
        </w:rPr>
      </w:pPr>
      <w:r>
        <w:rPr/>
      </w:r>
    </w:p>
    <w:p>
      <w:pPr>
        <w:pStyle w:val="Normal"/>
        <w:jc w:val="left"/>
        <w:rPr>
          <w:rFonts w:ascii="Calibri" w:hAnsi="Calibri" w:eastAsia="Times New Roman" w:cs="Arial"/>
          <w:b/>
          <w:b/>
          <w:bCs/>
          <w:iCs/>
          <w:color w:val="000000"/>
          <w:sz w:val="20"/>
          <w:szCs w:val="20"/>
        </w:rPr>
      </w:pPr>
      <w:r>
        <w:rPr/>
      </w:r>
    </w:p>
    <w:p>
      <w:pPr>
        <w:pStyle w:val="Normal"/>
        <w:jc w:val="left"/>
        <w:rPr>
          <w:rFonts w:ascii="Calibri" w:hAnsi="Calibri" w:eastAsia="Times New Roman" w:cs="Arial"/>
          <w:b/>
          <w:b/>
          <w:bCs/>
          <w:iCs/>
          <w:color w:val="000000"/>
          <w:sz w:val="22"/>
          <w:szCs w:val="22"/>
        </w:rPr>
      </w:pPr>
      <w:r>
        <w:rPr>
          <w:rFonts w:eastAsia="Times New Roman" w:cs="Arial" w:ascii="Calibri" w:hAnsi="Calibri"/>
          <w:b/>
          <w:bCs/>
          <w:iCs/>
          <w:color w:val="000000"/>
          <w:sz w:val="22"/>
          <w:szCs w:val="22"/>
        </w:rPr>
        <w:t>VIII. INFORMÁCIE O PREH2ADE ZMIEN VLASTNÉHO IMANIA</w:t>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cs="Arial"/>
          <w:b w:val="false"/>
          <w:b w:val="false"/>
          <w:bCs w:val="false"/>
          <w:iCs/>
          <w:color w:val="000000"/>
          <w:sz w:val="22"/>
          <w:szCs w:val="16"/>
        </w:rPr>
      </w:pPr>
      <w:r>
        <w:rPr>
          <w:rFonts w:cs="Arial" w:ascii="Calibri" w:hAnsi="Calibri"/>
          <w:b w:val="false"/>
          <w:bCs w:val="false"/>
          <w:iCs/>
          <w:color w:val="000000"/>
          <w:sz w:val="22"/>
          <w:szCs w:val="16"/>
        </w:rPr>
      </w:r>
    </w:p>
    <w:tbl>
      <w:tblPr>
        <w:tblW w:w="9070" w:type="dxa"/>
        <w:jc w:val="left"/>
        <w:tblInd w:w="-105" w:type="dxa"/>
        <w:tblCellMar>
          <w:top w:w="0" w:type="dxa"/>
          <w:left w:w="0" w:type="dxa"/>
          <w:bottom w:w="0" w:type="dxa"/>
          <w:right w:w="0" w:type="dxa"/>
        </w:tblCellMar>
      </w:tblPr>
      <w:tblGrid>
        <w:gridCol w:w="4291"/>
        <w:gridCol w:w="884"/>
        <w:gridCol w:w="1031"/>
        <w:gridCol w:w="796"/>
        <w:gridCol w:w="922"/>
        <w:gridCol w:w="1145"/>
      </w:tblGrid>
      <w:tr>
        <w:trPr/>
        <w:tc>
          <w:tcPr>
            <w:tcW w:w="4291" w:type="dxa"/>
            <w:vMerge w:val="restart"/>
            <w:tcBorders>
              <w:top w:val="single" w:sz="8" w:space="0" w:color="00000A"/>
            </w:tcBorders>
            <w:shd w:fill="FFFFFF" w:val="clear"/>
            <w:vAlign w:val="center"/>
          </w:tcPr>
          <w:p>
            <w:pPr>
              <w:pStyle w:val="Normal"/>
              <w:spacing w:before="28" w:after="119"/>
              <w:ind w:left="176" w:right="0" w:hanging="176"/>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Položka</w:t>
            </w:r>
          </w:p>
        </w:tc>
        <w:tc>
          <w:tcPr>
            <w:tcW w:w="884"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c>
          <w:tcPr>
            <w:tcW w:w="1031"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Prírastky</w:t>
            </w:r>
          </w:p>
        </w:tc>
        <w:tc>
          <w:tcPr>
            <w:tcW w:w="796"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Úbytky</w:t>
            </w:r>
          </w:p>
        </w:tc>
        <w:tc>
          <w:tcPr>
            <w:tcW w:w="922"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Presuny</w:t>
            </w:r>
          </w:p>
        </w:tc>
        <w:tc>
          <w:tcPr>
            <w:tcW w:w="1145"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r>
      <w:tr>
        <w:trPr/>
        <w:tc>
          <w:tcPr>
            <w:tcW w:w="4291"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884" w:type="dxa"/>
            <w:tcBorders/>
            <w:shd w:fill="FFFFFF" w:val="clear"/>
            <w:vAlign w:val="center"/>
          </w:tcPr>
          <w:p>
            <w:pPr>
              <w:pStyle w:val="Normal"/>
              <w:spacing w:before="28" w:after="119"/>
              <w:jc w:val="both"/>
              <w:rPr/>
            </w:pPr>
            <w:r>
              <w:rPr>
                <w:rFonts w:eastAsia="Times New Roman" w:cs="Times New Roman"/>
                <w:b/>
                <w:bCs/>
                <w:i/>
                <w:iCs/>
                <w:color w:val="00000A"/>
                <w:sz w:val="20"/>
                <w:szCs w:val="20"/>
                <w:lang w:eastAsia="sk-SK"/>
              </w:rPr>
              <w:t>K 1. januáru 201</w:t>
            </w:r>
            <w:r>
              <w:rPr>
                <w:rFonts w:eastAsia="Times New Roman" w:cs="Times New Roman"/>
                <w:b/>
                <w:bCs/>
                <w:i/>
                <w:iCs/>
                <w:color w:val="00000A"/>
                <w:sz w:val="20"/>
                <w:szCs w:val="20"/>
                <w:lang w:eastAsia="sk-SK"/>
              </w:rPr>
              <w:t>8</w:t>
            </w:r>
          </w:p>
        </w:tc>
        <w:tc>
          <w:tcPr>
            <w:tcW w:w="1031"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796"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922"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1145" w:type="dxa"/>
            <w:tcBorders/>
            <w:shd w:fill="FFFFFF" w:val="clear"/>
            <w:vAlign w:val="center"/>
          </w:tcPr>
          <w:p>
            <w:pPr>
              <w:pStyle w:val="Normal"/>
              <w:spacing w:before="28" w:after="119"/>
              <w:jc w:val="both"/>
              <w:rPr/>
            </w:pPr>
            <w:r>
              <w:rPr>
                <w:rFonts w:eastAsia="Times New Roman" w:cs="Times New Roman"/>
                <w:b/>
                <w:bCs/>
                <w:i/>
                <w:iCs/>
                <w:color w:val="00000A"/>
                <w:sz w:val="20"/>
                <w:szCs w:val="20"/>
                <w:lang w:eastAsia="sk-SK"/>
              </w:rPr>
              <w:t>K 31. decembru 201</w:t>
            </w:r>
            <w:r>
              <w:rPr>
                <w:rFonts w:eastAsia="Times New Roman" w:cs="Times New Roman"/>
                <w:b/>
                <w:bCs/>
                <w:i/>
                <w:iCs/>
                <w:color w:val="00000A"/>
                <w:sz w:val="20"/>
                <w:szCs w:val="20"/>
                <w:lang w:eastAsia="sk-SK"/>
              </w:rPr>
              <w:t>9</w:t>
            </w:r>
          </w:p>
        </w:tc>
      </w:tr>
      <w:tr>
        <w:trPr/>
        <w:tc>
          <w:tcPr>
            <w:tcW w:w="4291" w:type="dxa"/>
            <w:tcBorders>
              <w:top w:val="single" w:sz="6"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Základné imanie</w:t>
            </w:r>
          </w:p>
        </w:tc>
        <w:tc>
          <w:tcPr>
            <w:tcW w:w="884"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6139</w:t>
            </w:r>
          </w:p>
        </w:tc>
        <w:tc>
          <w:tcPr>
            <w:tcW w:w="1031"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top w:val="single" w:sz="6" w:space="0" w:color="00000A"/>
            </w:tcBorders>
            <w:shd w:fill="FFFFFF" w:val="clear"/>
            <w:vAlign w:val="bottom"/>
          </w:tcPr>
          <w:p>
            <w:pPr>
              <w:pStyle w:val="Normal"/>
              <w:spacing w:before="28" w:after="119"/>
              <w:jc w:val="both"/>
              <w:rPr>
                <w:rFonts w:eastAsia="Times New Roman" w:cs="Times New Roman"/>
                <w:b/>
                <w:b/>
                <w:bCs/>
                <w:color w:val="00000A"/>
                <w:sz w:val="20"/>
                <w:szCs w:val="20"/>
                <w:lang w:eastAsia="sk-SK"/>
              </w:rPr>
            </w:pPr>
            <w:r>
              <w:rPr>
                <w:rFonts w:eastAsia="Times New Roman" w:cs="Times New Roman"/>
                <w:color w:val="00000A"/>
                <w:sz w:val="20"/>
                <w:szCs w:val="20"/>
                <w:lang w:eastAsia="sk-SK"/>
              </w:rPr>
              <w:t xml:space="preserve">-    </w:t>
            </w:r>
            <w:r>
              <w:rPr>
                <w:rFonts w:eastAsia="Times New Roman" w:cs="Times New Roman"/>
                <w:b/>
                <w:bCs/>
                <w:color w:val="00000A"/>
                <w:sz w:val="20"/>
                <w:szCs w:val="20"/>
                <w:lang w:eastAsia="sk-SK"/>
              </w:rPr>
              <w:t xml:space="preserve"> 6139</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Vlastné akcie a vlastné obchodné podiely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Zmena základného imania</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Pohľadávky za upísané vlastné imanie</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Emisné ážio</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kapitálové fondy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Zákonný rezervný fond (nedeliteľný fond) z kapitálových vkladov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majetku a záväzkov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kapitálových účastín</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pri zlúčení, splynutí a rozdelení</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1"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5"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Zákonný rezervný fond </w:t>
            </w:r>
          </w:p>
        </w:tc>
        <w:tc>
          <w:tcPr>
            <w:tcW w:w="884"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both"/>
              <w:rPr/>
            </w:pPr>
            <w:r>
              <w:rPr/>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Nedeliteľný fond</w:t>
            </w:r>
          </w:p>
        </w:tc>
        <w:tc>
          <w:tcPr>
            <w:tcW w:w="884"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both"/>
              <w:rPr/>
            </w:pPr>
            <w:r>
              <w:rPr/>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Štatutárne fondy a ostatné fondy</w:t>
            </w:r>
          </w:p>
        </w:tc>
        <w:tc>
          <w:tcPr>
            <w:tcW w:w="884"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both"/>
              <w:rPr/>
            </w:pPr>
            <w:r>
              <w:rPr/>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Nerozdelený zisk minulých rokov</w:t>
            </w:r>
          </w:p>
        </w:tc>
        <w:tc>
          <w:tcPr>
            <w:tcW w:w="884"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both"/>
              <w:rPr/>
            </w:pPr>
            <w:r>
              <w:rPr/>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Neuhradená strata minulých rokov</w:t>
            </w:r>
          </w:p>
        </w:tc>
        <w:tc>
          <w:tcPr>
            <w:tcW w:w="884" w:type="dxa"/>
            <w:tcBorders/>
            <w:shd w:fill="FFFFFF" w:val="clear"/>
            <w:vAlign w:val="bottom"/>
          </w:tcPr>
          <w:p>
            <w:pPr>
              <w:pStyle w:val="Normal"/>
              <w:spacing w:before="28" w:after="119"/>
              <w:jc w:val="center"/>
              <w:rPr/>
            </w:pPr>
            <w:r>
              <w:rPr/>
              <w:t>-</w:t>
            </w:r>
            <w:r>
              <w:rPr/>
              <w:t>6639</w:t>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center"/>
              <w:rPr/>
            </w:pPr>
            <w:r>
              <w:rPr/>
            </w:r>
          </w:p>
        </w:tc>
        <w:tc>
          <w:tcPr>
            <w:tcW w:w="1145" w:type="dxa"/>
            <w:tcBorders/>
            <w:shd w:fill="FFFFFF" w:val="clear"/>
            <w:vAlign w:val="bottom"/>
          </w:tcPr>
          <w:p>
            <w:pPr>
              <w:pStyle w:val="Normal"/>
              <w:spacing w:before="28" w:after="119"/>
              <w:jc w:val="center"/>
              <w:rPr/>
            </w:pPr>
            <w:r>
              <w:rPr/>
              <w:t>-6639</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Výsledok hospodárenia bežného účtovného obdobia</w:t>
            </w:r>
          </w:p>
        </w:tc>
        <w:tc>
          <w:tcPr>
            <w:tcW w:w="884" w:type="dxa"/>
            <w:tcBorders/>
            <w:shd w:fill="FFFFFF" w:val="clear"/>
            <w:vAlign w:val="bottom"/>
          </w:tcPr>
          <w:p>
            <w:pPr>
              <w:pStyle w:val="Normal"/>
              <w:spacing w:before="28" w:after="119"/>
              <w:jc w:val="center"/>
              <w:rPr/>
            </w:pPr>
            <w:r>
              <w:rPr/>
              <w:t>0</w:t>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center"/>
              <w:rPr/>
            </w:pPr>
            <w:r>
              <w:rPr/>
              <w:t>0</w:t>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Vyplatené dividendy</w:t>
            </w:r>
          </w:p>
        </w:tc>
        <w:tc>
          <w:tcPr>
            <w:tcW w:w="884"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both"/>
              <w:rPr/>
            </w:pPr>
            <w:r>
              <w:rPr/>
            </w:r>
          </w:p>
        </w:tc>
      </w:tr>
      <w:tr>
        <w:trPr/>
        <w:tc>
          <w:tcPr>
            <w:tcW w:w="4291"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položky vlastného imania</w:t>
            </w:r>
          </w:p>
        </w:tc>
        <w:tc>
          <w:tcPr>
            <w:tcW w:w="884" w:type="dxa"/>
            <w:tcBorders/>
            <w:shd w:fill="FFFFFF" w:val="clear"/>
            <w:vAlign w:val="bottom"/>
          </w:tcPr>
          <w:p>
            <w:pPr>
              <w:pStyle w:val="Normal"/>
              <w:spacing w:before="28" w:after="119"/>
              <w:jc w:val="both"/>
              <w:rPr/>
            </w:pPr>
            <w:r>
              <w:rPr/>
            </w:r>
          </w:p>
        </w:tc>
        <w:tc>
          <w:tcPr>
            <w:tcW w:w="1031"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2" w:type="dxa"/>
            <w:tcBorders/>
            <w:shd w:fill="FFFFFF" w:val="clear"/>
            <w:vAlign w:val="bottom"/>
          </w:tcPr>
          <w:p>
            <w:pPr>
              <w:pStyle w:val="Normal"/>
              <w:spacing w:before="28" w:after="119"/>
              <w:jc w:val="both"/>
              <w:rPr/>
            </w:pPr>
            <w:r>
              <w:rPr/>
            </w:r>
          </w:p>
        </w:tc>
        <w:tc>
          <w:tcPr>
            <w:tcW w:w="1145" w:type="dxa"/>
            <w:tcBorders/>
            <w:shd w:fill="FFFFFF" w:val="clear"/>
            <w:vAlign w:val="bottom"/>
          </w:tcPr>
          <w:p>
            <w:pPr>
              <w:pStyle w:val="Normal"/>
              <w:spacing w:before="28" w:after="119"/>
              <w:jc w:val="both"/>
              <w:rPr/>
            </w:pPr>
            <w:r>
              <w:rPr/>
            </w:r>
          </w:p>
        </w:tc>
      </w:tr>
      <w:tr>
        <w:trPr/>
        <w:tc>
          <w:tcPr>
            <w:tcW w:w="4291" w:type="dxa"/>
            <w:tcBorders>
              <w:bottom w:val="single" w:sz="8"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Účet 491 – Vlastné imanie fyzickej osoby – podnikateľa </w:t>
            </w:r>
          </w:p>
        </w:tc>
        <w:tc>
          <w:tcPr>
            <w:tcW w:w="884" w:type="dxa"/>
            <w:tcBorders>
              <w:bottom w:val="single" w:sz="8" w:space="0" w:color="00000A"/>
            </w:tcBorders>
            <w:shd w:fill="FFFFFF" w:val="clear"/>
            <w:vAlign w:val="bottom"/>
          </w:tcPr>
          <w:p>
            <w:pPr>
              <w:pStyle w:val="Normal"/>
              <w:spacing w:before="28" w:after="119"/>
              <w:jc w:val="both"/>
              <w:rPr/>
            </w:pPr>
            <w:r>
              <w:rPr/>
            </w:r>
          </w:p>
        </w:tc>
        <w:tc>
          <w:tcPr>
            <w:tcW w:w="1031" w:type="dxa"/>
            <w:tcBorders>
              <w:bottom w:val="single" w:sz="8" w:space="0" w:color="00000A"/>
            </w:tcBorders>
            <w:shd w:fill="FFFFFF" w:val="clear"/>
            <w:vAlign w:val="bottom"/>
          </w:tcPr>
          <w:p>
            <w:pPr>
              <w:pStyle w:val="Normal"/>
              <w:spacing w:before="28" w:after="119"/>
              <w:jc w:val="both"/>
              <w:rPr/>
            </w:pPr>
            <w:r>
              <w:rPr/>
            </w:r>
          </w:p>
        </w:tc>
        <w:tc>
          <w:tcPr>
            <w:tcW w:w="796" w:type="dxa"/>
            <w:tcBorders>
              <w:bottom w:val="single" w:sz="8" w:space="0" w:color="00000A"/>
            </w:tcBorders>
            <w:shd w:fill="FFFFFF" w:val="clear"/>
            <w:vAlign w:val="bottom"/>
          </w:tcPr>
          <w:p>
            <w:pPr>
              <w:pStyle w:val="Normal"/>
              <w:spacing w:before="28" w:after="119"/>
              <w:jc w:val="both"/>
              <w:rPr/>
            </w:pPr>
            <w:r>
              <w:rPr/>
            </w:r>
          </w:p>
        </w:tc>
        <w:tc>
          <w:tcPr>
            <w:tcW w:w="922" w:type="dxa"/>
            <w:tcBorders>
              <w:bottom w:val="single" w:sz="8" w:space="0" w:color="00000A"/>
            </w:tcBorders>
            <w:shd w:fill="FFFFFF" w:val="clear"/>
            <w:vAlign w:val="bottom"/>
          </w:tcPr>
          <w:p>
            <w:pPr>
              <w:pStyle w:val="Normal"/>
              <w:spacing w:before="28" w:after="119"/>
              <w:jc w:val="both"/>
              <w:rPr/>
            </w:pPr>
            <w:r>
              <w:rPr/>
            </w:r>
          </w:p>
        </w:tc>
        <w:tc>
          <w:tcPr>
            <w:tcW w:w="1145" w:type="dxa"/>
            <w:tcBorders>
              <w:bottom w:val="single" w:sz="8" w:space="0" w:color="00000A"/>
            </w:tcBorders>
            <w:shd w:fill="FFFFFF" w:val="clear"/>
            <w:vAlign w:val="bottom"/>
          </w:tcPr>
          <w:p>
            <w:pPr>
              <w:pStyle w:val="Normal"/>
              <w:spacing w:before="28" w:after="119"/>
              <w:jc w:val="both"/>
              <w:rPr/>
            </w:pPr>
            <w:r>
              <w:rPr/>
            </w:r>
          </w:p>
        </w:tc>
      </w:tr>
    </w:tbl>
    <w:p>
      <w:pPr>
        <w:pStyle w:val="Normal"/>
        <w:keepNext w:val="true"/>
        <w:widowControl/>
        <w:suppressAutoHyphens w:val="true"/>
        <w:ind w:left="11" w:right="0" w:hanging="0"/>
        <w:jc w:val="both"/>
        <w:rPr/>
      </w:pPr>
      <w:r>
        <w:rPr/>
      </w:r>
    </w:p>
    <w:p>
      <w:pPr>
        <w:pStyle w:val="Normal"/>
        <w:rPr>
          <w:rFonts w:cs="Arial"/>
          <w:bCs/>
          <w:szCs w:val="26"/>
          <w:u w:val="single"/>
        </w:rPr>
      </w:pPr>
      <w:r>
        <w:rPr>
          <w:rFonts w:cs="Arial"/>
          <w:bCs/>
          <w:szCs w:val="26"/>
          <w:u w:val="single"/>
        </w:rPr>
      </w:r>
    </w:p>
    <w:p>
      <w:pPr>
        <w:pStyle w:val="Normal"/>
        <w:rPr/>
      </w:pPr>
      <w:r>
        <w:rPr>
          <w:rFonts w:cs="Arial"/>
          <w:bCs/>
          <w:sz w:val="20"/>
          <w:szCs w:val="20"/>
          <w:u w:val="none"/>
        </w:rPr>
        <w:t>V Nižnej, dňa 1</w:t>
      </w:r>
      <w:r>
        <w:rPr>
          <w:rFonts w:cs="Arial"/>
          <w:bCs/>
          <w:sz w:val="20"/>
          <w:szCs w:val="20"/>
          <w:u w:val="none"/>
        </w:rPr>
        <w:t>8</w:t>
      </w:r>
      <w:r>
        <w:rPr>
          <w:rFonts w:cs="Arial"/>
          <w:bCs/>
          <w:sz w:val="20"/>
          <w:szCs w:val="20"/>
          <w:u w:val="none"/>
        </w:rPr>
        <w:t>.320</w:t>
      </w:r>
      <w:r>
        <w:rPr>
          <w:rFonts w:cs="Arial"/>
          <w:bCs/>
          <w:sz w:val="20"/>
          <w:szCs w:val="20"/>
          <w:u w:val="none"/>
        </w:rPr>
        <w:t>20</w:t>
      </w:r>
    </w:p>
    <w:p>
      <w:pPr>
        <w:pStyle w:val="Normal"/>
        <w:rPr>
          <w:rFonts w:cs="Arial"/>
          <w:bCs/>
          <w:sz w:val="20"/>
          <w:szCs w:val="20"/>
          <w:u w:val="none"/>
        </w:rPr>
      </w:pPr>
      <w:r>
        <w:rPr>
          <w:rFonts w:cs="Arial"/>
          <w:bCs/>
          <w:sz w:val="20"/>
          <w:szCs w:val="20"/>
          <w:u w:val="none"/>
        </w:rPr>
        <w:t>Mgr. Róbert Martauz</w:t>
      </w:r>
      <w:r>
        <w:br w:type="page"/>
      </w:r>
    </w:p>
    <w:p>
      <w:pPr>
        <w:pStyle w:val="Nadpis3"/>
        <w:keepNext w:val="true"/>
        <w:widowControl/>
        <w:suppressAutoHyphens w:val="true"/>
        <w:ind w:left="0" w:right="0" w:hanging="0"/>
        <w:jc w:val="both"/>
        <w:rPr>
          <w:color w:val="000000"/>
          <w:lang w:eastAsia="sk-SK"/>
        </w:rPr>
      </w:pPr>
      <w:r>
        <w:rPr>
          <w:color w:val="000000"/>
          <w:lang w:eastAsia="sk-SK"/>
        </w:rPr>
      </w:r>
    </w:p>
    <w:p>
      <w:pPr>
        <w:pStyle w:val="Nadpis2"/>
        <w:rPr/>
      </w:pPr>
      <w:r>
        <w:rPr/>
      </w:r>
    </w:p>
    <w:p>
      <w:pPr>
        <w:pStyle w:val="Normal"/>
        <w:rPr>
          <w:lang w:eastAsia="sk-SK"/>
        </w:rPr>
      </w:pPr>
      <w:r>
        <w:rPr>
          <w:lang w:eastAsia="sk-SK"/>
        </w:rPr>
      </w:r>
    </w:p>
    <w:p>
      <w:pPr>
        <w:pStyle w:val="Nadpis3"/>
        <w:keepNext w:val="true"/>
        <w:widowControl/>
        <w:suppressAutoHyphens w:val="true"/>
        <w:ind w:left="-107" w:right="0" w:hanging="0"/>
        <w:jc w:val="both"/>
        <w:rPr>
          <w:i/>
          <w:i/>
          <w:color w:val="FF0000"/>
        </w:rPr>
      </w:pPr>
      <w:r>
        <w:rPr>
          <w:i/>
          <w:color w:val="FF0000"/>
        </w:rPr>
      </w:r>
    </w:p>
    <w:p>
      <w:pPr>
        <w:pStyle w:val="Normal"/>
        <w:rPr>
          <w:i/>
          <w:i/>
          <w:color w:val="FF0000"/>
        </w:rPr>
      </w:pPr>
      <w:r>
        <w:rPr>
          <w:i/>
          <w:color w:val="FF0000"/>
        </w:rPr>
      </w:r>
    </w:p>
    <w:p>
      <w:pPr>
        <w:pStyle w:val="Normal"/>
        <w:jc w:val="left"/>
        <w:rPr>
          <w:rFonts w:cs="Arial"/>
          <w:b/>
          <w:b/>
          <w:bCs/>
          <w:iCs/>
          <w:szCs w:val="28"/>
          <w:lang w:eastAsia="sk-SK"/>
        </w:rPr>
      </w:pPr>
      <w:r>
        <w:rPr>
          <w:rFonts w:cs="Arial"/>
          <w:b/>
          <w:bCs/>
          <w:iCs/>
          <w:szCs w:val="28"/>
          <w:lang w:eastAsia="sk-SK"/>
        </w:rPr>
      </w:r>
      <w:bookmarkStart w:id="4" w:name="T_accrued_expense_deferred_income"/>
      <w:bookmarkStart w:id="5" w:name="T_accrued_expense_deferred_income"/>
      <w:bookmarkEnd w:id="5"/>
      <w:r>
        <w:br w:type="page"/>
      </w:r>
    </w:p>
    <w:p>
      <w:pPr>
        <w:pStyle w:val="Nadpis2"/>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footerReference w:type="default" r:id="rId3"/>
      <w:type w:val="nextPage"/>
      <w:pgSz w:w="11906" w:h="16838"/>
      <w:pgMar w:left="1418" w:right="1418" w:header="567" w:top="1418" w:footer="680" w:bottom="992" w:gutter="0"/>
      <w:pgNumType w:fmt="decimal"/>
      <w:formProt w:val="false"/>
      <w:textDirection w:val="lrTb"/>
      <w:docGrid w:type="default" w:linePitch="725" w:charSpace="11366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Verdana">
    <w:charset w:val="ee"/>
    <w:family w:val="roman"/>
    <w:pitch w:val="variable"/>
  </w:font>
  <w:font w:name="Arial">
    <w:charset w:val="ee"/>
    <w:family w:val="roman"/>
    <w:pitch w:val="variable"/>
  </w:font>
  <w:font w:name="Tahoma">
    <w:charset w:val="ee"/>
    <w:family w:val="roman"/>
    <w:pitch w:val="variable"/>
  </w:font>
  <w:font w:name="Times New Roman 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sz w:val="15"/>
        <w:b w:val="false"/>
        <w:rFonts w:cs="Symbol"/>
        <w:color w:val="00000A"/>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kern w:val="2"/>
        <w:sz w:val="22"/>
        <w:szCs w:val="24"/>
        <w:lang w:val="sk-SK" w:eastAsia="zh-CN" w:bidi="hi-IN"/>
      </w:rPr>
    </w:rPrDefault>
    <w:pPrDefault>
      <w:pPr/>
    </w:pPrDefault>
  </w:docDefaults>
  <w:style w:type="paragraph" w:styleId="Normal">
    <w:name w:val="Normal"/>
    <w:qFormat/>
    <w:pPr>
      <w:widowControl/>
      <w:suppressAutoHyphens w:val="true"/>
      <w:jc w:val="both"/>
    </w:pPr>
    <w:rPr>
      <w:rFonts w:ascii="Verdana" w:hAnsi="Verdana" w:eastAsia="Times New Roman" w:cs="Times New Roman"/>
      <w:color w:val="00000A"/>
      <w:kern w:val="2"/>
      <w:sz w:val="17"/>
      <w:szCs w:val="20"/>
      <w:lang w:val="sk-SK" w:eastAsia="en-US" w:bidi="ar-SA"/>
    </w:rPr>
  </w:style>
  <w:style w:type="paragraph" w:styleId="Nadpis1">
    <w:name w:val="Heading 1"/>
    <w:basedOn w:val="Normal"/>
    <w:qFormat/>
    <w:pPr>
      <w:keepNext w:val="true"/>
    </w:pPr>
    <w:rPr>
      <w:rFonts w:cs="Arial"/>
      <w:b/>
      <w:bCs/>
      <w:caps/>
      <w:sz w:val="18"/>
      <w:szCs w:val="32"/>
      <w:u w:val="single"/>
    </w:rPr>
  </w:style>
  <w:style w:type="paragraph" w:styleId="Nadpis2">
    <w:name w:val="Heading 2"/>
    <w:basedOn w:val="Normal"/>
    <w:qFormat/>
    <w:pPr>
      <w:keepNext w:val="true"/>
    </w:pPr>
    <w:rPr>
      <w:rFonts w:cs="Arial"/>
      <w:b/>
      <w:bCs/>
      <w:iCs/>
      <w:szCs w:val="28"/>
    </w:rPr>
  </w:style>
  <w:style w:type="paragraph" w:styleId="Nadpis3">
    <w:name w:val="Heading 3"/>
    <w:basedOn w:val="Normal"/>
    <w:qFormat/>
    <w:pPr>
      <w:keepNext w:val="true"/>
    </w:pPr>
    <w:rPr>
      <w:rFonts w:cs="Arial"/>
      <w:bCs/>
      <w:szCs w:val="26"/>
      <w:u w:val="single"/>
    </w:rPr>
  </w:style>
  <w:style w:type="paragraph" w:styleId="Nadpis4">
    <w:name w:val="Heading 4"/>
    <w:basedOn w:val="Normal"/>
    <w:qFormat/>
    <w:pPr>
      <w:keepNext w:val="true"/>
    </w:pPr>
    <w:rPr>
      <w:bCs/>
      <w:i/>
      <w:szCs w:val="28"/>
    </w:rPr>
  </w:style>
  <w:style w:type="paragraph" w:styleId="Nadpis5">
    <w:name w:val="Heading 5"/>
    <w:basedOn w:val="Normal"/>
    <w:qFormat/>
    <w:pPr>
      <w:spacing w:before="240" w:after="60"/>
    </w:pPr>
    <w:rPr>
      <w:b/>
      <w:bCs/>
      <w:i/>
      <w:iCs/>
      <w:szCs w:val="26"/>
    </w:rPr>
  </w:style>
  <w:style w:type="paragraph" w:styleId="Nadpis6">
    <w:name w:val="Heading 6"/>
    <w:basedOn w:val="Normal"/>
    <w:qFormat/>
    <w:pPr>
      <w:spacing w:before="240" w:after="60"/>
    </w:pPr>
    <w:rPr>
      <w:b/>
      <w:bCs/>
      <w:szCs w:val="22"/>
    </w:rPr>
  </w:style>
  <w:style w:type="paragraph" w:styleId="Nadpis7">
    <w:name w:val="Heading 7"/>
    <w:basedOn w:val="Normal"/>
    <w:qFormat/>
    <w:pPr>
      <w:spacing w:before="240" w:after="60"/>
    </w:pPr>
    <w:rPr>
      <w:szCs w:val="24"/>
    </w:rPr>
  </w:style>
  <w:style w:type="paragraph" w:styleId="Nadpis8">
    <w:name w:val="Heading 8"/>
    <w:basedOn w:val="Normal"/>
    <w:qFormat/>
    <w:pPr>
      <w:spacing w:before="240" w:after="60"/>
    </w:pPr>
    <w:rPr>
      <w:i/>
      <w:iCs/>
      <w:szCs w:val="24"/>
    </w:rPr>
  </w:style>
  <w:style w:type="paragraph" w:styleId="Nadpis9">
    <w:name w:val="Heading 9"/>
    <w:basedOn w:val="Normal"/>
    <w:qFormat/>
    <w:pPr>
      <w:spacing w:before="240" w:after="60"/>
    </w:pPr>
    <w:rPr>
      <w:rFonts w:cs="Arial"/>
      <w:szCs w:val="22"/>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eaderChar">
    <w:name w:val="Header Char"/>
    <w:basedOn w:val="DefaultParagraphFont"/>
    <w:qFormat/>
    <w:rPr>
      <w:rFonts w:ascii="Verdana" w:hAnsi="Verdana"/>
      <w:b/>
      <w:sz w:val="17"/>
      <w:lang w:eastAsia="en-US"/>
    </w:rPr>
  </w:style>
  <w:style w:type="character" w:styleId="Heading2Char">
    <w:name w:val="Heading 2 Char"/>
    <w:basedOn w:val="DefaultParagraphFont"/>
    <w:qFormat/>
    <w:rPr>
      <w:rFonts w:ascii="Verdana" w:hAnsi="Verdana" w:cs="Arial"/>
      <w:b/>
      <w:bCs/>
      <w:iCs/>
      <w:sz w:val="17"/>
      <w:szCs w:val="28"/>
      <w:lang w:eastAsia="en-US"/>
    </w:rPr>
  </w:style>
  <w:style w:type="character" w:styleId="FooterChar">
    <w:name w:val="Footer Char"/>
    <w:basedOn w:val="DefaultParagraphFont"/>
    <w:qFormat/>
    <w:rPr>
      <w:rFonts w:ascii="Verdana" w:hAnsi="Verdana"/>
      <w:sz w:val="17"/>
      <w:lang w:eastAsia="en-US"/>
    </w:rPr>
  </w:style>
  <w:style w:type="character" w:styleId="ListLabel1">
    <w:name w:val="ListLabel 1"/>
    <w:qFormat/>
    <w:rPr>
      <w:rFonts w:cs="Courier New"/>
    </w:rPr>
  </w:style>
  <w:style w:type="character" w:styleId="ListLabel2">
    <w:name w:val="ListLabel 2"/>
    <w:qFormat/>
    <w:rPr>
      <w:color w:val="00000A"/>
    </w:rPr>
  </w:style>
  <w:style w:type="character" w:styleId="ListLabel3">
    <w:name w:val="ListLabel 3"/>
    <w:qFormat/>
    <w:rPr>
      <w:rFonts w:eastAsia="Times New Roman" w:cs="Times New Roman"/>
    </w:rPr>
  </w:style>
  <w:style w:type="character" w:styleId="ListLabel4">
    <w:name w:val="ListLabel 4"/>
    <w:qFormat/>
    <w:rPr>
      <w:rFonts w:cs="Symbol"/>
      <w:color w:val="00000A"/>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Symbol"/>
      <w:color w:val="00000A"/>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Symbol"/>
      <w:color w:val="00000A"/>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Symbol"/>
      <w:color w:val="00000A"/>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Symbol"/>
      <w:color w:val="00000A"/>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Symbol"/>
      <w:color w:val="00000A"/>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Symbol"/>
      <w:color w:val="00000A"/>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Symbol"/>
      <w:b w:val="false"/>
      <w:color w:val="00000A"/>
      <w:sz w:val="15"/>
    </w:rPr>
  </w:style>
  <w:style w:type="character" w:styleId="ListLabel33">
    <w:name w:val="ListLabel 33"/>
    <w:qFormat/>
    <w:rPr>
      <w:rFonts w:cs="Courier New"/>
    </w:rPr>
  </w:style>
  <w:style w:type="character" w:styleId="ListLabel34">
    <w:name w:val="ListLabel 34"/>
    <w:qFormat/>
    <w:rPr>
      <w:rFonts w:cs="Wingdings"/>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paragraph" w:styleId="Nadpis">
    <w:name w:val="Nadpis"/>
    <w:basedOn w:val="Normal"/>
    <w:next w:val="Telotextu"/>
    <w:qFormat/>
    <w:pPr>
      <w:keepNext w:val="true"/>
      <w:spacing w:before="240" w:after="120"/>
    </w:pPr>
    <w:rPr>
      <w:rFonts w:ascii="Arial" w:hAnsi="Arial" w:eastAsia="Microsoft YaHei" w:cs="Mangal"/>
      <w:sz w:val="28"/>
      <w:szCs w:val="28"/>
    </w:rPr>
  </w:style>
  <w:style w:type="paragraph" w:styleId="Telotextu">
    <w:name w:val="Body Text"/>
    <w:basedOn w:val="Normal"/>
    <w:pPr>
      <w:spacing w:before="0" w:after="120"/>
    </w:pPr>
    <w:rPr>
      <w:sz w:val="24"/>
      <w:lang w:val="cs-CZ"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lavika">
    <w:name w:val="Header"/>
    <w:basedOn w:val="Normal"/>
    <w:pPr>
      <w:tabs>
        <w:tab w:val="clear" w:pos="720"/>
        <w:tab w:val="center" w:pos="4536" w:leader="none"/>
        <w:tab w:val="right" w:pos="9072" w:leader="none"/>
      </w:tabs>
    </w:pPr>
    <w:rPr>
      <w:b/>
    </w:rPr>
  </w:style>
  <w:style w:type="paragraph" w:styleId="Pta">
    <w:name w:val="Footer"/>
    <w:basedOn w:val="Normal"/>
    <w:pPr>
      <w:tabs>
        <w:tab w:val="clear" w:pos="720"/>
        <w:tab w:val="center" w:pos="4703" w:leader="none"/>
        <w:tab w:val="right" w:pos="9406" w:leader="none"/>
      </w:tabs>
    </w:pPr>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qFormat/>
    <w:pPr/>
    <w:rPr>
      <w:sz w:val="20"/>
    </w:rPr>
  </w:style>
  <w:style w:type="paragraph" w:styleId="Annotationsubject">
    <w:name w:val="annotation subject"/>
    <w:basedOn w:val="Annotationtext"/>
    <w:qFormat/>
    <w:pPr/>
    <w:rPr>
      <w:b/>
      <w:bCs/>
    </w:rPr>
  </w:style>
  <w:style w:type="paragraph" w:styleId="Tableheader">
    <w:name w:val="table header"/>
    <w:basedOn w:val="Normal"/>
    <w:qFormat/>
    <w:pPr>
      <w:jc w:val="center"/>
    </w:pPr>
    <w:rPr>
      <w:rFonts w:ascii="Times New Roman Bold" w:hAnsi="Times New Roman Bold"/>
      <w:b/>
      <w:i/>
      <w:sz w:val="20"/>
      <w:lang w:eastAsia="sk-SK"/>
    </w:rPr>
  </w:style>
  <w:style w:type="paragraph" w:styleId="Revision">
    <w:name w:val="Revision"/>
    <w:qFormat/>
    <w:pPr>
      <w:widowControl/>
      <w:suppressAutoHyphens w:val="true"/>
    </w:pPr>
    <w:rPr>
      <w:rFonts w:ascii="Verdana" w:hAnsi="Verdana" w:eastAsia="Times New Roman" w:cs="Times New Roman"/>
      <w:color w:val="00000A"/>
      <w:kern w:val="2"/>
      <w:sz w:val="17"/>
      <w:szCs w:val="20"/>
      <w:lang w:val="sk-SK" w:eastAsia="en-US" w:bidi="ar-SA"/>
    </w:rPr>
  </w:style>
  <w:style w:type="paragraph" w:styleId="ListParagraph">
    <w:name w:val="List Paragraph"/>
    <w:basedOn w:val="Normal"/>
    <w:qFormat/>
    <w:pPr>
      <w:ind w:left="708" w:right="0" w:hanging="0"/>
    </w:pPr>
    <w:rPr/>
  </w:style>
  <w:style w:type="paragraph" w:styleId="Citcie">
    <w:name w:val="Citácie"/>
    <w:basedOn w:val="Normal"/>
    <w:qFormat/>
    <w:pPr/>
    <w:rPr/>
  </w:style>
  <w:style w:type="paragraph" w:styleId="Nzov">
    <w:name w:val="Title"/>
    <w:basedOn w:val="Nadpis"/>
    <w:qFormat/>
    <w:pPr/>
    <w:rPr/>
  </w:style>
  <w:style w:type="paragraph" w:styleId="Podnzov">
    <w:name w:val="Podnázov"/>
    <w:basedOn w:val="Nadpis"/>
    <w:qFormat/>
    <w:pPr/>
    <w:rPr/>
  </w:style>
  <w:style w:type="paragraph" w:styleId="Obsahtabuky">
    <w:name w:val="Obsah tabuľky"/>
    <w:basedOn w:val="Normal"/>
    <w:qFormat/>
    <w:pPr/>
    <w:rPr/>
  </w:style>
  <w:style w:type="paragraph" w:styleId="Nadpistabuky">
    <w:name w:val="Nadpis tabuľky"/>
    <w:basedOn w:val="Obsahtabuky"/>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24</TotalTime>
  <Application>LibreOffice/6.2.8.2$Windows_X86_64 LibreOffice_project/f82ddfca21ebc1e222a662a32b25c0c9d20169ee</Application>
  <Pages>11</Pages>
  <Words>2108</Words>
  <Characters>12357</Characters>
  <CharactersWithSpaces>14763</CharactersWithSpaces>
  <Paragraphs>412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2015-12-14T14:56:00Z</dcterms:created>
  <dc:creator>Alena Durkova</dc:creator>
  <dc:description/>
  <dc:language>sk-SK</dc:language>
  <cp:lastModifiedBy/>
  <cp:lastPrinted>2017-03-17T14:38:02Z</cp:lastPrinted>
  <dcterms:modified xsi:type="dcterms:W3CDTF">2020-03-18T08:29:39Z</dcterms:modified>
  <cp:revision>15</cp:revision>
  <dc:subject/>
  <dc:title>Návod na použitie:</dc:title>
</cp:coreProperties>
</file>