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8B49BD" w:rsidRDefault="008B49BD">
      <w:pPr>
        <w:widowControl w:val="0"/>
        <w:spacing w:before="2" w:line="240" w:lineRule="auto"/>
      </w:pPr>
      <w:bookmarkStart w:id="0" w:name="_GoBack"/>
      <w:bookmarkEnd w:id="0"/>
    </w:p>
    <w:p w:rsidR="008B49BD" w:rsidRDefault="000206E1">
      <w:pPr>
        <w:widowControl w:val="0"/>
        <w:spacing w:after="120" w:line="240" w:lineRule="auto"/>
        <w:jc w:val="center"/>
      </w:pPr>
      <w:r>
        <w:rPr>
          <w:rFonts w:ascii="Arial Narrow" w:eastAsia="Arial Narrow" w:hAnsi="Arial Narrow" w:cs="Arial Narrow"/>
          <w:b/>
        </w:rPr>
        <w:t>Poznámky k mikro účtovnej závierke za rok 201</w:t>
      </w:r>
      <w:r w:rsidR="004105F1">
        <w:rPr>
          <w:rFonts w:ascii="Arial Narrow" w:eastAsia="Arial Narrow" w:hAnsi="Arial Narrow" w:cs="Arial Narrow"/>
          <w:b/>
        </w:rPr>
        <w:t>9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eastAsia="Arial Narrow" w:hAnsi="Arial Narrow" w:cs="Arial Narrow"/>
          <w:b/>
        </w:rPr>
        <w:t>mikro účtovné jednotky</w:t>
      </w:r>
      <w:r>
        <w:rPr>
          <w:rFonts w:ascii="Arial Narrow" w:eastAsia="Arial Narrow" w:hAnsi="Arial Narrow" w:cs="Arial Narrow"/>
        </w:rPr>
        <w:t xml:space="preserve"> v znení neskorších predpisov</w:t>
      </w:r>
    </w:p>
    <w:p w:rsidR="008B49BD" w:rsidRDefault="000206E1">
      <w:pPr>
        <w:widowControl w:val="0"/>
        <w:spacing w:line="240" w:lineRule="auto"/>
        <w:jc w:val="center"/>
      </w:pPr>
      <w:r>
        <w:rPr>
          <w:rFonts w:ascii="Arial Narrow" w:eastAsia="Arial Narrow" w:hAnsi="Arial Narrow" w:cs="Arial Narrow"/>
        </w:rPr>
        <w:t>(ostatná novela č.MF/18008/2014-74 – FS č.10/2014)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spacing w:before="69" w:line="240" w:lineRule="auto"/>
        <w:ind w:right="836"/>
        <w:jc w:val="center"/>
      </w:pPr>
      <w:r>
        <w:rPr>
          <w:b/>
        </w:rPr>
        <w:t>Článok I</w:t>
      </w:r>
    </w:p>
    <w:p w:rsidR="008B49BD" w:rsidRDefault="000206E1">
      <w:pPr>
        <w:widowControl w:val="0"/>
        <w:spacing w:line="240" w:lineRule="auto"/>
        <w:ind w:right="841"/>
        <w:jc w:val="center"/>
      </w:pPr>
      <w:r>
        <w:rPr>
          <w:b/>
        </w:rPr>
        <w:t>Všeobecné údaje</w:t>
      </w:r>
    </w:p>
    <w:p w:rsidR="008B49BD" w:rsidRDefault="008B49BD">
      <w:pPr>
        <w:widowControl w:val="0"/>
        <w:spacing w:before="7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1. </w:t>
      </w:r>
      <w:r>
        <w:rPr>
          <w:u w:val="single"/>
        </w:rPr>
        <w:t>Identifikácia účtovnej jednotky (názov, IČO, sídlo):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3085"/>
        <w:gridCol w:w="6602"/>
      </w:tblGrid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Názov:</w:t>
            </w:r>
          </w:p>
        </w:tc>
        <w:tc>
          <w:tcPr>
            <w:tcW w:w="6602" w:type="dxa"/>
          </w:tcPr>
          <w:p w:rsidR="008B49BD" w:rsidRDefault="0035341E" w:rsidP="00157DF3">
            <w:pPr>
              <w:widowControl w:val="0"/>
              <w:spacing w:line="240" w:lineRule="auto"/>
              <w:jc w:val="both"/>
            </w:pPr>
            <w:r>
              <w:t xml:space="preserve">Safron coffea s. r. o. 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IČO:</w:t>
            </w:r>
          </w:p>
        </w:tc>
        <w:tc>
          <w:tcPr>
            <w:tcW w:w="6602" w:type="dxa"/>
          </w:tcPr>
          <w:p w:rsidR="008B49BD" w:rsidRDefault="0035341E">
            <w:pPr>
              <w:widowControl w:val="0"/>
              <w:spacing w:line="240" w:lineRule="auto"/>
              <w:jc w:val="both"/>
            </w:pPr>
            <w:r>
              <w:t>51861925</w:t>
            </w:r>
          </w:p>
        </w:tc>
      </w:tr>
      <w:tr w:rsidR="008B49BD">
        <w:tc>
          <w:tcPr>
            <w:tcW w:w="3085" w:type="dxa"/>
          </w:tcPr>
          <w:p w:rsidR="008B49BD" w:rsidRDefault="000206E1">
            <w:pPr>
              <w:widowControl w:val="0"/>
              <w:spacing w:line="240" w:lineRule="auto"/>
              <w:jc w:val="both"/>
            </w:pPr>
            <w:r>
              <w:t>Sídlo:</w:t>
            </w:r>
          </w:p>
        </w:tc>
        <w:tc>
          <w:tcPr>
            <w:tcW w:w="6602" w:type="dxa"/>
          </w:tcPr>
          <w:p w:rsidR="008B49BD" w:rsidRDefault="0035341E">
            <w:pPr>
              <w:widowControl w:val="0"/>
              <w:spacing w:line="240" w:lineRule="auto"/>
              <w:jc w:val="both"/>
            </w:pPr>
            <w:r>
              <w:t>Kĺušov 22</w:t>
            </w:r>
            <w:r w:rsidR="00157DF3">
              <w:t xml:space="preserve"> 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</w:pPr>
      <w:r>
        <w:t xml:space="preserve">2. </w:t>
      </w:r>
      <w:r>
        <w:rPr>
          <w:u w:val="single"/>
        </w:rPr>
        <w:t>Údaje o konsolidovanom celku</w:t>
      </w:r>
      <w:r>
        <w:t xml:space="preserve"> - obchodné meno a sídlo konsolidujúcej účtovnej jednotky:</w:t>
      </w:r>
    </w:p>
    <w:p w:rsidR="00D91CE9" w:rsidRDefault="00D91CE9">
      <w:pPr>
        <w:widowControl w:val="0"/>
        <w:tabs>
          <w:tab w:val="left" w:pos="808"/>
        </w:tabs>
        <w:spacing w:line="240" w:lineRule="auto"/>
      </w:pPr>
      <w:r>
        <w:t xml:space="preserve">    Zmena obchodného mena spoločnosti, sídla spoločnosti, zvýšenie základného imania</w:t>
      </w: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8B49BD">
      <w:pPr>
        <w:widowControl w:val="0"/>
        <w:tabs>
          <w:tab w:val="left" w:pos="808"/>
        </w:tabs>
        <w:spacing w:line="240" w:lineRule="auto"/>
      </w:pPr>
    </w:p>
    <w:p w:rsidR="008B49BD" w:rsidRDefault="000206E1">
      <w:pPr>
        <w:widowControl w:val="0"/>
        <w:spacing w:line="240" w:lineRule="auto"/>
        <w:jc w:val="both"/>
      </w:pPr>
      <w:r>
        <w:t xml:space="preserve">3. </w:t>
      </w:r>
      <w:r>
        <w:rPr>
          <w:u w:val="single"/>
        </w:rPr>
        <w:t>Priemerný prepočítaný počet zamestnancov</w:t>
      </w:r>
      <w:r>
        <w:t>:</w:t>
      </w:r>
    </w:p>
    <w:p w:rsidR="008B49BD" w:rsidRDefault="008B49BD">
      <w:pPr>
        <w:widowControl w:val="0"/>
        <w:spacing w:line="240" w:lineRule="auto"/>
        <w:jc w:val="both"/>
      </w:pPr>
    </w:p>
    <w:tbl>
      <w:tblPr>
        <w:tblStyle w:val="a0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219"/>
        <w:gridCol w:w="2126"/>
        <w:gridCol w:w="3342"/>
      </w:tblGrid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Bežné účtovné</w:t>
            </w:r>
          </w:p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obdobie</w:t>
            </w:r>
          </w:p>
        </w:tc>
        <w:tc>
          <w:tcPr>
            <w:tcW w:w="3342" w:type="dxa"/>
          </w:tcPr>
          <w:p w:rsidR="008B49BD" w:rsidRDefault="000206E1">
            <w:pPr>
              <w:widowControl w:val="0"/>
              <w:spacing w:line="240" w:lineRule="auto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8B49BD">
        <w:tc>
          <w:tcPr>
            <w:tcW w:w="4219" w:type="dxa"/>
          </w:tcPr>
          <w:p w:rsidR="008B49BD" w:rsidRDefault="000206E1">
            <w:pPr>
              <w:widowControl w:val="0"/>
              <w:spacing w:line="240" w:lineRule="auto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8B49BD" w:rsidRDefault="00D21D75">
            <w:pPr>
              <w:widowControl w:val="0"/>
              <w:spacing w:line="240" w:lineRule="auto"/>
              <w:jc w:val="both"/>
            </w:pPr>
            <w:r>
              <w:t>0</w:t>
            </w:r>
          </w:p>
        </w:tc>
        <w:tc>
          <w:tcPr>
            <w:tcW w:w="3342" w:type="dxa"/>
          </w:tcPr>
          <w:p w:rsidR="008B49BD" w:rsidRDefault="00D91CE9">
            <w:pPr>
              <w:widowControl w:val="0"/>
              <w:spacing w:line="240" w:lineRule="auto"/>
              <w:jc w:val="both"/>
            </w:pPr>
            <w:r>
              <w:t>0</w:t>
            </w:r>
          </w:p>
        </w:tc>
      </w:tr>
    </w:tbl>
    <w:p w:rsidR="008B49BD" w:rsidRDefault="008B49BD">
      <w:pPr>
        <w:widowControl w:val="0"/>
        <w:spacing w:line="240" w:lineRule="auto"/>
        <w:jc w:val="both"/>
      </w:pP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839"/>
        <w:jc w:val="center"/>
      </w:pPr>
      <w:r>
        <w:rPr>
          <w:b/>
        </w:rPr>
        <w:t>Článok II</w:t>
      </w:r>
    </w:p>
    <w:p w:rsidR="008B49BD" w:rsidRDefault="000206E1">
      <w:pPr>
        <w:widowControl w:val="0"/>
        <w:spacing w:line="240" w:lineRule="auto"/>
        <w:ind w:right="836"/>
        <w:jc w:val="center"/>
      </w:pPr>
      <w:r>
        <w:rPr>
          <w:b/>
        </w:rPr>
        <w:t>Informácie o prijatých postupoch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1. 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  <w:r w:rsidR="00DB3A38">
        <w:t xml:space="preserve"> ANO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2. </w:t>
      </w:r>
      <w:r>
        <w:rPr>
          <w:u w:val="single"/>
        </w:rPr>
        <w:t>Spôsob oceňovania</w:t>
      </w:r>
      <w:r>
        <w:t xml:space="preserve"> jednotlivých položiek majetku a záväzkov, a to: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1"/>
        <w:tblW w:w="968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4843"/>
        <w:gridCol w:w="4844"/>
      </w:tblGrid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nehmotný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hmotný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Dlhodobý finančný majetok:</w:t>
            </w:r>
          </w:p>
        </w:tc>
        <w:tc>
          <w:tcPr>
            <w:tcW w:w="4844" w:type="dxa"/>
          </w:tcPr>
          <w:p w:rsidR="008B49BD" w:rsidRDefault="007455D2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obstarané kúpou: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Zásoby vytvorené vlastnou činnosťou: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náklady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Vlastné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Kúpené pohľadávky: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Krátkodobý finančný majetok: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Obstarávacia cena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Záväzky vrátane rezerv: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Dlhopisy: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lastRenderedPageBreak/>
              <w:t>Pôžičky a úvery: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  <w:tr w:rsidR="008B49BD">
        <w:tc>
          <w:tcPr>
            <w:tcW w:w="4843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Derivátové operácie:</w:t>
            </w:r>
          </w:p>
        </w:tc>
        <w:tc>
          <w:tcPr>
            <w:tcW w:w="4844" w:type="dxa"/>
          </w:tcPr>
          <w:p w:rsidR="008B49BD" w:rsidRDefault="000206E1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t>Menovitá hodnota</w:t>
            </w:r>
          </w:p>
        </w:tc>
      </w:tr>
    </w:tbl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</w:t>
      </w:r>
      <w:r w:rsidR="00DB3A38">
        <w:t xml:space="preserve"> ROVNOMERNÝ ODPIS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4. </w:t>
      </w:r>
      <w:r>
        <w:rPr>
          <w:u w:val="single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5. </w:t>
      </w:r>
      <w:r>
        <w:rPr>
          <w:u w:val="single"/>
        </w:rPr>
        <w:t>Informácie o dotáciách</w:t>
      </w:r>
      <w:r>
        <w:t xml:space="preserve"> a ich oceňovanie v účtovníctve:</w:t>
      </w:r>
    </w:p>
    <w:p w:rsidR="008B49BD" w:rsidRDefault="008B49BD">
      <w:pPr>
        <w:widowControl w:val="0"/>
        <w:tabs>
          <w:tab w:val="left" w:pos="808"/>
        </w:tabs>
        <w:spacing w:line="240" w:lineRule="auto"/>
        <w:jc w:val="both"/>
      </w:pPr>
    </w:p>
    <w:p w:rsidR="008B49BD" w:rsidRDefault="000206E1">
      <w:pPr>
        <w:widowControl w:val="0"/>
        <w:tabs>
          <w:tab w:val="left" w:pos="808"/>
        </w:tabs>
        <w:spacing w:line="240" w:lineRule="auto"/>
        <w:jc w:val="both"/>
      </w:pPr>
      <w:r>
        <w:t xml:space="preserve">6. 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DB3A38">
        <w:t xml:space="preserve"> NEBOLI</w:t>
      </w:r>
    </w:p>
    <w:p w:rsidR="008B49BD" w:rsidRDefault="008B49BD">
      <w:pPr>
        <w:widowControl w:val="0"/>
        <w:spacing w:before="1" w:line="240" w:lineRule="auto"/>
        <w:jc w:val="both"/>
      </w:pP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Článok III</w:t>
      </w:r>
    </w:p>
    <w:p w:rsidR="008B49BD" w:rsidRDefault="000206E1">
      <w:pPr>
        <w:widowControl w:val="0"/>
        <w:spacing w:line="240" w:lineRule="auto"/>
        <w:ind w:right="157"/>
        <w:jc w:val="center"/>
      </w:pPr>
      <w:r>
        <w:rPr>
          <w:b/>
        </w:rPr>
        <w:t>Informácie, ktoré vysvetľujú a dopĺňajú súvahu a výkaz ziskov a strát</w:t>
      </w:r>
    </w:p>
    <w:p w:rsidR="008B49BD" w:rsidRDefault="008B49BD">
      <w:pPr>
        <w:widowControl w:val="0"/>
        <w:spacing w:before="11" w:line="240" w:lineRule="auto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1. 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  <w:r w:rsidR="00601208">
        <w:t>NEBOLI.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2. </w:t>
      </w:r>
      <w:r>
        <w:rPr>
          <w:u w:val="single"/>
        </w:rPr>
        <w:t>Informácie o záväzkoch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záväzkov so zostatkovou dobou splatnosti dlhšou ako päť rokov:</w:t>
      </w:r>
    </w:p>
    <w:p w:rsidR="00601208" w:rsidRDefault="00601208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   Nie.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- celkovej sume zabezpečených záväzkov, opis a spôsoby zabezpečenia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3. </w:t>
      </w:r>
      <w:r>
        <w:rPr>
          <w:u w:val="single"/>
        </w:rPr>
        <w:t>Informácie o vlastných akciách</w:t>
      </w:r>
      <w:r>
        <w:t>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imaní:</w:t>
      </w:r>
      <w:r w:rsidR="007455D2">
        <w:t xml:space="preserve"> </w:t>
      </w:r>
    </w:p>
    <w:p w:rsidR="007455D2" w:rsidRDefault="007455D2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4. </w:t>
      </w:r>
      <w:r>
        <w:rPr>
          <w:u w:val="single"/>
        </w:rPr>
        <w:t>Informácie o orgánoch účtovnej jednotky</w:t>
      </w:r>
      <w:r>
        <w:t>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a) výške jednotlivých druhov záruk alebo iných zabezpečení poskytnutých pre členov štatutárneho orgánu,  dozorného  orgánu  a  iného  orgánu  účtovnej  jednotky,  a to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lastRenderedPageBreak/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c) hlavných podmienkach, na základe ktorých im boli záruky alebo iné zabezpečenie a pôžičky poskytnuté; pri pôžičkách sa uvádzajú úrokové sadzby: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5. </w:t>
      </w:r>
      <w:r>
        <w:rPr>
          <w:u w:val="single"/>
        </w:rPr>
        <w:t>Informácie o povinnostiach</w:t>
      </w:r>
      <w:r>
        <w:t xml:space="preserve"> účtovnej jednotky, a to: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b) celkovej sume významných </w:t>
      </w:r>
      <w:r>
        <w:rPr>
          <w:u w:val="single"/>
        </w:rPr>
        <w:t>podmienených záväzkov</w:t>
      </w:r>
      <w:r>
        <w:t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  <w:r w:rsidR="00601208">
        <w:t>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c) </w:t>
      </w:r>
      <w:r>
        <w:rPr>
          <w:u w:val="single"/>
        </w:rPr>
        <w:t>opise významných finančných povinností</w:t>
      </w:r>
      <w:r>
        <w:t xml:space="preserve"> a </w:t>
      </w:r>
      <w:r>
        <w:rPr>
          <w:u w:val="single"/>
        </w:rPr>
        <w:t>významných podmienených záväzkov: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>d) celkovej sume významných finančných povinností a významných podmienených záväzkoch voči dcérskej účtovnej jednotke a účtovnej jednotke s podstatným vplyvom:</w:t>
      </w:r>
      <w:r w:rsidR="00601208">
        <w:t>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e) </w:t>
      </w: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 dôchodkových programov</w:t>
      </w:r>
      <w:r>
        <w:t xml:space="preserve"> pre zamestnancov:</w:t>
      </w:r>
      <w:r w:rsidR="00601208">
        <w:t xml:space="preserve"> NEBOLI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p w:rsidR="008B49BD" w:rsidRDefault="000206E1">
      <w:pPr>
        <w:widowControl w:val="0"/>
        <w:tabs>
          <w:tab w:val="left" w:pos="668"/>
        </w:tabs>
        <w:spacing w:line="240" w:lineRule="auto"/>
        <w:ind w:left="101" w:right="116"/>
        <w:jc w:val="both"/>
      </w:pPr>
      <w:r>
        <w:t xml:space="preserve">6. Informácie o udelení výlučného práva alebo osobitného práva, ktorým sa udelilo právo poskytovať </w:t>
      </w:r>
      <w:r>
        <w:rPr>
          <w:b/>
          <w:u w:val="single"/>
        </w:rPr>
        <w:t>služby vo verejnom záujme</w:t>
      </w:r>
      <w: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1208">
        <w:t xml:space="preserve"> NIE</w:t>
      </w:r>
    </w:p>
    <w:p w:rsidR="008B49BD" w:rsidRDefault="008B49BD">
      <w:pPr>
        <w:widowControl w:val="0"/>
        <w:tabs>
          <w:tab w:val="left" w:pos="668"/>
        </w:tabs>
        <w:spacing w:line="240" w:lineRule="auto"/>
        <w:ind w:left="101" w:right="116"/>
        <w:jc w:val="both"/>
      </w:pPr>
    </w:p>
    <w:sectPr w:rsidR="008B49BD" w:rsidSect="00AA649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60"/>
      <w:pgMar w:top="1340" w:right="1300" w:bottom="800" w:left="1060" w:header="708" w:footer="7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6BE0" w:rsidRDefault="00236BE0">
      <w:pPr>
        <w:spacing w:line="240" w:lineRule="auto"/>
      </w:pPr>
      <w:r>
        <w:separator/>
      </w:r>
    </w:p>
  </w:endnote>
  <w:endnote w:type="continuationSeparator" w:id="1">
    <w:p w:rsidR="00236BE0" w:rsidRDefault="00236BE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341E" w:rsidRDefault="0035341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0206E1">
    <w:pPr>
      <w:widowControl w:val="0"/>
      <w:spacing w:after="620" w:line="240" w:lineRule="auto"/>
    </w:pPr>
    <ve:AlternateContent>
      <mc:Choice xmlns:wpc="http://schemas.microsoft.com/office/word/2010/wordprocessingCanvas" xmlns:mc="http://schemas.openxmlformats.org/markup-compatibility/2006" xmlns:wp14="http://schemas.microsoft.com/office/word/2010/wordprocessingDrawing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Requires="wpg">
        <w:drawing>
          <wp:inline distT="0" distB="0" distL="114300" distR="114300">
            <wp:extent cx="546100" cy="177800"/>
            <wp:effectExtent l="0" t="0" r="0" b="0"/>
            <wp:docPr id="1" name="Obdĺžnik 1"/>
            <wp:cNvGraphicFramePr/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5075489" y="3691100"/>
                      <a:ext cx="541020" cy="177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8B49BD" w:rsidRDefault="000206E1">
                        <w:pPr>
                          <w:spacing w:line="240" w:lineRule="auto"/>
                          <w:ind w:left="20" w:firstLine="20"/>
                          <w:textDirection w:val="btLr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</w:rPr>
                          <w:t>Strana  PAGE 1</w:t>
                        </w:r>
                      </w:p>
                      <w:p w:rsidR="008B49BD" w:rsidRDefault="008B49BD">
                        <w:pPr>
                          <w:spacing w:line="240" w:lineRule="auto"/>
                          <w:textDirection w:val="btLr"/>
                        </w:pPr>
                      </w:p>
                    </w:txbxContent>
                  </wps:txbx>
                  <wps:bodyPr lIns="91425" tIns="91425" rIns="91425" bIns="91425" anchor="ctr" anchorCtr="0"/>
                </wps:wsp>
              </a:graphicData>
            </a:graphic>
          </wp:inline>
        </w:drawing>
      </mc:Choice>
      <ve:Fallback>
        <w:r>
          <w:rPr>
            <w:noProof/>
          </w:rPr>
          <w:drawing>
            <wp:inline distT="0" distB="0" distL="114300" distR="114300">
              <wp:extent cx="546100" cy="177800"/>
              <wp:effectExtent l="0" t="0" r="0" b="0"/>
              <wp:docPr id="1" name="image0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0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46100" cy="17780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inline>
          </w:drawing>
        </w:r>
      </ve:Fallback>
    </ve:AlternateContent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341E" w:rsidRDefault="0035341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6BE0" w:rsidRDefault="00236BE0">
      <w:pPr>
        <w:spacing w:line="240" w:lineRule="auto"/>
      </w:pPr>
      <w:r>
        <w:separator/>
      </w:r>
    </w:p>
  </w:footnote>
  <w:footnote w:type="continuationSeparator" w:id="1">
    <w:p w:rsidR="00236BE0" w:rsidRDefault="00236BE0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341E" w:rsidRDefault="0035341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  <w:p w:rsidR="008B49BD" w:rsidRDefault="000206E1" w:rsidP="00473081">
    <w:pPr>
      <w:widowControl w:val="0"/>
      <w:tabs>
        <w:tab w:val="left" w:pos="2990"/>
        <w:tab w:val="left" w:pos="6348"/>
      </w:tabs>
      <w:spacing w:line="240" w:lineRule="auto"/>
      <w:ind w:left="-397"/>
    </w:pPr>
    <w:r>
      <w:t xml:space="preserve">Poznámky Úč MÚJ 3 – 01                           IČO: </w:t>
    </w:r>
    <w:r w:rsidR="0035341E">
      <w:t>51861925</w:t>
    </w:r>
    <w:r w:rsidR="00473081">
      <w:t xml:space="preserve">     </w:t>
    </w:r>
    <w:r>
      <w:t xml:space="preserve"> </w:t>
    </w:r>
    <w:r w:rsidR="00473081">
      <w:t xml:space="preserve"> </w:t>
    </w:r>
    <w:r>
      <w:t xml:space="preserve"> DIČ:</w:t>
    </w:r>
    <w:r w:rsidR="0035341E">
      <w:t>2120811242</w:t>
    </w:r>
  </w:p>
  <w:p w:rsidR="008B49BD" w:rsidRDefault="008B49BD">
    <w:pPr>
      <w:widowControl w:val="0"/>
      <w:spacing w:line="240" w:lineRule="auto"/>
    </w:pPr>
  </w:p>
  <w:p w:rsidR="008B49BD" w:rsidRDefault="008B49BD">
    <w:pPr>
      <w:widowControl w:val="0"/>
      <w:spacing w:line="240" w:lineRule="aut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341E" w:rsidRDefault="0035341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B49BD"/>
    <w:rsid w:val="000206E1"/>
    <w:rsid w:val="00024CD6"/>
    <w:rsid w:val="00035CBE"/>
    <w:rsid w:val="00121345"/>
    <w:rsid w:val="00133E62"/>
    <w:rsid w:val="00157DF3"/>
    <w:rsid w:val="001A1718"/>
    <w:rsid w:val="001A7E6F"/>
    <w:rsid w:val="001B68ED"/>
    <w:rsid w:val="00236BE0"/>
    <w:rsid w:val="00284CE6"/>
    <w:rsid w:val="002A5687"/>
    <w:rsid w:val="002F568B"/>
    <w:rsid w:val="0035341E"/>
    <w:rsid w:val="003C7E00"/>
    <w:rsid w:val="004105F1"/>
    <w:rsid w:val="00473081"/>
    <w:rsid w:val="004C23B2"/>
    <w:rsid w:val="005F3EAC"/>
    <w:rsid w:val="00601208"/>
    <w:rsid w:val="00696159"/>
    <w:rsid w:val="006C4F5C"/>
    <w:rsid w:val="006C713B"/>
    <w:rsid w:val="006F7F4F"/>
    <w:rsid w:val="007455D2"/>
    <w:rsid w:val="00754D5E"/>
    <w:rsid w:val="00860773"/>
    <w:rsid w:val="00860989"/>
    <w:rsid w:val="008B49BD"/>
    <w:rsid w:val="00A97F91"/>
    <w:rsid w:val="00AA6494"/>
    <w:rsid w:val="00AB33ED"/>
    <w:rsid w:val="00B713E4"/>
    <w:rsid w:val="00B9235D"/>
    <w:rsid w:val="00C95D7B"/>
    <w:rsid w:val="00D00199"/>
    <w:rsid w:val="00D21D75"/>
    <w:rsid w:val="00D91CE9"/>
    <w:rsid w:val="00DB3A38"/>
    <w:rsid w:val="00DD79C1"/>
    <w:rsid w:val="00E3067C"/>
    <w:rsid w:val="00E42230"/>
    <w:rsid w:val="00ED7DA1"/>
    <w:rsid w:val="00F82205"/>
    <w:rsid w:val="00FA4C5C"/>
    <w:rsid w:val="00FF66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AA6494"/>
  </w:style>
  <w:style w:type="paragraph" w:styleId="Nadpis1">
    <w:name w:val="heading 1"/>
    <w:basedOn w:val="Normlny"/>
    <w:next w:val="Normlny"/>
    <w:rsid w:val="00AA6494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rsid w:val="00AA6494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rsid w:val="00AA6494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rsid w:val="00AA6494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rsid w:val="00AA6494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rsid w:val="00AA6494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rsid w:val="00AA649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rsid w:val="00AA6494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rsid w:val="00AA6494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rsid w:val="00AA6494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7308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308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73081"/>
  </w:style>
  <w:style w:type="paragraph" w:styleId="Pta">
    <w:name w:val="footer"/>
    <w:basedOn w:val="Normlny"/>
    <w:link w:val="PtaChar"/>
    <w:uiPriority w:val="99"/>
    <w:semiHidden/>
    <w:unhideWhenUsed/>
    <w:rsid w:val="00473081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730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microsoft.com/office/2007/relationships/stylesWithEffects" Target="stylesWithEffects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1001</Words>
  <Characters>5712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uzivatel</cp:lastModifiedBy>
  <cp:revision>2</cp:revision>
  <cp:lastPrinted>2018-06-23T18:49:00Z</cp:lastPrinted>
  <dcterms:created xsi:type="dcterms:W3CDTF">2020-02-28T08:59:00Z</dcterms:created>
  <dcterms:modified xsi:type="dcterms:W3CDTF">2020-02-28T08:59:00Z</dcterms:modified>
</cp:coreProperties>
</file>