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9072" w:type="dxa"/>
        <w:jc w:val="left"/>
        <w:tblInd w:w="41" w:type="dxa"/>
        <w:tblCellMar>
          <w:top w:w="55" w:type="dxa"/>
          <w:left w:w="36" w:type="dxa"/>
          <w:bottom w:w="55" w:type="dxa"/>
          <w:right w:w="55" w:type="dxa"/>
        </w:tblCellMar>
        <w:tblLook w:firstRow="1" w:noVBand="1" w:lastRow="0" w:firstColumn="1" w:lastColumn="0" w:noHBand="0" w:val="04a0"/>
      </w:tblPr>
      <w:tblGrid>
        <w:gridCol w:w="9072"/>
      </w:tblGrid>
      <w:tr>
        <w:trPr/>
        <w:tc>
          <w:tcPr>
            <w:tcW w:w="90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color="auto" w:fill="auto" w:val="clear"/>
          </w:tcPr>
          <w:p>
            <w:pPr>
              <w:pStyle w:val="NoSpacing"/>
              <w:rPr/>
            </w:pPr>
            <w:r>
              <w:rPr>
                <w:b/>
              </w:rPr>
              <w:t>Poznámky Úč  MÚJ 3 – 1                 IČO      4 5 3 9 4 8 1 4          DIČ   2 0 2 2 9 7 9 8 4 9</w:t>
            </w:r>
          </w:p>
        </w:tc>
      </w:tr>
    </w:tbl>
    <w:p>
      <w:pPr>
        <w:pStyle w:val="NoSpacing"/>
        <w:rPr>
          <w:b/>
          <w:b/>
        </w:rPr>
      </w:pPr>
      <w:r>
        <w:rPr>
          <w:b/>
        </w:rPr>
        <w:t xml:space="preserve">                                                                    </w:t>
      </w:r>
    </w:p>
    <w:p>
      <w:pPr>
        <w:pStyle w:val="Normal"/>
        <w:rPr>
          <w:b/>
          <w:b/>
        </w:rPr>
      </w:pPr>
      <w:r>
        <w:rPr>
          <w:b/>
        </w:rPr>
        <w:t xml:space="preserve">      </w:t>
      </w:r>
    </w:p>
    <w:p>
      <w:pPr>
        <w:pStyle w:val="Normal"/>
        <w:rPr/>
      </w:pPr>
      <w:r>
        <w:rPr>
          <w:b/>
        </w:rPr>
        <w:t xml:space="preserve">        </w:t>
      </w:r>
      <w:r>
        <w:rPr>
          <w:b/>
          <w:sz w:val="26"/>
          <w:szCs w:val="26"/>
        </w:rPr>
        <w:t>Poznámky individuálnej účtovnej závierky za obdobie 1/201</w:t>
      </w:r>
      <w:r>
        <w:rPr>
          <w:b/>
          <w:sz w:val="26"/>
          <w:szCs w:val="26"/>
        </w:rPr>
        <w:t>9</w:t>
      </w:r>
      <w:r>
        <w:rPr>
          <w:b/>
          <w:sz w:val="26"/>
          <w:szCs w:val="26"/>
        </w:rPr>
        <w:t xml:space="preserve"> – 12/201</w:t>
      </w:r>
      <w:r>
        <w:rPr>
          <w:b/>
          <w:sz w:val="26"/>
          <w:szCs w:val="26"/>
        </w:rPr>
        <w:t>9</w:t>
      </w:r>
    </w:p>
    <w:p>
      <w:pPr>
        <w:pStyle w:val="NoSpacing"/>
        <w:rPr>
          <w:b/>
          <w:b/>
        </w:rPr>
      </w:pPr>
      <w:r>
        <w:rPr>
          <w:b/>
        </w:rPr>
      </w:r>
    </w:p>
    <w:p>
      <w:pPr>
        <w:pStyle w:val="NoSpacing"/>
        <w:rPr>
          <w:b/>
          <w:b/>
        </w:rPr>
      </w:pPr>
      <w:r>
        <w:rPr>
          <w:b/>
        </w:rPr>
        <w:t xml:space="preserve">                                                                            </w:t>
      </w:r>
      <w:r>
        <w:rPr>
          <w:b/>
        </w:rPr>
        <w:t>Čl. I.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>
        <w:rPr>
          <w:b/>
          <w:sz w:val="24"/>
          <w:szCs w:val="24"/>
        </w:rPr>
        <w:t>Všeobecné  údaje</w:t>
      </w:r>
    </w:p>
    <w:p>
      <w:pPr>
        <w:pStyle w:val="Normal"/>
        <w:spacing w:lineRule="auto" w:line="240" w:before="0" w:after="0"/>
        <w:rPr/>
      </w:pPr>
      <w:r>
        <w:rPr>
          <w:sz w:val="24"/>
          <w:szCs w:val="24"/>
        </w:rPr>
        <w:t>1/ Názov a sídlo</w:t>
      </w:r>
      <w:r>
        <w:rPr>
          <w:b/>
          <w:sz w:val="24"/>
          <w:szCs w:val="24"/>
        </w:rPr>
        <w:t xml:space="preserve">:   ARP services, s.r.o.  Hlaváčikova ul. 12, Bratislava       </w:t>
      </w:r>
    </w:p>
    <w:p>
      <w:pPr>
        <w:pStyle w:val="Normal"/>
        <w:spacing w:lineRule="auto" w:line="240"/>
        <w:rPr/>
      </w:pPr>
      <w:r>
        <w:rPr>
          <w:b/>
          <w:sz w:val="24"/>
          <w:szCs w:val="24"/>
        </w:rPr>
        <w:t xml:space="preserve">                               </w:t>
      </w:r>
      <w:r>
        <w:rPr>
          <w:b/>
          <w:sz w:val="20"/>
          <w:szCs w:val="20"/>
        </w:rPr>
        <w:t xml:space="preserve"> </w:t>
      </w:r>
      <w:r>
        <w:rPr>
          <w:sz w:val="20"/>
          <w:szCs w:val="20"/>
        </w:rPr>
        <w:t>Obch.register Okresného súdu Bratislava I., oddiel Sro, vložka 63162/B</w:t>
      </w:r>
      <w:r>
        <w:rPr>
          <w:b/>
          <w:sz w:val="24"/>
          <w:szCs w:val="24"/>
        </w:rPr>
        <w:t xml:space="preserve">                                                                             </w:t>
      </w:r>
      <w:r>
        <w:rPr/>
        <w:t xml:space="preserve"> </w:t>
      </w:r>
    </w:p>
    <w:p>
      <w:pPr>
        <w:pStyle w:val="NoSpacing"/>
        <w:rPr/>
      </w:pPr>
      <w:r>
        <w:rPr/>
        <w:t xml:space="preserve">     </w:t>
      </w:r>
      <w:r>
        <w:rPr/>
        <w:t xml:space="preserve">Predmet  činnosti: </w:t>
      </w:r>
    </w:p>
    <w:p>
      <w:pPr>
        <w:pStyle w:val="NoSpacing"/>
        <w:rPr/>
      </w:pPr>
      <w:r>
        <w:rPr/>
      </w:r>
    </w:p>
    <w:tbl>
      <w:tblPr>
        <w:tblW w:w="4950" w:type="pct"/>
        <w:jc w:val="left"/>
        <w:tblInd w:w="0" w:type="dxa"/>
        <w:tblCellMar>
          <w:top w:w="15" w:type="dxa"/>
          <w:left w:w="15" w:type="dxa"/>
          <w:bottom w:w="15" w:type="dxa"/>
          <w:right w:w="15" w:type="dxa"/>
        </w:tblCellMar>
        <w:tblLook w:firstRow="1" w:noVBand="1" w:lastRow="0" w:firstColumn="1" w:lastColumn="0" w:noHBand="0" w:val="04a0"/>
      </w:tblPr>
      <w:tblGrid>
        <w:gridCol w:w="8839"/>
      </w:tblGrid>
      <w:tr>
        <w:trPr/>
        <w:tc>
          <w:tcPr>
            <w:tcW w:w="8839" w:type="dxa"/>
            <w:tcBorders/>
            <w:shd w:color="auto" w:fill="FFFFFF" w:val="clear"/>
            <w:vAlign w:val="center"/>
          </w:tcPr>
          <w:p>
            <w:pPr>
              <w:pStyle w:val="Normal"/>
              <w:suppressAutoHyphens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A"/>
                <w:sz w:val="24"/>
                <w:szCs w:val="24"/>
              </w:rPr>
            </w:pPr>
            <w:r>
              <w:rPr>
                <w:rFonts w:eastAsia="Times New Roman" w:cs="Arial CE" w:ascii="Arial CE" w:hAnsi="Arial CE"/>
                <w:bCs/>
                <w:color w:val="000000"/>
                <w:sz w:val="20"/>
                <w:szCs w:val="20"/>
              </w:rPr>
              <w:t>kúpa tovaru na účely jeho predaja konečnému spotrebiteľovi (maloobchod) alebo iným prevádzkovateľom živnosti (veľkoobchod) </w:t>
            </w:r>
          </w:p>
        </w:tc>
      </w:tr>
    </w:tbl>
    <w:p>
      <w:pPr>
        <w:pStyle w:val="Normal"/>
        <w:suppressAutoHyphens w:val="false"/>
        <w:spacing w:lineRule="auto" w:line="240" w:before="0" w:after="0"/>
        <w:rPr>
          <w:rFonts w:ascii="Times New Roman" w:hAnsi="Times New Roman" w:eastAsia="Times New Roman" w:cs="Times New Roman"/>
          <w:vanish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color w:val="00000A"/>
          <w:sz w:val="24"/>
          <w:szCs w:val="24"/>
        </w:rPr>
      </w:r>
    </w:p>
    <w:tbl>
      <w:tblPr>
        <w:tblW w:w="4950" w:type="pct"/>
        <w:jc w:val="left"/>
        <w:tblInd w:w="0" w:type="dxa"/>
        <w:tblCellMar>
          <w:top w:w="15" w:type="dxa"/>
          <w:left w:w="15" w:type="dxa"/>
          <w:bottom w:w="15" w:type="dxa"/>
          <w:right w:w="15" w:type="dxa"/>
        </w:tblCellMar>
        <w:tblLook w:firstRow="1" w:noVBand="1" w:lastRow="0" w:firstColumn="1" w:lastColumn="0" w:noHBand="0" w:val="04a0"/>
      </w:tblPr>
      <w:tblGrid>
        <w:gridCol w:w="8839"/>
      </w:tblGrid>
      <w:tr>
        <w:trPr/>
        <w:tc>
          <w:tcPr>
            <w:tcW w:w="8839" w:type="dxa"/>
            <w:tcBorders/>
            <w:shd w:color="auto" w:fill="FFFFFF" w:val="clear"/>
            <w:vAlign w:val="center"/>
          </w:tcPr>
          <w:p>
            <w:pPr>
              <w:pStyle w:val="Normal"/>
              <w:suppressAutoHyphens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A"/>
                <w:sz w:val="24"/>
                <w:szCs w:val="24"/>
              </w:rPr>
            </w:pPr>
            <w:r>
              <w:rPr>
                <w:rFonts w:eastAsia="Times New Roman" w:cs="Arial CE" w:ascii="Arial CE" w:hAnsi="Arial CE"/>
                <w:bCs/>
                <w:color w:val="000000"/>
                <w:sz w:val="20"/>
                <w:szCs w:val="20"/>
              </w:rPr>
              <w:t>sprostredkovateľská činnosť v oblasti služieb </w:t>
            </w:r>
          </w:p>
        </w:tc>
      </w:tr>
    </w:tbl>
    <w:p>
      <w:pPr>
        <w:pStyle w:val="Normal"/>
        <w:suppressAutoHyphens w:val="false"/>
        <w:spacing w:lineRule="auto" w:line="240" w:before="0" w:after="0"/>
        <w:rPr>
          <w:rFonts w:ascii="Times New Roman" w:hAnsi="Times New Roman" w:eastAsia="Times New Roman" w:cs="Times New Roman"/>
          <w:vanish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color w:val="00000A"/>
          <w:sz w:val="24"/>
          <w:szCs w:val="24"/>
        </w:rPr>
      </w:r>
    </w:p>
    <w:tbl>
      <w:tblPr>
        <w:tblW w:w="4950" w:type="pct"/>
        <w:jc w:val="left"/>
        <w:tblInd w:w="0" w:type="dxa"/>
        <w:tblCellMar>
          <w:top w:w="15" w:type="dxa"/>
          <w:left w:w="15" w:type="dxa"/>
          <w:bottom w:w="15" w:type="dxa"/>
          <w:right w:w="15" w:type="dxa"/>
        </w:tblCellMar>
        <w:tblLook w:firstRow="1" w:noVBand="1" w:lastRow="0" w:firstColumn="1" w:lastColumn="0" w:noHBand="0" w:val="04a0"/>
      </w:tblPr>
      <w:tblGrid>
        <w:gridCol w:w="8839"/>
      </w:tblGrid>
      <w:tr>
        <w:trPr/>
        <w:tc>
          <w:tcPr>
            <w:tcW w:w="8839" w:type="dxa"/>
            <w:tcBorders/>
            <w:shd w:color="auto" w:fill="FFFFFF" w:val="clear"/>
            <w:vAlign w:val="center"/>
          </w:tcPr>
          <w:p>
            <w:pPr>
              <w:pStyle w:val="Normal"/>
              <w:suppressAutoHyphens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A"/>
                <w:sz w:val="24"/>
                <w:szCs w:val="24"/>
              </w:rPr>
            </w:pPr>
            <w:r>
              <w:rPr>
                <w:rFonts w:eastAsia="Times New Roman" w:cs="Arial CE" w:ascii="Arial CE" w:hAnsi="Arial CE"/>
                <w:bCs/>
                <w:color w:val="000000"/>
                <w:sz w:val="20"/>
                <w:szCs w:val="20"/>
              </w:rPr>
              <w:t>sprostredkovateľská činnosť v oblasti obchodu </w:t>
            </w:r>
          </w:p>
        </w:tc>
      </w:tr>
    </w:tbl>
    <w:p>
      <w:pPr>
        <w:pStyle w:val="Normal"/>
        <w:suppressAutoHyphens w:val="false"/>
        <w:spacing w:lineRule="auto" w:line="240" w:before="0" w:after="0"/>
        <w:rPr>
          <w:rFonts w:ascii="Times New Roman" w:hAnsi="Times New Roman" w:eastAsia="Times New Roman" w:cs="Times New Roman"/>
          <w:vanish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color w:val="00000A"/>
          <w:sz w:val="24"/>
          <w:szCs w:val="24"/>
        </w:rPr>
      </w:r>
    </w:p>
    <w:tbl>
      <w:tblPr>
        <w:tblW w:w="4950" w:type="pct"/>
        <w:jc w:val="left"/>
        <w:tblInd w:w="0" w:type="dxa"/>
        <w:tblCellMar>
          <w:top w:w="15" w:type="dxa"/>
          <w:left w:w="15" w:type="dxa"/>
          <w:bottom w:w="15" w:type="dxa"/>
          <w:right w:w="15" w:type="dxa"/>
        </w:tblCellMar>
        <w:tblLook w:firstRow="1" w:noVBand="1" w:lastRow="0" w:firstColumn="1" w:lastColumn="0" w:noHBand="0" w:val="04a0"/>
      </w:tblPr>
      <w:tblGrid>
        <w:gridCol w:w="8839"/>
      </w:tblGrid>
      <w:tr>
        <w:trPr/>
        <w:tc>
          <w:tcPr>
            <w:tcW w:w="8839" w:type="dxa"/>
            <w:tcBorders/>
            <w:shd w:color="auto" w:fill="FFFFFF" w:val="clear"/>
            <w:vAlign w:val="center"/>
          </w:tcPr>
          <w:p>
            <w:pPr>
              <w:pStyle w:val="Normal"/>
              <w:suppressAutoHyphens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A"/>
                <w:sz w:val="24"/>
                <w:szCs w:val="24"/>
              </w:rPr>
            </w:pPr>
            <w:r>
              <w:rPr>
                <w:rFonts w:eastAsia="Times New Roman" w:cs="Arial CE" w:ascii="Arial CE" w:hAnsi="Arial CE"/>
                <w:bCs/>
                <w:color w:val="000000"/>
                <w:sz w:val="20"/>
                <w:szCs w:val="20"/>
              </w:rPr>
              <w:t>činnosť podnikateľských, organizačných a ekonomických poradcov </w:t>
            </w:r>
          </w:p>
        </w:tc>
      </w:tr>
    </w:tbl>
    <w:p>
      <w:pPr>
        <w:pStyle w:val="Normal"/>
        <w:suppressAutoHyphens w:val="false"/>
        <w:spacing w:lineRule="auto" w:line="240" w:before="0" w:after="0"/>
        <w:rPr>
          <w:rFonts w:ascii="Times New Roman" w:hAnsi="Times New Roman" w:eastAsia="Times New Roman" w:cs="Times New Roman"/>
          <w:vanish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color w:val="00000A"/>
          <w:sz w:val="24"/>
          <w:szCs w:val="24"/>
        </w:rPr>
      </w:r>
    </w:p>
    <w:tbl>
      <w:tblPr>
        <w:tblW w:w="4950" w:type="pct"/>
        <w:jc w:val="left"/>
        <w:tblInd w:w="0" w:type="dxa"/>
        <w:tblCellMar>
          <w:top w:w="15" w:type="dxa"/>
          <w:left w:w="15" w:type="dxa"/>
          <w:bottom w:w="15" w:type="dxa"/>
          <w:right w:w="15" w:type="dxa"/>
        </w:tblCellMar>
        <w:tblLook w:firstRow="1" w:noVBand="1" w:lastRow="0" w:firstColumn="1" w:lastColumn="0" w:noHBand="0" w:val="04a0"/>
      </w:tblPr>
      <w:tblGrid>
        <w:gridCol w:w="8839"/>
      </w:tblGrid>
      <w:tr>
        <w:trPr/>
        <w:tc>
          <w:tcPr>
            <w:tcW w:w="8839" w:type="dxa"/>
            <w:tcBorders/>
            <w:shd w:color="auto" w:fill="FFFFFF" w:val="clear"/>
            <w:vAlign w:val="center"/>
          </w:tcPr>
          <w:p>
            <w:pPr>
              <w:pStyle w:val="Normal"/>
              <w:suppressAutoHyphens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A"/>
                <w:sz w:val="24"/>
                <w:szCs w:val="24"/>
              </w:rPr>
            </w:pPr>
            <w:r>
              <w:rPr>
                <w:rFonts w:eastAsia="Times New Roman" w:cs="Arial CE" w:ascii="Arial CE" w:hAnsi="Arial CE"/>
                <w:bCs/>
                <w:color w:val="000000"/>
                <w:sz w:val="20"/>
                <w:szCs w:val="20"/>
              </w:rPr>
              <w:t>reklamná a propagačná činnosť </w:t>
            </w:r>
          </w:p>
        </w:tc>
      </w:tr>
    </w:tbl>
    <w:p>
      <w:pPr>
        <w:pStyle w:val="Normal"/>
        <w:suppressAutoHyphens w:val="false"/>
        <w:spacing w:lineRule="auto" w:line="240" w:before="0" w:after="0"/>
        <w:rPr>
          <w:rFonts w:ascii="Times New Roman" w:hAnsi="Times New Roman" w:eastAsia="Times New Roman" w:cs="Times New Roman"/>
          <w:vanish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color w:val="00000A"/>
          <w:sz w:val="24"/>
          <w:szCs w:val="24"/>
        </w:rPr>
      </w:r>
    </w:p>
    <w:tbl>
      <w:tblPr>
        <w:tblW w:w="4950" w:type="pct"/>
        <w:jc w:val="left"/>
        <w:tblInd w:w="0" w:type="dxa"/>
        <w:tblCellMar>
          <w:top w:w="15" w:type="dxa"/>
          <w:left w:w="15" w:type="dxa"/>
          <w:bottom w:w="15" w:type="dxa"/>
          <w:right w:w="15" w:type="dxa"/>
        </w:tblCellMar>
        <w:tblLook w:firstRow="1" w:noVBand="1" w:lastRow="0" w:firstColumn="1" w:lastColumn="0" w:noHBand="0" w:val="04a0"/>
      </w:tblPr>
      <w:tblGrid>
        <w:gridCol w:w="8839"/>
      </w:tblGrid>
      <w:tr>
        <w:trPr/>
        <w:tc>
          <w:tcPr>
            <w:tcW w:w="8839" w:type="dxa"/>
            <w:tcBorders/>
            <w:shd w:color="auto" w:fill="FFFFFF" w:val="clear"/>
            <w:vAlign w:val="center"/>
          </w:tcPr>
          <w:p>
            <w:pPr>
              <w:pStyle w:val="Normal"/>
              <w:suppressAutoHyphens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A"/>
                <w:sz w:val="24"/>
                <w:szCs w:val="24"/>
              </w:rPr>
            </w:pPr>
            <w:r>
              <w:rPr>
                <w:rFonts w:eastAsia="Times New Roman" w:cs="Arial CE" w:ascii="Arial CE" w:hAnsi="Arial CE"/>
                <w:bCs/>
                <w:color w:val="000000"/>
                <w:sz w:val="20"/>
                <w:szCs w:val="20"/>
              </w:rPr>
              <w:t>poradenská činnosť v oblasti obchodu a služieb v rozsahu voľnej živnosti </w:t>
            </w:r>
          </w:p>
        </w:tc>
      </w:tr>
    </w:tbl>
    <w:p>
      <w:pPr>
        <w:pStyle w:val="Normal"/>
        <w:suppressAutoHyphens w:val="false"/>
        <w:spacing w:lineRule="auto" w:line="240" w:before="0" w:after="0"/>
        <w:rPr>
          <w:rFonts w:ascii="Times New Roman" w:hAnsi="Times New Roman" w:eastAsia="Times New Roman" w:cs="Times New Roman"/>
          <w:vanish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color w:val="00000A"/>
          <w:sz w:val="24"/>
          <w:szCs w:val="24"/>
        </w:rPr>
      </w:r>
    </w:p>
    <w:tbl>
      <w:tblPr>
        <w:tblW w:w="4950" w:type="pct"/>
        <w:jc w:val="left"/>
        <w:tblInd w:w="0" w:type="dxa"/>
        <w:tblCellMar>
          <w:top w:w="15" w:type="dxa"/>
          <w:left w:w="15" w:type="dxa"/>
          <w:bottom w:w="15" w:type="dxa"/>
          <w:right w:w="15" w:type="dxa"/>
        </w:tblCellMar>
        <w:tblLook w:firstRow="1" w:noVBand="1" w:lastRow="0" w:firstColumn="1" w:lastColumn="0" w:noHBand="0" w:val="04a0"/>
      </w:tblPr>
      <w:tblGrid>
        <w:gridCol w:w="8839"/>
      </w:tblGrid>
      <w:tr>
        <w:trPr/>
        <w:tc>
          <w:tcPr>
            <w:tcW w:w="8839" w:type="dxa"/>
            <w:tcBorders/>
            <w:shd w:color="auto" w:fill="FFFFFF" w:val="clear"/>
            <w:vAlign w:val="center"/>
          </w:tcPr>
          <w:p>
            <w:pPr>
              <w:pStyle w:val="Normal"/>
              <w:suppressAutoHyphens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A"/>
                <w:sz w:val="24"/>
                <w:szCs w:val="24"/>
              </w:rPr>
            </w:pPr>
            <w:r>
              <w:rPr>
                <w:rFonts w:eastAsia="Times New Roman" w:cs="Arial CE" w:ascii="Arial CE" w:hAnsi="Arial CE"/>
                <w:bCs/>
                <w:color w:val="000000"/>
                <w:sz w:val="20"/>
                <w:szCs w:val="20"/>
              </w:rPr>
              <w:t>poskytovanie software - predaj hotových programov na základe zmluvy s autorom</w:t>
            </w:r>
          </w:p>
        </w:tc>
      </w:tr>
    </w:tbl>
    <w:p>
      <w:pPr>
        <w:pStyle w:val="Normal"/>
        <w:suppressAutoHyphens w:val="false"/>
        <w:spacing w:lineRule="auto" w:line="240" w:before="0" w:after="0"/>
        <w:rPr>
          <w:rFonts w:ascii="Times New Roman" w:hAnsi="Times New Roman" w:eastAsia="Times New Roman" w:cs="Times New Roman"/>
          <w:vanish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color w:val="00000A"/>
          <w:sz w:val="24"/>
          <w:szCs w:val="24"/>
        </w:rPr>
      </w:r>
    </w:p>
    <w:tbl>
      <w:tblPr>
        <w:tblW w:w="4950" w:type="pct"/>
        <w:jc w:val="left"/>
        <w:tblInd w:w="0" w:type="dxa"/>
        <w:tblCellMar>
          <w:top w:w="15" w:type="dxa"/>
          <w:left w:w="15" w:type="dxa"/>
          <w:bottom w:w="15" w:type="dxa"/>
          <w:right w:w="15" w:type="dxa"/>
        </w:tblCellMar>
        <w:tblLook w:firstRow="1" w:noVBand="1" w:lastRow="0" w:firstColumn="1" w:lastColumn="0" w:noHBand="0" w:val="04a0"/>
      </w:tblPr>
      <w:tblGrid>
        <w:gridCol w:w="8839"/>
      </w:tblGrid>
      <w:tr>
        <w:trPr/>
        <w:tc>
          <w:tcPr>
            <w:tcW w:w="8839" w:type="dxa"/>
            <w:tcBorders/>
            <w:shd w:color="auto" w:fill="FFFFFF" w:val="clear"/>
            <w:vAlign w:val="center"/>
          </w:tcPr>
          <w:p>
            <w:pPr>
              <w:pStyle w:val="Normal"/>
              <w:suppressAutoHyphens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A"/>
                <w:sz w:val="24"/>
                <w:szCs w:val="24"/>
              </w:rPr>
            </w:pPr>
            <w:r>
              <w:rPr>
                <w:rFonts w:eastAsia="Times New Roman" w:cs="Arial CE" w:ascii="Arial CE" w:hAnsi="Arial CE"/>
                <w:bCs/>
                <w:color w:val="000000"/>
                <w:sz w:val="20"/>
                <w:szCs w:val="20"/>
              </w:rPr>
              <w:t>uskutočňovanie stavieb a ich zmien </w:t>
            </w:r>
          </w:p>
        </w:tc>
      </w:tr>
    </w:tbl>
    <w:p>
      <w:pPr>
        <w:pStyle w:val="Normal"/>
        <w:suppressAutoHyphens w:val="false"/>
        <w:spacing w:lineRule="auto" w:line="240" w:before="0" w:after="0"/>
        <w:rPr>
          <w:rFonts w:ascii="Times New Roman" w:hAnsi="Times New Roman" w:eastAsia="Times New Roman" w:cs="Times New Roman"/>
          <w:vanish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color w:val="00000A"/>
          <w:sz w:val="24"/>
          <w:szCs w:val="24"/>
        </w:rPr>
      </w:r>
    </w:p>
    <w:tbl>
      <w:tblPr>
        <w:tblW w:w="5000" w:type="pct"/>
        <w:jc w:val="left"/>
        <w:tblInd w:w="0" w:type="dxa"/>
        <w:tblCellMar>
          <w:top w:w="15" w:type="dxa"/>
          <w:left w:w="15" w:type="dxa"/>
          <w:bottom w:w="15" w:type="dxa"/>
          <w:right w:w="15" w:type="dxa"/>
        </w:tblCellMar>
        <w:tblLook w:firstRow="1" w:noVBand="1" w:lastRow="0" w:firstColumn="1" w:lastColumn="0" w:noHBand="0" w:val="04a0"/>
      </w:tblPr>
      <w:tblGrid>
        <w:gridCol w:w="8929"/>
      </w:tblGrid>
      <w:tr>
        <w:trPr/>
        <w:tc>
          <w:tcPr>
            <w:tcW w:w="8929" w:type="dxa"/>
            <w:tcBorders/>
            <w:shd w:color="auto" w:fill="FFFFFF" w:val="clear"/>
            <w:vAlign w:val="center"/>
          </w:tcPr>
          <w:p>
            <w:pPr>
              <w:pStyle w:val="Normal"/>
              <w:suppressAutoHyphens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A"/>
                <w:sz w:val="24"/>
                <w:szCs w:val="24"/>
              </w:rPr>
            </w:pPr>
            <w:r>
              <w:rPr>
                <w:rFonts w:eastAsia="Times New Roman" w:cs="Arial CE" w:ascii="Arial CE" w:hAnsi="Arial CE"/>
                <w:bCs/>
                <w:color w:val="000000"/>
                <w:sz w:val="20"/>
                <w:szCs w:val="20"/>
              </w:rPr>
              <w:t>poskytovanie služieb rýchleho občerstvenia v spojení s predajom na priamu konzumáciu </w:t>
            </w:r>
          </w:p>
        </w:tc>
      </w:tr>
    </w:tbl>
    <w:p>
      <w:pPr>
        <w:pStyle w:val="NoSpacing"/>
        <w:rPr/>
      </w:pPr>
      <w:r>
        <w:rPr/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2/ Údaje o konsolidovanom celku</w:t>
      </w:r>
    </w:p>
    <w:p>
      <w:pPr>
        <w:pStyle w:val="NoSpacing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spoločnosť nie je súčasťou konsolidovaného celku,</w:t>
      </w:r>
    </w:p>
    <w:p>
      <w:pPr>
        <w:pStyle w:val="NoSpacing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spoločnosť nemá povinnosť vykonať konsolidovanú účtovnú závierku podľa § 22</w:t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rPr/>
      </w:pPr>
      <w:r>
        <w:rPr>
          <w:sz w:val="24"/>
          <w:szCs w:val="24"/>
        </w:rPr>
        <w:t xml:space="preserve">3/ Priemerný prepočítaný počet zamestnancov  počas účtovného obdobia:         </w:t>
      </w:r>
      <w:r>
        <w:rPr>
          <w:sz w:val="24"/>
          <w:szCs w:val="24"/>
        </w:rPr>
        <w:t>1</w:t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>
        <w:rPr>
          <w:sz w:val="24"/>
          <w:szCs w:val="24"/>
        </w:rPr>
        <w:t xml:space="preserve">a riadiaci pracovník – spoločník, konateľ- bez mzdy:                                              1 </w:t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rPr/>
      </w:pPr>
      <w:r>
        <w:rPr>
          <w:sz w:val="24"/>
          <w:szCs w:val="24"/>
        </w:rPr>
        <w:t>4/ Štatutárny orgán spoločnosti má v roku 201</w:t>
      </w:r>
      <w:r>
        <w:rPr>
          <w:sz w:val="24"/>
          <w:szCs w:val="24"/>
        </w:rPr>
        <w:t>9</w:t>
      </w:r>
      <w:r>
        <w:rPr>
          <w:sz w:val="24"/>
          <w:szCs w:val="24"/>
        </w:rPr>
        <w:t xml:space="preserve">  dvoch konateľov, ktorí konajú </w:t>
      </w:r>
    </w:p>
    <w:p>
      <w:pPr>
        <w:pStyle w:val="NoSpacing"/>
        <w:rPr/>
      </w:pPr>
      <w:r>
        <w:rPr>
          <w:sz w:val="24"/>
          <w:szCs w:val="24"/>
        </w:rPr>
        <w:t xml:space="preserve">     </w:t>
      </w:r>
      <w:r>
        <w:rPr>
          <w:sz w:val="24"/>
          <w:szCs w:val="24"/>
        </w:rPr>
        <w:t xml:space="preserve">samostatne. </w:t>
      </w:r>
    </w:p>
    <w:p>
      <w:pPr>
        <w:pStyle w:val="NoSpacing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Mgr. Roman Szarka, Hlaváčiková 12, 841 05 Bratislava  -   vznik funkcie   17. 5.2010</w:t>
      </w:r>
    </w:p>
    <w:p>
      <w:pPr>
        <w:pStyle w:val="NoSpacing"/>
        <w:numPr>
          <w:ilvl w:val="0"/>
          <w:numId w:val="1"/>
        </w:numPr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>Michal Gajdošík, Andrusovová 910/3, 851 01 Bratislava-   vznik funkcie     7.11.2017</w:t>
      </w:r>
    </w:p>
    <w:p>
      <w:pPr>
        <w:pStyle w:val="NoSpacing"/>
        <w:rPr>
          <w:sz w:val="24"/>
          <w:szCs w:val="24"/>
        </w:rPr>
      </w:pPr>
      <w:r>
        <w:rPr>
          <w:b/>
          <w:sz w:val="24"/>
          <w:szCs w:val="24"/>
        </w:rPr>
        <w:t xml:space="preserve">  </w:t>
      </w:r>
    </w:p>
    <w:p>
      <w:pPr>
        <w:pStyle w:val="NoSpacing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Spacing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</w:t>
      </w:r>
      <w:r>
        <w:rPr>
          <w:b/>
          <w:sz w:val="24"/>
          <w:szCs w:val="24"/>
        </w:rPr>
        <w:t xml:space="preserve">Čl. II   </w:t>
      </w:r>
    </w:p>
    <w:p>
      <w:pPr>
        <w:pStyle w:val="NoSpacing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>
        <w:rPr>
          <w:b/>
          <w:sz w:val="24"/>
          <w:szCs w:val="24"/>
        </w:rPr>
        <w:t>Informácie o prijatých postupoch</w:t>
      </w:r>
    </w:p>
    <w:p>
      <w:pPr>
        <w:pStyle w:val="NoSpacing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1/ Účtovná závierka bola zostavená za predpokladu nepretržitého trvania spoločnosti.</w:t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2/  Spoločnosť oceňuje majetok a záväzky ku dňu uskutočnenia účtovného prípadu : </w:t>
      </w:r>
    </w:p>
    <w:p>
      <w:pPr>
        <w:pStyle w:val="NoSpacing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dlhodobý majetok nadobudnutý </w:t>
      </w:r>
      <w:r>
        <w:rPr>
          <w:b/>
          <w:sz w:val="24"/>
          <w:szCs w:val="24"/>
        </w:rPr>
        <w:t>obstarávacou cenou</w:t>
      </w:r>
      <w:r>
        <w:rPr>
          <w:sz w:val="24"/>
          <w:szCs w:val="24"/>
        </w:rPr>
        <w:t xml:space="preserve"> </w:t>
      </w:r>
    </w:p>
    <w:p>
      <w:pPr>
        <w:pStyle w:val="NoSpacing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pohľadávky, záväzky /vrátane rezerv/ pri ich vzniku </w:t>
      </w:r>
      <w:r>
        <w:rPr>
          <w:b/>
          <w:sz w:val="24"/>
          <w:szCs w:val="24"/>
        </w:rPr>
        <w:t xml:space="preserve">menovitou hodnotou </w:t>
      </w:r>
    </w:p>
    <w:p>
      <w:pPr>
        <w:pStyle w:val="NoSpacing"/>
        <w:numPr>
          <w:ilvl w:val="0"/>
          <w:numId w:val="1"/>
        </w:numPr>
        <w:rPr/>
      </w:pPr>
      <w:r>
        <w:rPr>
          <w:sz w:val="24"/>
          <w:szCs w:val="24"/>
        </w:rPr>
        <w:t xml:space="preserve">zásoby, pri ktorých spoločnosť postupuje spôsobom B podľa </w:t>
      </w:r>
      <w:r>
        <w:rPr>
          <w:b/>
          <w:sz w:val="24"/>
          <w:szCs w:val="24"/>
        </w:rPr>
        <w:t>obstarávacou cenou</w:t>
      </w:r>
    </w:p>
    <w:p>
      <w:pPr>
        <w:pStyle w:val="NoSpacing"/>
        <w:ind w:left="600" w:hanging="0"/>
        <w:rPr/>
      </w:pPr>
      <w:r>
        <w:rPr>
          <w:sz w:val="24"/>
          <w:szCs w:val="24"/>
        </w:rPr>
        <w:t xml:space="preserve"> </w:t>
      </w:r>
    </w:p>
    <w:p>
      <w:pPr>
        <w:pStyle w:val="NoSpacing"/>
        <w:rPr/>
      </w:pPr>
      <w:r>
        <w:rPr>
          <w:sz w:val="24"/>
          <w:szCs w:val="24"/>
        </w:rPr>
        <w:t>3/  Odpisový plán spoločnosti obsahuje účtovné aj daňové odpisy:</w:t>
      </w:r>
    </w:p>
    <w:p>
      <w:pPr>
        <w:pStyle w:val="NoSpacing"/>
        <w:numPr>
          <w:ilvl w:val="0"/>
          <w:numId w:val="1"/>
        </w:numPr>
        <w:rPr/>
      </w:pPr>
      <w:r>
        <w:rPr>
          <w:sz w:val="24"/>
          <w:szCs w:val="24"/>
        </w:rPr>
        <w:t>hmotný dlhodobý majetok, ktorého ocenenie je vyššie ako 1700, EUR zaradí a pri odpisovaní do príslušnej kategórie podľa ktorej stanoví dobu odpisovania a výšku odpisov.</w:t>
      </w:r>
    </w:p>
    <w:p>
      <w:pPr>
        <w:pStyle w:val="NoSpacing"/>
        <w:ind w:left="600" w:hanging="0"/>
        <w:rPr/>
      </w:pPr>
      <w:r>
        <w:rPr>
          <w:sz w:val="24"/>
          <w:szCs w:val="24"/>
        </w:rPr>
        <w:t xml:space="preserve"> </w:t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4/  Spoločnosť v sledovanom účtovnom období neuskutočnila žiadne zmeny účtovných</w:t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>
        <w:rPr>
          <w:sz w:val="24"/>
          <w:szCs w:val="24"/>
        </w:rPr>
        <w:t>zásad a účtovných metód.</w:t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5/  Spoločnosť v sledovanom období nie je príjemcom  žiadnych  dotácií.</w:t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rPr/>
      </w:pPr>
      <w:r>
        <w:rPr>
          <w:sz w:val="24"/>
          <w:szCs w:val="24"/>
        </w:rPr>
        <w:t>6/  Spoločnosť v sledovanom období neúčtovala o významných opravách chýb minulých       účtovných období.</w:t>
      </w:r>
      <w:r>
        <w:rPr>
          <w:b/>
          <w:sz w:val="24"/>
          <w:szCs w:val="24"/>
        </w:rPr>
        <w:t xml:space="preserve">  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</w:t>
      </w:r>
      <w:r>
        <w:rPr>
          <w:b/>
          <w:sz w:val="24"/>
          <w:szCs w:val="24"/>
        </w:rPr>
        <w:t>Čl. III.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         </w:t>
      </w:r>
      <w:r>
        <w:rPr>
          <w:b/>
          <w:sz w:val="24"/>
          <w:szCs w:val="24"/>
        </w:rPr>
        <w:t>Informácie, ktoré vysvetľujú a dopĺňajú súvahu a výkaz ziskov a strát</w:t>
      </w:r>
    </w:p>
    <w:p>
      <w:pPr>
        <w:pStyle w:val="NoSpacing"/>
        <w:numPr>
          <w:ilvl w:val="0"/>
          <w:numId w:val="2"/>
        </w:numPr>
        <w:tabs>
          <w:tab w:val="clear" w:pos="708"/>
          <w:tab w:val="left" w:pos="284" w:leader="none"/>
        </w:tabs>
        <w:ind w:left="0" w:hanging="0"/>
        <w:rPr>
          <w:sz w:val="24"/>
          <w:szCs w:val="24"/>
        </w:rPr>
      </w:pPr>
      <w:r>
        <w:rPr>
          <w:sz w:val="24"/>
          <w:szCs w:val="24"/>
        </w:rPr>
        <w:t>Spoločnosť v sledovanom období neúčtovala o nákladoch alebo výnosoch, ktoré majú výnimočný rozsah /predaj podniku, živelné pohromy a p./</w:t>
      </w:r>
    </w:p>
    <w:p>
      <w:pPr>
        <w:pStyle w:val="NoSpacing"/>
        <w:tabs>
          <w:tab w:val="clear" w:pos="708"/>
          <w:tab w:val="left" w:pos="284" w:leader="none"/>
        </w:tabs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numPr>
          <w:ilvl w:val="0"/>
          <w:numId w:val="2"/>
        </w:numPr>
        <w:tabs>
          <w:tab w:val="clear" w:pos="708"/>
          <w:tab w:val="left" w:pos="284" w:leader="none"/>
        </w:tabs>
        <w:ind w:left="0" w:hanging="0"/>
        <w:jc w:val="both"/>
        <w:rPr/>
      </w:pPr>
      <w:r>
        <w:rPr>
          <w:sz w:val="24"/>
          <w:szCs w:val="24"/>
        </w:rPr>
        <w:t xml:space="preserve">Spoločnosť v sledovanom období má záväzky z obchodného styku vo výške  </w:t>
      </w:r>
      <w:r>
        <w:rPr>
          <w:sz w:val="24"/>
          <w:szCs w:val="24"/>
        </w:rPr>
        <w:t>8784</w:t>
      </w:r>
      <w:r>
        <w:rPr>
          <w:sz w:val="24"/>
          <w:szCs w:val="24"/>
        </w:rPr>
        <w:t xml:space="preserve"> EUR a tie sú hradené do doby splatnosti. </w:t>
      </w:r>
    </w:p>
    <w:p>
      <w:pPr>
        <w:pStyle w:val="NoSpacing"/>
        <w:tabs>
          <w:tab w:val="clear" w:pos="708"/>
          <w:tab w:val="left" w:pos="284" w:leader="none"/>
        </w:tabs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numPr>
          <w:ilvl w:val="0"/>
          <w:numId w:val="2"/>
        </w:numPr>
        <w:tabs>
          <w:tab w:val="clear" w:pos="708"/>
          <w:tab w:val="left" w:pos="284" w:leader="none"/>
        </w:tabs>
        <w:ind w:left="0" w:hanging="0"/>
        <w:rPr>
          <w:sz w:val="24"/>
          <w:szCs w:val="24"/>
        </w:rPr>
      </w:pPr>
      <w:r>
        <w:rPr>
          <w:sz w:val="24"/>
          <w:szCs w:val="24"/>
        </w:rPr>
        <w:t>Spoločnosť počas účtovného obdobia nenadobudla ani nepreviedla vlastné akcie.</w:t>
      </w:r>
    </w:p>
    <w:p>
      <w:pPr>
        <w:pStyle w:val="NoSpacing"/>
        <w:tabs>
          <w:tab w:val="clear" w:pos="708"/>
          <w:tab w:val="left" w:pos="284" w:leader="none"/>
        </w:tabs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numPr>
          <w:ilvl w:val="0"/>
          <w:numId w:val="2"/>
        </w:numPr>
        <w:tabs>
          <w:tab w:val="clear" w:pos="708"/>
          <w:tab w:val="left" w:pos="284" w:leader="none"/>
        </w:tabs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v sledovanom období neposkytla žiadnym riadiacim alebo kontrolným </w:t>
      </w:r>
    </w:p>
    <w:p>
      <w:pPr>
        <w:pStyle w:val="NoSpacing"/>
        <w:tabs>
          <w:tab w:val="clear" w:pos="708"/>
          <w:tab w:val="left" w:pos="284" w:leader="none"/>
        </w:tabs>
        <w:jc w:val="both"/>
        <w:rPr>
          <w:sz w:val="24"/>
          <w:szCs w:val="24"/>
        </w:rPr>
      </w:pPr>
      <w:r>
        <w:rPr>
          <w:sz w:val="24"/>
          <w:szCs w:val="24"/>
        </w:rPr>
        <w:t>organom spoločnosti záruky, pôžičky alebo iné zabezpečenia, finančné prostriedky</w:t>
      </w:r>
    </w:p>
    <w:p>
      <w:pPr>
        <w:pStyle w:val="NoSpacing"/>
        <w:tabs>
          <w:tab w:val="clear" w:pos="708"/>
          <w:tab w:val="left" w:pos="284" w:leader="none"/>
        </w:tabs>
        <w:jc w:val="both"/>
        <w:rPr>
          <w:sz w:val="24"/>
          <w:szCs w:val="24"/>
        </w:rPr>
      </w:pPr>
      <w:r>
        <w:rPr>
          <w:sz w:val="24"/>
          <w:szCs w:val="24"/>
        </w:rPr>
        <w:t>alebo iné plnenia.</w:t>
      </w:r>
    </w:p>
    <w:p>
      <w:pPr>
        <w:pStyle w:val="NoSpacing"/>
        <w:tabs>
          <w:tab w:val="clear" w:pos="708"/>
          <w:tab w:val="left" w:pos="284" w:leader="none"/>
        </w:tabs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numPr>
          <w:ilvl w:val="0"/>
          <w:numId w:val="2"/>
        </w:numPr>
        <w:tabs>
          <w:tab w:val="clear" w:pos="708"/>
          <w:tab w:val="left" w:pos="284" w:leader="none"/>
        </w:tabs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Spoločnosť nemá žiadne finančné povinnosti, ktoré sa nevykazujú v súvahe, nemá vedomosť o žiadnych podmienených záväzkoch a neeviduje ani neúčtuje o žiadnych významných povinnostiach vyplývajúcich z dôchodkových programov pre zamestnancov.</w:t>
      </w:r>
    </w:p>
    <w:p>
      <w:pPr>
        <w:pStyle w:val="NoSpacing"/>
        <w:tabs>
          <w:tab w:val="clear" w:pos="708"/>
          <w:tab w:val="left" w:pos="284" w:leader="none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p>
      <w:pPr>
        <w:pStyle w:val="NoSpacing"/>
        <w:tabs>
          <w:tab w:val="clear" w:pos="708"/>
          <w:tab w:val="left" w:pos="284" w:leader="none"/>
        </w:tabs>
        <w:ind w:left="600" w:hanging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</w:t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ind w:left="60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ind w:left="60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ind w:left="60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ind w:left="60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ind w:left="60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ind w:left="60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ind w:left="60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ind w:left="60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ind w:left="60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ind w:left="60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ind w:left="60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ind w:left="600" w:hanging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>
      <w:pPr>
        <w:pStyle w:val="Normal"/>
        <w:widowControl/>
        <w:suppressAutoHyphens w:val="true"/>
        <w:bidi w:val="0"/>
        <w:spacing w:before="0" w:after="200"/>
        <w:jc w:val="left"/>
        <w:rPr/>
      </w:pPr>
      <w:r>
        <w:rPr>
          <w:sz w:val="24"/>
          <w:szCs w:val="24"/>
        </w:rPr>
        <w:t xml:space="preserve">     </w:t>
      </w:r>
    </w:p>
    <w:sectPr>
      <w:headerReference w:type="default" r:id="rId2"/>
      <w:type w:val="nextPage"/>
      <w:pgSz w:w="11906" w:h="16838"/>
      <w:pgMar w:left="1560" w:right="1417" w:header="708" w:top="1219" w:footer="0" w:bottom="1417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ahoma">
    <w:charset w:val="ee"/>
    <w:family w:val="roman"/>
    <w:pitch w:val="variable"/>
  </w:font>
  <w:font w:name="OpenSymbol">
    <w:altName w:val="Arial Unicode MS"/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CE">
    <w:charset w:val="ee"/>
    <w:family w:val="roman"/>
    <w:pitch w:val="variable"/>
  </w:font>
  <w:font w:name="Times New Roman">
    <w:charset w:val="ee"/>
    <w:family w:val="roman"/>
    <w:pitch w:val="variable"/>
  </w:font>
  <w:font w:name="Calibri">
    <w:charset w:val="01"/>
    <w:family w:val="swiss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numFmt w:val="bullet"/>
      <w:lvlText w:val="-"/>
      <w:lvlJc w:val="left"/>
      <w:pPr>
        <w:ind w:left="600" w:hanging="360"/>
      </w:pPr>
      <w:rPr>
        <w:rFonts w:ascii="Calibri" w:hAnsi="Calibri" w:cs="Calibri" w:hint="default"/>
        <w:sz w:val="24"/>
        <w:b/>
        <w:rFonts w:cs="Calibri"/>
      </w:rPr>
    </w:lvl>
    <w:lvl w:ilvl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04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76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20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92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360" w:hanging="360"/>
      </w:pPr>
      <w:rPr>
        <w:rFonts w:ascii="Wingdings" w:hAnsi="Wingdings" w:cs="Wingdings" w:hint="default"/>
        <w:rFonts w:cs="Wingdings"/>
      </w:rPr>
    </w:lvl>
  </w:abstractNum>
  <w:abstractNum w:abstractNumId="2">
    <w:lvl w:ilvl="0">
      <w:start w:val="1"/>
      <w:numFmt w:val="decimal"/>
      <w:lvlText w:val="%1)"/>
      <w:lvlJc w:val="left"/>
      <w:pPr>
        <w:ind w:left="928" w:hanging="360"/>
      </w:pPr>
    </w:lvl>
    <w:lvl w:ilvl="1">
      <w:start w:val="1"/>
      <w:numFmt w:val="lowerLetter"/>
      <w:lvlText w:val="%2."/>
      <w:lvlJc w:val="left"/>
      <w:pPr>
        <w:ind w:left="1648" w:hanging="360"/>
      </w:pPr>
    </w:lvl>
    <w:lvl w:ilvl="2">
      <w:start w:val="1"/>
      <w:numFmt w:val="lowerRoman"/>
      <w:lvlText w:val="%3."/>
      <w:lvlJc w:val="right"/>
      <w:pPr>
        <w:ind w:left="2368" w:hanging="180"/>
      </w:pPr>
    </w:lvl>
    <w:lvl w:ilvl="3">
      <w:start w:val="1"/>
      <w:numFmt w:val="decimal"/>
      <w:lvlText w:val="%4."/>
      <w:lvlJc w:val="left"/>
      <w:pPr>
        <w:ind w:left="3088" w:hanging="360"/>
      </w:pPr>
    </w:lvl>
    <w:lvl w:ilvl="4">
      <w:start w:val="1"/>
      <w:numFmt w:val="lowerLetter"/>
      <w:lvlText w:val="%5."/>
      <w:lvlJc w:val="left"/>
      <w:pPr>
        <w:ind w:left="3808" w:hanging="360"/>
      </w:pPr>
    </w:lvl>
    <w:lvl w:ilvl="5">
      <w:start w:val="1"/>
      <w:numFmt w:val="lowerRoman"/>
      <w:lvlText w:val="%6."/>
      <w:lvlJc w:val="right"/>
      <w:pPr>
        <w:ind w:left="4528" w:hanging="180"/>
      </w:pPr>
    </w:lvl>
    <w:lvl w:ilvl="6">
      <w:start w:val="1"/>
      <w:numFmt w:val="decimal"/>
      <w:lvlText w:val="%7."/>
      <w:lvlJc w:val="left"/>
      <w:pPr>
        <w:ind w:left="5248" w:hanging="360"/>
      </w:pPr>
    </w:lvl>
    <w:lvl w:ilvl="7">
      <w:start w:val="1"/>
      <w:numFmt w:val="lowerLetter"/>
      <w:lvlText w:val="%8."/>
      <w:lvlJc w:val="left"/>
      <w:pPr>
        <w:ind w:left="5968" w:hanging="360"/>
      </w:pPr>
    </w:lvl>
    <w:lvl w:ilvl="8">
      <w:start w:val="1"/>
      <w:numFmt w:val="lowerRoman"/>
      <w:lvlText w:val="%9."/>
      <w:lvlJc w:val="right"/>
      <w:pPr>
        <w:ind w:left="6688" w:hanging="18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2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585f62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" w:cs=""/>
      <w:color w:val="00000A"/>
      <w:kern w:val="0"/>
      <w:sz w:val="22"/>
      <w:szCs w:val="22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semiHidden/>
    <w:qFormat/>
    <w:rsid w:val="00db0e0d"/>
    <w:rPr/>
  </w:style>
  <w:style w:type="character" w:styleId="PtaChar" w:customStyle="1">
    <w:name w:val="Päta Char"/>
    <w:basedOn w:val="DefaultParagraphFont"/>
    <w:link w:val="Pta"/>
    <w:uiPriority w:val="99"/>
    <w:semiHidden/>
    <w:qFormat/>
    <w:rsid w:val="00db0e0d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db0e0d"/>
    <w:rPr>
      <w:rFonts w:ascii="Tahoma" w:hAnsi="Tahoma" w:cs="Tahoma"/>
      <w:sz w:val="16"/>
      <w:szCs w:val="16"/>
    </w:rPr>
  </w:style>
  <w:style w:type="character" w:styleId="Odrky" w:customStyle="1">
    <w:name w:val="Odrážky"/>
    <w:qFormat/>
    <w:rPr>
      <w:rFonts w:ascii="OpenSymbol" w:hAnsi="OpenSymbol" w:eastAsia="OpenSymbol" w:cs="OpenSymbol"/>
    </w:rPr>
  </w:style>
  <w:style w:type="character" w:styleId="Ra" w:customStyle="1">
    <w:name w:val="ra"/>
    <w:basedOn w:val="DefaultParagraphFont"/>
    <w:qFormat/>
    <w:rsid w:val="000c5da5"/>
    <w:rPr/>
  </w:style>
  <w:style w:type="paragraph" w:styleId="Nadpis" w:customStyle="1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 w:customStyle="1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HlavikaChar"/>
    <w:uiPriority w:val="99"/>
    <w:semiHidden/>
    <w:unhideWhenUsed/>
    <w:rsid w:val="00db0e0d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semiHidden/>
    <w:unhideWhenUsed/>
    <w:rsid w:val="00db0e0d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db0e0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c02103"/>
    <w:pPr>
      <w:widowControl/>
      <w:suppressAutoHyphens w:val="true"/>
      <w:bidi w:val="0"/>
      <w:spacing w:lineRule="auto" w:line="240"/>
      <w:jc w:val="left"/>
    </w:pPr>
    <w:rPr>
      <w:rFonts w:ascii="Calibri" w:hAnsi="Calibri" w:eastAsia="" w:cs=""/>
      <w:color w:val="00000A"/>
      <w:kern w:val="0"/>
      <w:sz w:val="22"/>
      <w:szCs w:val="22"/>
      <w:lang w:val="sk-SK" w:eastAsia="sk-SK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59"/>
    <w:rsid w:val="00db0e0d"/>
    <w:pPr>
      <w:spacing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table" w:styleId="Svetlzoznam">
    <w:name w:val="Light List"/>
    <w:basedOn w:val="Normlnatabuka"/>
    <w:uiPriority w:val="61"/>
    <w:rsid w:val="00db0e0d"/>
    <w:pPr>
      <w:spacing w:line="240" w:lineRule="auto"/>
    </w:pPr>
    <w:rPr>
      <w:lang w:eastAsia="en-US"/>
    </w:rPr>
    <w:tblPr>
      <w:tblStyleRowBandSize w:val="1"/>
      <w:tblStyleColBandSize w:val="1"/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0000" w:themeColor="text1" w:sz="6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band1Horz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</w:style>
  <w:style w:type="table" w:styleId="Svetlmriekazvraznenie6">
    <w:name w:val="Light Grid Accent 6"/>
    <w:basedOn w:val="Normlnatabuka"/>
    <w:uiPriority w:val="62"/>
    <w:rsid w:val="00db0e0d"/>
    <w:pPr>
      <w:spacing w:line="240" w:lineRule="auto"/>
    </w:pPr>
    <w:tblPr>
      <w:tblStyleRowBandSize w:val="1"/>
      <w:tblStyleColBandSize w:val="1"/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  <w:insideH w:val="single" w:color="F79646" w:themeColor="accent6" w:sz="8" w:space="0"/>
        <w:insideV w:val="single" w:color="F79646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18" w:space="0"/>
          <w:right w:val="single" w:color="F79646" w:themeColor="accent6" w:sz="8" w:space="0"/>
          <w:insideH w:val="nil"/>
          <w:insideV w:val="single" w:color="F79646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F79646" w:themeColor="accent6" w:sz="6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  <w:insideH w:val="nil"/>
          <w:insideV w:val="single" w:color="F79646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  <w:tblPr/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  <w:tblStylePr w:type="band1Vert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  <w:insideV w:val="single" w:color="F79646" w:themeColor="accent6" w:sz="8" w:space="0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  <w:insideV w:val="single" w:color="F79646" w:themeColor="accent6" w:sz="8" w:space="0"/>
        </w:tcBorders>
      </w:tcPr>
    </w:tblStyle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11433</TotalTime>
  <Application>LibreOffice/6.3.2.2$Windows_x86 LibreOffice_project/98b30e735bda24bc04ab42594c85f7fd8be07b9c</Application>
  <Pages>3</Pages>
  <Words>453</Words>
  <Characters>2737</Characters>
  <CharactersWithSpaces>3894</CharactersWithSpaces>
  <Paragraphs>58</Paragraphs>
  <Company>doma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2016-03-06T15:53:00Z</dcterms:created>
  <dc:creator>Macova Eva</dc:creator>
  <dc:description/>
  <dc:language>sk-SK</dc:language>
  <cp:lastModifiedBy/>
  <cp:lastPrinted>2019-06-24T16:54:42Z</cp:lastPrinted>
  <dcterms:modified xsi:type="dcterms:W3CDTF">2020-03-21T20:15:53Z</dcterms:modified>
  <cp:revision>13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doma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