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/>
      </w:pPr>
      <w:r>
        <w:rPr/>
      </w:r>
    </w:p>
    <w:tbl>
      <w:tblPr>
        <w:tblW w:w="9781" w:type="dxa"/>
        <w:jc w:val="left"/>
        <w:tblInd w:w="3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87"/>
        <w:gridCol w:w="2592"/>
        <w:gridCol w:w="336"/>
        <w:gridCol w:w="341"/>
        <w:gridCol w:w="336"/>
        <w:gridCol w:w="337"/>
        <w:gridCol w:w="340"/>
        <w:gridCol w:w="336"/>
        <w:gridCol w:w="341"/>
        <w:gridCol w:w="336"/>
        <w:gridCol w:w="569"/>
        <w:gridCol w:w="336"/>
        <w:gridCol w:w="336"/>
        <w:gridCol w:w="337"/>
        <w:gridCol w:w="421"/>
      </w:tblGrid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37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25"/>
        <w:gridCol w:w="7055"/>
      </w:tblGrid>
      <w:tr>
        <w:trPr>
          <w:trHeight w:val="284" w:hRule="atLeast"/>
        </w:trPr>
        <w:tc>
          <w:tcPr>
            <w:tcW w:w="27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72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72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>
        <w:trPr>
          <w:trHeight w:val="178" w:hRule="atLeast"/>
        </w:trPr>
        <w:tc>
          <w:tcPr>
            <w:tcW w:w="2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2"/>
        <w:gridCol w:w="6969"/>
      </w:tblGrid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Ing. Beáta Horváthová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tabs>
                <w:tab w:val="left" w:pos="1451" w:leader="none"/>
              </w:tabs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 </w:t>
            </w:r>
            <w:r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Riaditeľka:                         PeadDr. Martina Ambrušová</w:t>
            </w:r>
          </w:p>
        </w:tc>
      </w:tr>
      <w:tr>
        <w:trPr>
          <w:trHeight w:val="284" w:hRule="atLeast"/>
        </w:trPr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  Ing. Mgr. Zuzana Baligová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2"/>
        <w:gridCol w:w="6969"/>
      </w:tblGrid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asistencie, chránená dielňa a chránené pracovisko</w:t>
            </w:r>
          </w:p>
        </w:tc>
      </w:tr>
      <w:tr>
        <w:trPr>
          <w:trHeight w:val="284" w:hRule="atLeast"/>
        </w:trPr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34"/>
        <w:gridCol w:w="2767"/>
        <w:gridCol w:w="2777"/>
      </w:tblGrid>
      <w:tr>
        <w:trPr>
          <w:trHeight w:val="284" w:hRule="atLeast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31</w:t>
            </w:r>
          </w:p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24</w:t>
            </w:r>
          </w:p>
        </w:tc>
      </w:tr>
      <w:tr>
        <w:trPr>
          <w:trHeight w:val="284" w:hRule="atLeast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749"/>
        <w:gridCol w:w="3166"/>
        <w:gridCol w:w="3663"/>
      </w:tblGrid>
      <w:tr>
        <w:trPr>
          <w:trHeight w:val="284" w:hRule="atLeast"/>
        </w:trPr>
        <w:tc>
          <w:tcPr>
            <w:tcW w:w="2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6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2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959"/>
        <w:gridCol w:w="2374"/>
        <w:gridCol w:w="2377"/>
        <w:gridCol w:w="2867"/>
      </w:tblGrid>
      <w:tr>
        <w:trPr>
          <w:trHeight w:val="284" w:hRule="atLeast"/>
        </w:trPr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Snoezelen miestnosť a vypaľovacia pec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2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66"/>
        <w:gridCol w:w="5414"/>
      </w:tblGrid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5"/>
        <w:gridCol w:w="1073"/>
        <w:gridCol w:w="1002"/>
        <w:gridCol w:w="1052"/>
        <w:gridCol w:w="1030"/>
        <w:gridCol w:w="1187"/>
        <w:gridCol w:w="1215"/>
        <w:gridCol w:w="1212"/>
      </w:tblGrid>
      <w:tr>
        <w:trPr>
          <w:trHeight w:val="1224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-3 000,00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>
        <w:trPr>
          <w:trHeight w:val="40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416,67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416,67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416,67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416,67</w:t>
            </w:r>
          </w:p>
        </w:tc>
      </w:tr>
      <w:tr>
        <w:trPr>
          <w:trHeight w:val="612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2 583,33</w:t>
            </w:r>
          </w:p>
        </w:tc>
        <w:tc>
          <w:tcPr>
            <w:tcW w:w="1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2 583,33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59"/>
        <w:gridCol w:w="559"/>
        <w:gridCol w:w="850"/>
        <w:gridCol w:w="567"/>
        <w:gridCol w:w="993"/>
        <w:gridCol w:w="852"/>
        <w:gridCol w:w="992"/>
        <w:gridCol w:w="709"/>
        <w:gridCol w:w="851"/>
        <w:gridCol w:w="852"/>
        <w:gridCol w:w="851"/>
        <w:gridCol w:w="809"/>
      </w:tblGrid>
      <w:tr>
        <w:trPr>
          <w:trHeight w:val="1020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30 547,18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14 637,00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32 282,78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77 703,47 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16 964,40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16 964,40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678,08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678,08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16 500,00 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464,40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-16 964,40 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30 547,18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32 069,09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93 989,78 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26 650,59 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3 659,25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31 918,87 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62 465,22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2 815,46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4 346,75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596,11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6838,75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678,08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1340,71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29 466,05 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8 006,00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31 836,90 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69 545,46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3 896,59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10 977,75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363,91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15 238,25</w:t>
            </w:r>
          </w:p>
        </w:tc>
      </w:tr>
      <w:tr>
        <w:trPr>
          <w:trHeight w:val="40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1 081,13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23 131,00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232,20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24 444,33</w:t>
            </w:r>
          </w:p>
        </w:tc>
      </w:tr>
      <w:tr>
        <w:trPr>
          <w:trHeight w:val="288" w:hRule="atLeast"/>
        </w:trPr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490" w:type="dxa"/>
        <w:jc w:val="left"/>
        <w:tblInd w:w="-6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1"/>
        <w:gridCol w:w="3453"/>
        <w:gridCol w:w="3846"/>
      </w:tblGrid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3 016,58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6 271,67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301,54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345,60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53 527,88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40 716,47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56 846,00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47 333,74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6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6"/>
        <w:gridCol w:w="4475"/>
        <w:gridCol w:w="2307"/>
      </w:tblGrid>
      <w:tr>
        <w:trPr>
          <w:trHeight w:val="284" w:hRule="atLeast"/>
        </w:trPr>
        <w:tc>
          <w:tcPr>
            <w:tcW w:w="3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4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Zaplatená kaucia za nebytové priestory na ulici Duklianskych hrdinov</w:t>
            </w:r>
          </w:p>
        </w:tc>
        <w:tc>
          <w:tcPr>
            <w:tcW w:w="23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400,57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v priebehu účtovného obdobia o opravných položkách k pohľadávkam.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0"/>
        <w:gridCol w:w="2992"/>
        <w:gridCol w:w="2996"/>
      </w:tblGrid>
      <w:tr>
        <w:trPr>
          <w:trHeight w:val="284" w:hRule="atLeast"/>
        </w:trPr>
        <w:tc>
          <w:tcPr>
            <w:tcW w:w="39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400,57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5 675,00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400,57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5 675,00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áut, doména, Eset licencia, Radiolan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356,47</w:t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č.OVVS-1930/205/2006-NO peňažným vkladom vo výške 1 000,00 SKK, t.j. 33,19 EUR.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sz w:val="18"/>
          <w:szCs w:val="18"/>
        </w:rPr>
        <w:t xml:space="preserve">Organizácia neúčtovala o opravách významných chýb v priebehu účtovného obdobia 2019. 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95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49"/>
        <w:gridCol w:w="1182"/>
        <w:gridCol w:w="1180"/>
        <w:gridCol w:w="1185"/>
        <w:gridCol w:w="1185"/>
        <w:gridCol w:w="1196"/>
      </w:tblGrid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41 631,27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7 605,98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49 237,25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7 645,17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12 569,70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-7 645,17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12 569,70</w:t>
            </w:r>
          </w:p>
        </w:tc>
      </w:tr>
      <w:tr>
        <w:trPr>
          <w:trHeight w:val="283" w:hRule="atLeast"/>
        </w:trPr>
        <w:tc>
          <w:tcPr>
            <w:tcW w:w="3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49 276,44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12 569,70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61 846,14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7 645,17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7 645,17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06"/>
        <w:gridCol w:w="1405"/>
        <w:gridCol w:w="1403"/>
        <w:gridCol w:w="1403"/>
        <w:gridCol w:w="1278"/>
        <w:gridCol w:w="1382"/>
      </w:tblGrid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3 569,33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5 399,03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3 569,33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5 399,03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4 169,33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6 239,03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4 169,33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6 239,03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nevykazovala konečný zostatok na účtoch 325 - Ostatné záväzky a 379 – Iné záväzky k 31.12.2019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0"/>
        <w:gridCol w:w="2992"/>
        <w:gridCol w:w="2996"/>
      </w:tblGrid>
      <w:tr>
        <w:trPr>
          <w:trHeight w:val="284" w:hRule="atLeast"/>
        </w:trPr>
        <w:tc>
          <w:tcPr>
            <w:tcW w:w="399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519,62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159,08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519,62</w:t>
            </w:r>
          </w:p>
        </w:tc>
        <w:tc>
          <w:tcPr>
            <w:tcW w:w="2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159,08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8"/>
        <w:gridCol w:w="2499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3 228,63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6 404,85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3 228,63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6 404,85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680,98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1 222,28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680,98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1 222,28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3 909,61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7 627,13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3"/>
        <w:gridCol w:w="3147"/>
        <w:gridCol w:w="3108"/>
      </w:tblGrid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1 222,28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680,60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549,56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543,10</w:t>
            </w:r>
          </w:p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1 090,86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1,42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680,98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1 222,28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</w:t>
      </w:r>
      <w:r>
        <w:rPr>
          <w:sz w:val="18"/>
          <w:szCs w:val="18"/>
        </w:rPr>
        <w:t>významné položky časového rozlíšenia výdavkov budúcich období</w:t>
      </w:r>
      <w:r>
        <w:rPr>
          <w:bCs/>
          <w:iCs/>
          <w:sz w:val="18"/>
          <w:szCs w:val="18"/>
        </w:rPr>
        <w:t xml:space="preserve">. 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 z Nadácie Pontis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2 583,33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2 583,33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7 474,14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-7 474,14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10 177,10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-424,05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9 753,05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bookmarkStart w:id="0" w:name="_GoBack"/>
      <w:bookmarkEnd w:id="0"/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výkony, služby a tovar spolu, z toho: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29 615,19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15 958,92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13 656,27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7 737,50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97 996,00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72 628,75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28 384,34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4 416,67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Malacky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1 680,00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do chránenej dielne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2 600,64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drobného majetku a 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8 300,54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materiálu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10 901,18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energií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3 422,39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priestorov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11 164,44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Školenia a cvičenia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7 575,25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4 350,00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3 076,65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Ostatné služby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26 166,34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Personálne 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188 490,06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hmotného a nehmotného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8 174,99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Iné poplatky a 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1 671,51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6"/>
        <w:gridCol w:w="2726"/>
        <w:gridCol w:w="2246"/>
      </w:tblGrid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motorového vozidla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10 177,10</w:t>
            </w:r>
          </w:p>
        </w:tc>
      </w:tr>
      <w:tr>
        <w:trPr>
          <w:trHeight w:val="284" w:hRule="atLeast"/>
        </w:trPr>
        <w:tc>
          <w:tcPr>
            <w:tcW w:w="4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Materiálne zabezpečenie chránenej dielne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7 474,14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Významné položky prenajatého majetku, majetku prijatého do úschovy, odpísané pohľadávky a prípadné ďalšie položky.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Organizácia si prenajíma nasledovné priestory: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2 izbový byt Bernolákova 7, Malacky, mesačné nájomné 91,97 EUR - energie, prenajímateľ Michal Soják, nájomné dohodnuté do 26.7.2025,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3 izbový byt 1. mája, Malacky, mesačné nájomné 500 EUR, prenajímateľ Dušan a Jana Oravcová, nájomné dohodnuté do 1.4.2025,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Nebytový priestor Radlinského ulica, mesačné nájomné 300 EUR, prenajímateľ Štefan a Viera Daniheloví, nájomné na dobu neurčitú, účel: obchodné priestory na predaj výrobkov z chránenej dielne;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Nebytový priestor Duklianskych hrdinov, Malacky, mesačné nájomné 400 EUR a k 31.12.2019 uhradená kaucia vo výške 400 EUR, prenajímateľ PROPER Servis .r.o., nájomné do 1.1.2030, účel: obchodný priestory na predaj výrobkov z chránenej dielne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Budova 1.máj 15, ročné nájomné 1 EUR, prenajímateľ Mesto Malacky, nájomné do 31.12.2034, účel: poskytovanie všeobecne prospešných služieb  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spacing w:before="0" w:after="120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5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 Informácie o významných skutočnostiach, ktoré nastali medzi dňom, ku ktorému sa zostavuje účtovná závierka a dňom jej zostavenia.</w:t>
      </w:r>
    </w:p>
    <w:p>
      <w:pPr>
        <w:pStyle w:val="Textopatrenia"/>
        <w:ind w:left="3" w:hanging="0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Normal"/>
        <w:spacing w:lineRule="auto" w:line="240"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Koncom roka 2019 sa prvýkrát objavili správy z Číny o koronavíruse. V prvých mesiacoch roka 2020 sa vírus rozšíril do celého sveta a jeho negatívny vplyv nadobudol veľké rozmery. Aj keď v čase zverejnenia tejto účtovnej závierky vedenie neziskovej organizácie nezaznamenalo významné obmedzenie svojej činnosti, nakoľko sa však situácia stále mení, nemožno predvídať budúce účinky/dopady tejto pandémie.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Vedenie neziskovej organizácie bude pokračovať v monitorovaní potenciálneho dopadu a podnikne všetky možné kroky na zmiernenie akýchkoľvek negatívnych účinkov na neziskovú organizáciu, jej klientov a zamestnancov.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ind w:left="3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widowControl/>
        <w:bidi w:val="0"/>
        <w:spacing w:lineRule="auto" w:line="360" w:before="120" w:after="120"/>
        <w:jc w:val="both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16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upperLetter"/>
      <w:lvlText w:val="%1)"/>
      <w:lvlJc w:val="left"/>
      <w:pPr>
        <w:ind w:left="720" w:hanging="360"/>
      </w:pPr>
      <w:rPr>
        <w:sz w:val="18"/>
        <w:b w:val="false"/>
        <w:szCs w:val="16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w="http://schemas.openxmlformats.org/wordprocessingml/2006/main">
  <w:zoom w:percent="150"/>
  <w:embedSystemFonts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Pr>
      <w:b/>
      <w:bCs/>
      <w:i w:val="false"/>
      <w:iCs w:val="false"/>
    </w:rPr>
  </w:style>
  <w:style w:type="character" w:styleId="ListLabel103" w:customStyle="1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Pr>
      <w:rFonts w:cs="Symbol"/>
      <w:b/>
      <w:sz w:val="16"/>
    </w:rPr>
  </w:style>
  <w:style w:type="character" w:styleId="ListLabel106" w:customStyle="1">
    <w:name w:val="ListLabel 106"/>
    <w:qFormat/>
    <w:rPr>
      <w:rFonts w:cs="Courier New"/>
    </w:rPr>
  </w:style>
  <w:style w:type="character" w:styleId="ListLabel107" w:customStyle="1">
    <w:name w:val="ListLabel 107"/>
    <w:qFormat/>
    <w:rPr>
      <w:rFonts w:cs="Wingdings"/>
    </w:rPr>
  </w:style>
  <w:style w:type="character" w:styleId="ListLabel108" w:customStyle="1">
    <w:name w:val="ListLabel 108"/>
    <w:qFormat/>
    <w:rPr>
      <w:rFonts w:cs="Symbol"/>
    </w:rPr>
  </w:style>
  <w:style w:type="character" w:styleId="ListLabel109" w:customStyle="1">
    <w:name w:val="ListLabel 109"/>
    <w:qFormat/>
    <w:rPr>
      <w:rFonts w:cs="Courier New"/>
    </w:rPr>
  </w:style>
  <w:style w:type="character" w:styleId="ListLabel110" w:customStyle="1">
    <w:name w:val="ListLabel 110"/>
    <w:qFormat/>
    <w:rPr>
      <w:rFonts w:cs="Wingdings"/>
    </w:rPr>
  </w:style>
  <w:style w:type="character" w:styleId="ListLabel111" w:customStyle="1">
    <w:name w:val="ListLabel 111"/>
    <w:qFormat/>
    <w:rPr>
      <w:rFonts w:cs="Symbol"/>
    </w:rPr>
  </w:style>
  <w:style w:type="character" w:styleId="ListLabel112" w:customStyle="1">
    <w:name w:val="ListLabel 112"/>
    <w:qFormat/>
    <w:rPr>
      <w:rFonts w:cs="Courier New"/>
    </w:rPr>
  </w:style>
  <w:style w:type="character" w:styleId="ListLabel113" w:customStyle="1">
    <w:name w:val="ListLabel 113"/>
    <w:qFormat/>
    <w:rPr>
      <w:rFonts w:cs="Wingdings"/>
    </w:rPr>
  </w:style>
  <w:style w:type="character" w:styleId="ListLabel114" w:customStyle="1">
    <w:name w:val="ListLabel 114"/>
    <w:qFormat/>
    <w:rPr>
      <w:rFonts w:cs="Symbol"/>
      <w:sz w:val="16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cs="Symbol"/>
      <w:sz w:val="16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Pr>
      <w:b/>
      <w:bCs/>
      <w:i w:val="false"/>
      <w:iCs w:val="false"/>
    </w:rPr>
  </w:style>
  <w:style w:type="character" w:styleId="ListLabel134" w:customStyle="1">
    <w:name w:val="ListLabel 134"/>
    <w:qFormat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Pr>
      <w:rFonts w:cs="Symbol"/>
      <w:b/>
      <w:sz w:val="16"/>
    </w:rPr>
  </w:style>
  <w:style w:type="character" w:styleId="ListLabel137" w:customStyle="1">
    <w:name w:val="ListLabel 137"/>
    <w:qFormat/>
    <w:rPr>
      <w:rFonts w:cs="Courier New"/>
    </w:rPr>
  </w:style>
  <w:style w:type="character" w:styleId="ListLabel138" w:customStyle="1">
    <w:name w:val="ListLabel 138"/>
    <w:qFormat/>
    <w:rPr>
      <w:rFonts w:cs="Wingdings"/>
    </w:rPr>
  </w:style>
  <w:style w:type="character" w:styleId="ListLabel139" w:customStyle="1">
    <w:name w:val="ListLabel 139"/>
    <w:qFormat/>
    <w:rPr>
      <w:rFonts w:cs="Symbol"/>
    </w:rPr>
  </w:style>
  <w:style w:type="character" w:styleId="ListLabel140" w:customStyle="1">
    <w:name w:val="ListLabel 140"/>
    <w:qFormat/>
    <w:rPr>
      <w:rFonts w:cs="Courier New"/>
    </w:rPr>
  </w:style>
  <w:style w:type="character" w:styleId="ListLabel141" w:customStyle="1">
    <w:name w:val="ListLabel 141"/>
    <w:qFormat/>
    <w:rPr>
      <w:rFonts w:cs="Wingdings"/>
    </w:rPr>
  </w:style>
  <w:style w:type="character" w:styleId="ListLabel142" w:customStyle="1">
    <w:name w:val="ListLabel 142"/>
    <w:qFormat/>
    <w:rPr>
      <w:rFonts w:cs="Symbol"/>
    </w:rPr>
  </w:style>
  <w:style w:type="character" w:styleId="ListLabel143" w:customStyle="1">
    <w:name w:val="ListLabel 143"/>
    <w:qFormat/>
    <w:rPr>
      <w:rFonts w:cs="Courier New"/>
    </w:rPr>
  </w:style>
  <w:style w:type="character" w:styleId="ListLabel144" w:customStyle="1">
    <w:name w:val="ListLabel 144"/>
    <w:qFormat/>
    <w:rPr>
      <w:rFonts w:cs="Wingdings"/>
    </w:rPr>
  </w:style>
  <w:style w:type="character" w:styleId="ListLabel145" w:customStyle="1">
    <w:name w:val="ListLabel 145"/>
    <w:qFormat/>
    <w:rPr>
      <w:rFonts w:cs="Symbol"/>
      <w:sz w:val="16"/>
    </w:rPr>
  </w:style>
  <w:style w:type="character" w:styleId="ListLabel146" w:customStyle="1">
    <w:name w:val="ListLabel 146"/>
    <w:qFormat/>
    <w:rPr>
      <w:rFonts w:cs="Courier New"/>
    </w:rPr>
  </w:style>
  <w:style w:type="character" w:styleId="ListLabel147" w:customStyle="1">
    <w:name w:val="ListLabel 147"/>
    <w:qFormat/>
    <w:rPr>
      <w:rFonts w:cs="Wingdings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Courier New"/>
    </w:rPr>
  </w:style>
  <w:style w:type="character" w:styleId="ListLabel150" w:customStyle="1">
    <w:name w:val="ListLabel 150"/>
    <w:qFormat/>
    <w:rPr>
      <w:rFonts w:cs="Wingdings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  <w:sz w:val="16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>
    <w:name w:val="ListLabel 163"/>
    <w:qFormat/>
    <w:rPr>
      <w:rFonts w:cs="Arial"/>
      <w:b/>
      <w:bCs/>
      <w:i w:val="false"/>
      <w:iCs w:val="false"/>
      <w:sz w:val="24"/>
      <w:szCs w:val="24"/>
    </w:rPr>
  </w:style>
  <w:style w:type="character" w:styleId="ListLabel164">
    <w:name w:val="ListLabel 164"/>
    <w:qFormat/>
    <w:rPr>
      <w:b/>
      <w:bCs/>
      <w:i w:val="false"/>
      <w:iCs w:val="false"/>
    </w:rPr>
  </w:style>
  <w:style w:type="character" w:styleId="ListLabel165">
    <w:name w:val="ListLabel 165"/>
    <w:qFormat/>
    <w:rPr>
      <w:b w:val="false"/>
      <w:bCs w:val="false"/>
      <w:i w:val="false"/>
      <w:iCs w:val="false"/>
      <w:sz w:val="16"/>
    </w:rPr>
  </w:style>
  <w:style w:type="character" w:styleId="ListLabel166">
    <w:name w:val="ListLabel 166"/>
    <w:qFormat/>
    <w:rPr>
      <w:b w:val="false"/>
      <w:bCs w:val="false"/>
      <w:i w:val="false"/>
      <w:iCs w:val="false"/>
      <w:sz w:val="18"/>
    </w:rPr>
  </w:style>
  <w:style w:type="character" w:styleId="ListLabel167">
    <w:name w:val="ListLabel 167"/>
    <w:qFormat/>
    <w:rPr>
      <w:rFonts w:cs="Symbol"/>
      <w:b/>
      <w:sz w:val="16"/>
    </w:rPr>
  </w:style>
  <w:style w:type="character" w:styleId="ListLabel168">
    <w:name w:val="ListLabel 168"/>
    <w:qFormat/>
    <w:rPr>
      <w:rFonts w:cs="Courier New"/>
    </w:rPr>
  </w:style>
  <w:style w:type="character" w:styleId="ListLabel169">
    <w:name w:val="ListLabel 169"/>
    <w:qFormat/>
    <w:rPr>
      <w:rFonts w:cs="Wingdings"/>
    </w:rPr>
  </w:style>
  <w:style w:type="character" w:styleId="ListLabel170">
    <w:name w:val="ListLabel 170"/>
    <w:qFormat/>
    <w:rPr>
      <w:rFonts w:cs="Symbol"/>
    </w:rPr>
  </w:style>
  <w:style w:type="character" w:styleId="ListLabel171">
    <w:name w:val="ListLabel 171"/>
    <w:qFormat/>
    <w:rPr>
      <w:rFonts w:cs="Courier New"/>
    </w:rPr>
  </w:style>
  <w:style w:type="character" w:styleId="ListLabel172">
    <w:name w:val="ListLabel 172"/>
    <w:qFormat/>
    <w:rPr>
      <w:rFonts w:cs="Wingdings"/>
    </w:rPr>
  </w:style>
  <w:style w:type="character" w:styleId="ListLabel173">
    <w:name w:val="ListLabel 173"/>
    <w:qFormat/>
    <w:rPr>
      <w:rFonts w:cs="Symbol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  <w:sz w:val="16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sz w:val="18"/>
      <w:szCs w:val="16"/>
    </w:rPr>
  </w:style>
  <w:style w:type="character" w:styleId="ListLabel195">
    <w:name w:val="ListLabel 195"/>
    <w:qFormat/>
    <w:rPr>
      <w:b w:val="false"/>
      <w:bCs w:val="false"/>
      <w:sz w:val="18"/>
      <w:szCs w:val="16"/>
    </w:rPr>
  </w:style>
  <w:style w:type="character" w:styleId="ListLabel196">
    <w:name w:val="ListLabel 196"/>
    <w:qFormat/>
    <w:rPr>
      <w:sz w:val="16"/>
      <w:szCs w:val="16"/>
    </w:rPr>
  </w:style>
  <w:style w:type="character" w:styleId="ListLabel197">
    <w:name w:val="ListLabel 197"/>
    <w:qFormat/>
    <w:rPr>
      <w:rFonts w:cs="Arial"/>
      <w:b/>
      <w:bCs/>
      <w:i w:val="false"/>
      <w:iCs w:val="false"/>
      <w:sz w:val="24"/>
      <w:szCs w:val="24"/>
    </w:rPr>
  </w:style>
  <w:style w:type="character" w:styleId="ListLabel198">
    <w:name w:val="ListLabel 198"/>
    <w:qFormat/>
    <w:rPr>
      <w:b/>
      <w:bCs/>
      <w:i w:val="false"/>
      <w:iCs w:val="false"/>
    </w:rPr>
  </w:style>
  <w:style w:type="character" w:styleId="ListLabel199">
    <w:name w:val="ListLabel 199"/>
    <w:qFormat/>
    <w:rPr>
      <w:b w:val="false"/>
      <w:bCs w:val="false"/>
      <w:i w:val="false"/>
      <w:iCs w:val="false"/>
      <w:sz w:val="16"/>
    </w:rPr>
  </w:style>
  <w:style w:type="character" w:styleId="ListLabel200">
    <w:name w:val="ListLabel 200"/>
    <w:qFormat/>
    <w:rPr>
      <w:b w:val="false"/>
      <w:bCs w:val="false"/>
      <w:i w:val="false"/>
      <w:iCs w:val="false"/>
      <w:sz w:val="18"/>
    </w:rPr>
  </w:style>
  <w:style w:type="character" w:styleId="ListLabel201">
    <w:name w:val="ListLabel 201"/>
    <w:qFormat/>
    <w:rPr>
      <w:rFonts w:cs="Symbol"/>
      <w:sz w:val="16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sz w:val="18"/>
      <w:szCs w:val="16"/>
    </w:rPr>
  </w:style>
  <w:style w:type="character" w:styleId="ListLabel211">
    <w:name w:val="ListLabel 211"/>
    <w:qFormat/>
    <w:rPr>
      <w:b w:val="false"/>
      <w:bCs w:val="false"/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</w:pPr>
    <w:rPr>
      <w:rFonts w:cs="Lucida Sans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Application>LibreOffice/5.3.4.2$Windows_x86 LibreOffice_project/f82d347ccc0be322489bf7da61d7e4ad13fe2ff3</Application>
  <Pages>10</Pages>
  <Words>3788</Words>
  <Characters>22709</Characters>
  <CharactersWithSpaces>26038</CharactersWithSpaces>
  <Paragraphs>767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2017-03-06T17:01:00Z</dcterms:created>
  <dc:creator>Vlaďka</dc:creator>
  <dc:description/>
  <dc:language>sk-SK</dc:language>
  <cp:lastModifiedBy/>
  <cp:lastPrinted>2018-03-12T20:01:00Z</cp:lastPrinted>
  <dcterms:modified xsi:type="dcterms:W3CDTF">2020-03-25T11:40:39Z</dcterms:modified>
  <cp:revision>100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