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60"/>
        <w:gridCol w:w="280"/>
        <w:gridCol w:w="280"/>
        <w:gridCol w:w="280"/>
        <w:gridCol w:w="280"/>
        <w:gridCol w:w="280"/>
        <w:gridCol w:w="280"/>
        <w:gridCol w:w="280"/>
        <w:gridCol w:w="280"/>
        <w:gridCol w:w="96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573D4" w:rsidRPr="002573D4" w:rsidTr="002573D4">
        <w:trPr>
          <w:trHeight w:val="300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Poznámky  Úč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Múj 3-01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73D4" w:rsidRPr="002573D4" w:rsidRDefault="002573D4" w:rsidP="002573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573D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</w:tbl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0o00" w:hAnsi="TT20o00" w:cs="TT20o00"/>
          <w:sz w:val="24"/>
          <w:szCs w:val="24"/>
        </w:rPr>
      </w:pP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1o00" w:hAnsi="TT21o00" w:cs="TT21o00"/>
          <w:sz w:val="24"/>
          <w:szCs w:val="24"/>
        </w:rPr>
      </w:pPr>
      <w:r>
        <w:rPr>
          <w:rFonts w:ascii="TT21o00" w:hAnsi="TT21o00" w:cs="TT21o00"/>
          <w:sz w:val="24"/>
          <w:szCs w:val="24"/>
        </w:rPr>
        <w:t>Čl. I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1o00" w:hAnsi="TT21o00" w:cs="TT21o00"/>
          <w:sz w:val="24"/>
          <w:szCs w:val="24"/>
        </w:rPr>
      </w:pPr>
      <w:r>
        <w:rPr>
          <w:rFonts w:ascii="TT21o00" w:hAnsi="TT21o00" w:cs="TT21o00"/>
          <w:sz w:val="24"/>
          <w:szCs w:val="24"/>
        </w:rPr>
        <w:t xml:space="preserve">Všeobecné údaje </w:t>
      </w:r>
    </w:p>
    <w:p w:rsidR="004D044B" w:rsidRPr="00594981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0o00" w:hAnsi="TT20o00" w:cs="TT20o00"/>
          <w:b/>
          <w:sz w:val="24"/>
          <w:szCs w:val="24"/>
        </w:rPr>
      </w:pPr>
      <w:r w:rsidRPr="00594981">
        <w:rPr>
          <w:rFonts w:ascii="TT20o00" w:hAnsi="TT20o00" w:cs="TT20o00"/>
          <w:b/>
          <w:sz w:val="24"/>
          <w:szCs w:val="24"/>
        </w:rPr>
        <w:t>MPT Predaj – Servis s.</w:t>
      </w:r>
      <w:r w:rsidR="004331D6" w:rsidRPr="00594981">
        <w:rPr>
          <w:rFonts w:ascii="TT20o00" w:hAnsi="TT20o00" w:cs="TT20o00"/>
          <w:b/>
          <w:sz w:val="24"/>
          <w:szCs w:val="24"/>
        </w:rPr>
        <w:t xml:space="preserve"> </w:t>
      </w:r>
      <w:r w:rsidRPr="00594981">
        <w:rPr>
          <w:rFonts w:ascii="TT20o00" w:hAnsi="TT20o00" w:cs="TT20o00"/>
          <w:b/>
          <w:sz w:val="24"/>
          <w:szCs w:val="24"/>
        </w:rPr>
        <w:t>r.</w:t>
      </w:r>
      <w:r w:rsidR="004331D6" w:rsidRPr="00594981">
        <w:rPr>
          <w:rFonts w:ascii="TT20o00" w:hAnsi="TT20o00" w:cs="TT20o00"/>
          <w:b/>
          <w:sz w:val="24"/>
          <w:szCs w:val="24"/>
        </w:rPr>
        <w:t xml:space="preserve"> </w:t>
      </w:r>
      <w:r w:rsidRPr="00594981">
        <w:rPr>
          <w:rFonts w:ascii="TT20o00" w:hAnsi="TT20o00" w:cs="TT20o00"/>
          <w:b/>
          <w:sz w:val="24"/>
          <w:szCs w:val="24"/>
        </w:rPr>
        <w:t>o. , Bratislavská 579, 911 05 Trenčín</w:t>
      </w:r>
    </w:p>
    <w:p w:rsidR="004D044B" w:rsidRPr="00594981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0o00" w:hAnsi="TT20o00" w:cs="TT20o00"/>
          <w:b/>
          <w:sz w:val="24"/>
          <w:szCs w:val="24"/>
        </w:rPr>
      </w:pP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 xml:space="preserve">Priemerný prepočítaný počet zamestnancov  - </w:t>
      </w:r>
      <w:r w:rsidR="00A1748C">
        <w:rPr>
          <w:rFonts w:ascii="TT1Fo00" w:hAnsi="TT1Fo00" w:cs="TT1Fo00"/>
          <w:sz w:val="24"/>
          <w:szCs w:val="24"/>
        </w:rPr>
        <w:t>4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1o00" w:hAnsi="TT21o00" w:cs="TT21o00"/>
          <w:sz w:val="24"/>
          <w:szCs w:val="24"/>
        </w:rPr>
      </w:pPr>
      <w:r>
        <w:rPr>
          <w:rFonts w:ascii="TT21o00" w:hAnsi="TT21o00" w:cs="TT21o00"/>
          <w:sz w:val="24"/>
          <w:szCs w:val="24"/>
        </w:rPr>
        <w:t>Čl. II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1o00" w:hAnsi="TT21o00" w:cs="TT21o00"/>
          <w:sz w:val="24"/>
          <w:szCs w:val="24"/>
        </w:rPr>
        <w:t>Informácie o prijatých postupoch</w:t>
      </w:r>
      <w:r w:rsidR="00594981">
        <w:rPr>
          <w:rFonts w:ascii="TT21o00" w:hAnsi="TT21o00" w:cs="TT21o00"/>
          <w:sz w:val="24"/>
          <w:szCs w:val="24"/>
        </w:rPr>
        <w:t xml:space="preserve"> </w:t>
      </w:r>
      <w:r>
        <w:rPr>
          <w:rFonts w:ascii="TT20o00" w:hAnsi="TT20o00" w:cs="TT20o00"/>
          <w:sz w:val="24"/>
          <w:szCs w:val="24"/>
        </w:rPr>
        <w:t xml:space="preserve">- </w:t>
      </w:r>
      <w:r>
        <w:rPr>
          <w:rFonts w:ascii="TT1Fo00" w:hAnsi="TT1Fo00" w:cs="TT1Fo00"/>
          <w:sz w:val="24"/>
          <w:szCs w:val="24"/>
        </w:rPr>
        <w:t>účtovná závierka zostavená - účtovná jednotka bude nepretržite pokračovať vo svojej činnosti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0o00" w:hAnsi="TT20o00" w:cs="TT20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>Spôsob oceňovania jednotlivých položiek majetku a záväzkov</w:t>
      </w:r>
      <w:r>
        <w:rPr>
          <w:rFonts w:ascii="TT20o00" w:hAnsi="TT20o00" w:cs="TT20o00"/>
          <w:sz w:val="24"/>
          <w:szCs w:val="24"/>
        </w:rPr>
        <w:t>, a to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0o00" w:hAnsi="TT20o00" w:cs="TT20o00"/>
          <w:sz w:val="24"/>
          <w:szCs w:val="24"/>
        </w:rPr>
        <w:t xml:space="preserve">a) </w:t>
      </w:r>
      <w:r>
        <w:rPr>
          <w:rFonts w:ascii="TT1Fo00" w:hAnsi="TT1Fo00" w:cs="TT1Fo00"/>
          <w:sz w:val="24"/>
          <w:szCs w:val="24"/>
        </w:rPr>
        <w:t>dlhodobého nehmotného majetku, dlhodobého hmotného majetku a dlhodobého</w:t>
      </w:r>
    </w:p>
    <w:p w:rsidR="002F4F4E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0o00" w:hAnsi="TT20o00" w:cs="TT20o00"/>
          <w:sz w:val="24"/>
          <w:szCs w:val="24"/>
        </w:rPr>
        <w:t>fina</w:t>
      </w:r>
      <w:r>
        <w:rPr>
          <w:rFonts w:ascii="TT1Fo00" w:hAnsi="TT1Fo00" w:cs="TT1Fo00"/>
          <w:sz w:val="24"/>
          <w:szCs w:val="24"/>
        </w:rPr>
        <w:t xml:space="preserve">nčného majetku </w:t>
      </w:r>
      <w:r w:rsidR="009E5A39">
        <w:rPr>
          <w:rFonts w:ascii="TT1Fo00" w:hAnsi="TT1Fo00" w:cs="TT1Fo00"/>
          <w:sz w:val="24"/>
          <w:szCs w:val="24"/>
        </w:rPr>
        <w:t>–menovitou hodnotou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2F4F4E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0o00" w:hAnsi="TT20o00" w:cs="TT20o00"/>
          <w:sz w:val="24"/>
          <w:szCs w:val="24"/>
        </w:rPr>
        <w:t xml:space="preserve">b) </w:t>
      </w:r>
      <w:r>
        <w:rPr>
          <w:rFonts w:ascii="TT1Fo00" w:hAnsi="TT1Fo00" w:cs="TT1Fo00"/>
          <w:sz w:val="24"/>
          <w:szCs w:val="24"/>
        </w:rPr>
        <w:t xml:space="preserve">zásob obstaraných kúpou– </w:t>
      </w:r>
      <w:r w:rsidR="009E5A39">
        <w:rPr>
          <w:rFonts w:ascii="TT1Fo00" w:hAnsi="TT1Fo00" w:cs="TT1Fo00"/>
          <w:sz w:val="24"/>
          <w:szCs w:val="24"/>
        </w:rPr>
        <w:t>menovitou hodnotou</w:t>
      </w:r>
      <w:r w:rsidR="002F4F4E">
        <w:rPr>
          <w:rFonts w:ascii="TT1Fo00" w:hAnsi="TT1Fo00" w:cs="TT1Fo00"/>
          <w:sz w:val="24"/>
          <w:szCs w:val="24"/>
        </w:rPr>
        <w:t xml:space="preserve"> súčasťou môže byť preprava, clo, provízia</w:t>
      </w:r>
    </w:p>
    <w:p w:rsidR="002F4F4E" w:rsidRDefault="002F4F4E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0o00" w:hAnsi="TT20o00" w:cs="TT20o00"/>
          <w:sz w:val="24"/>
          <w:szCs w:val="24"/>
        </w:rPr>
        <w:t xml:space="preserve">c) </w:t>
      </w:r>
      <w:r>
        <w:rPr>
          <w:rFonts w:ascii="TT1Fo00" w:hAnsi="TT1Fo00" w:cs="TT1Fo00"/>
          <w:sz w:val="24"/>
          <w:szCs w:val="24"/>
        </w:rPr>
        <w:t>pohľadávok</w:t>
      </w:r>
      <w:r w:rsidR="002F4F4E">
        <w:rPr>
          <w:rFonts w:ascii="TT1Fo00" w:hAnsi="TT1Fo00" w:cs="TT1Fo00"/>
          <w:sz w:val="24"/>
          <w:szCs w:val="24"/>
        </w:rPr>
        <w:t>- menovitou hodnotou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0o00" w:hAnsi="TT20o00" w:cs="TT20o00"/>
          <w:sz w:val="24"/>
          <w:szCs w:val="24"/>
        </w:rPr>
        <w:t xml:space="preserve">d) </w:t>
      </w:r>
      <w:r>
        <w:rPr>
          <w:rFonts w:ascii="TT1Fo00" w:hAnsi="TT1Fo00" w:cs="TT1Fo00"/>
          <w:sz w:val="24"/>
          <w:szCs w:val="24"/>
        </w:rPr>
        <w:t>krátkodobého finanč</w:t>
      </w:r>
      <w:r w:rsidR="002F4F4E">
        <w:rPr>
          <w:rFonts w:ascii="TT1Fo00" w:hAnsi="TT1Fo00" w:cs="TT1Fo00"/>
          <w:sz w:val="24"/>
          <w:szCs w:val="24"/>
        </w:rPr>
        <w:t>ného majetku – menovitou hodnotou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0o00" w:hAnsi="TT20o00" w:cs="TT20o00"/>
          <w:sz w:val="24"/>
          <w:szCs w:val="24"/>
        </w:rPr>
        <w:t xml:space="preserve">e) </w:t>
      </w:r>
      <w:r>
        <w:rPr>
          <w:rFonts w:ascii="TT1Fo00" w:hAnsi="TT1Fo00" w:cs="TT1Fo00"/>
          <w:sz w:val="24"/>
          <w:szCs w:val="24"/>
        </w:rPr>
        <w:t>záväzkov vrátane rezerv, dlhopisov, pôžič</w:t>
      </w:r>
      <w:r w:rsidR="002F4F4E">
        <w:rPr>
          <w:rFonts w:ascii="TT1Fo00" w:hAnsi="TT1Fo00" w:cs="TT1Fo00"/>
          <w:sz w:val="24"/>
          <w:szCs w:val="24"/>
        </w:rPr>
        <w:t>iek a úverov menovitou pri ich vzniku,</w:t>
      </w:r>
    </w:p>
    <w:p w:rsidR="0010421B" w:rsidRDefault="0010421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2F4F4E" w:rsidRDefault="002F4F4E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>Záväzky v cudzej mene sa prepočítajú referenčným kurzom na EUR určeným ECB deň predchádzajúci dňu účt</w:t>
      </w:r>
      <w:r w:rsidR="004331D6">
        <w:rPr>
          <w:rFonts w:ascii="TT1Fo00" w:hAnsi="TT1Fo00" w:cs="TT1Fo00"/>
          <w:sz w:val="24"/>
          <w:szCs w:val="24"/>
        </w:rPr>
        <w:t>ovného</w:t>
      </w:r>
      <w:r>
        <w:rPr>
          <w:rFonts w:ascii="TT1Fo00" w:hAnsi="TT1Fo00" w:cs="TT1Fo00"/>
          <w:sz w:val="24"/>
          <w:szCs w:val="24"/>
        </w:rPr>
        <w:t xml:space="preserve"> prípadu. </w:t>
      </w:r>
    </w:p>
    <w:p w:rsidR="002F4F4E" w:rsidRDefault="002F4F4E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>Zostatky záväzkov v cudzej mene sa na konci účtovného obdobia prepočítajú kurzom k 31.12.201</w:t>
      </w:r>
      <w:r w:rsidR="00A1748C">
        <w:rPr>
          <w:rFonts w:ascii="TT1Fo00" w:hAnsi="TT1Fo00" w:cs="TT1Fo00"/>
          <w:sz w:val="24"/>
          <w:szCs w:val="24"/>
        </w:rPr>
        <w:t>9</w:t>
      </w:r>
      <w:r>
        <w:rPr>
          <w:rFonts w:ascii="TT1Fo00" w:hAnsi="TT1Fo00" w:cs="TT1Fo00"/>
          <w:sz w:val="24"/>
          <w:szCs w:val="24"/>
        </w:rPr>
        <w:t xml:space="preserve"> určeným ECB.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20o00" w:hAnsi="TT20o00" w:cs="TT20o00"/>
          <w:sz w:val="24"/>
          <w:szCs w:val="24"/>
        </w:rPr>
        <w:t xml:space="preserve">(3) </w:t>
      </w:r>
      <w:r>
        <w:rPr>
          <w:rFonts w:ascii="TT1Fo00" w:hAnsi="TT1Fo00" w:cs="TT1Fo00"/>
          <w:sz w:val="24"/>
          <w:szCs w:val="24"/>
        </w:rPr>
        <w:t>Spôsob zostavenia odpisového plánu pre jednotlivé druhy dlhodobého hmotného majetku</w:t>
      </w:r>
      <w:r w:rsidR="002F4F4E">
        <w:rPr>
          <w:rFonts w:ascii="TT1Fo00" w:hAnsi="TT1Fo00" w:cs="TT1Fo00"/>
          <w:sz w:val="24"/>
          <w:szCs w:val="24"/>
        </w:rPr>
        <w:t xml:space="preserve"> </w:t>
      </w:r>
      <w:r>
        <w:rPr>
          <w:rFonts w:ascii="TT20o00" w:hAnsi="TT20o00" w:cs="TT20o00"/>
          <w:sz w:val="24"/>
          <w:szCs w:val="24"/>
        </w:rPr>
        <w:t xml:space="preserve">a </w:t>
      </w:r>
      <w:r>
        <w:rPr>
          <w:rFonts w:ascii="TT1Fo00" w:hAnsi="TT1Fo00" w:cs="TT1Fo00"/>
          <w:sz w:val="24"/>
          <w:szCs w:val="24"/>
        </w:rPr>
        <w:t>dlhodobého nehmotného majetku, pričom sa uvádza doba odpisovania, použité sadzby</w:t>
      </w:r>
      <w:r w:rsidR="002F4F4E">
        <w:rPr>
          <w:rFonts w:ascii="TT1Fo00" w:hAnsi="TT1Fo00" w:cs="TT1Fo00"/>
          <w:sz w:val="24"/>
          <w:szCs w:val="24"/>
        </w:rPr>
        <w:t xml:space="preserve"> </w:t>
      </w:r>
      <w:r>
        <w:rPr>
          <w:rFonts w:ascii="TT20o00" w:hAnsi="TT20o00" w:cs="TT20o00"/>
          <w:sz w:val="24"/>
          <w:szCs w:val="24"/>
        </w:rPr>
        <w:t xml:space="preserve">odpisov a </w:t>
      </w:r>
      <w:r>
        <w:rPr>
          <w:rFonts w:ascii="TT1Fo00" w:hAnsi="TT1Fo00" w:cs="TT1Fo00"/>
          <w:sz w:val="24"/>
          <w:szCs w:val="24"/>
        </w:rPr>
        <w:t>odpisové metódy pri určení odpisov.</w:t>
      </w:r>
    </w:p>
    <w:p w:rsidR="004331D6" w:rsidRDefault="004331D6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331D6" w:rsidRDefault="004331D6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>Účtovné odpisy sa rovnajú daňovým</w:t>
      </w:r>
      <w:r w:rsidR="004E373F">
        <w:rPr>
          <w:rFonts w:ascii="TT1Fo00" w:hAnsi="TT1Fo00" w:cs="TT1Fo00"/>
          <w:sz w:val="24"/>
          <w:szCs w:val="24"/>
        </w:rPr>
        <w:t xml:space="preserve"> odpisom</w:t>
      </w:r>
      <w:r w:rsidR="004B516B">
        <w:rPr>
          <w:rFonts w:ascii="TT1Fo00" w:hAnsi="TT1Fo00" w:cs="TT1Fo00"/>
          <w:sz w:val="24"/>
          <w:szCs w:val="24"/>
        </w:rPr>
        <w:t xml:space="preserve"> /rovnomerná metóda odpisovania/</w:t>
      </w:r>
      <w:r w:rsidR="004E373F">
        <w:rPr>
          <w:rFonts w:ascii="TT1Fo00" w:hAnsi="TT1Fo00" w:cs="TT1Fo00"/>
          <w:sz w:val="24"/>
          <w:szCs w:val="24"/>
        </w:rPr>
        <w:t>.</w:t>
      </w:r>
    </w:p>
    <w:p w:rsidR="00155186" w:rsidRDefault="00155186" w:rsidP="00A1748C">
      <w:pPr>
        <w:pStyle w:val="Odsekzoznamu"/>
        <w:autoSpaceDE w:val="0"/>
        <w:autoSpaceDN w:val="0"/>
        <w:adjustRightInd w:val="0"/>
        <w:spacing w:after="0" w:line="240" w:lineRule="auto"/>
        <w:ind w:left="1824"/>
        <w:jc w:val="both"/>
        <w:rPr>
          <w:rFonts w:ascii="TT1Fo00" w:hAnsi="TT1Fo00" w:cs="TT1Fo00"/>
          <w:sz w:val="24"/>
          <w:szCs w:val="24"/>
        </w:rPr>
      </w:pPr>
    </w:p>
    <w:p w:rsidR="009E5A39" w:rsidRDefault="009E5A39" w:rsidP="0010421B">
      <w:pPr>
        <w:autoSpaceDE w:val="0"/>
        <w:autoSpaceDN w:val="0"/>
        <w:adjustRightInd w:val="0"/>
        <w:spacing w:after="0" w:line="240" w:lineRule="auto"/>
        <w:jc w:val="both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 xml:space="preserve"> V roku 201</w:t>
      </w:r>
      <w:r w:rsidR="00A1748C">
        <w:rPr>
          <w:rFonts w:ascii="TT1Fo00" w:hAnsi="TT1Fo00" w:cs="TT1Fo00"/>
          <w:sz w:val="24"/>
          <w:szCs w:val="24"/>
        </w:rPr>
        <w:t>9</w:t>
      </w:r>
      <w:r>
        <w:rPr>
          <w:rFonts w:ascii="TT1Fo00" w:hAnsi="TT1Fo00" w:cs="TT1Fo00"/>
          <w:sz w:val="24"/>
          <w:szCs w:val="24"/>
        </w:rPr>
        <w:t xml:space="preserve"> boli prerušené daňové odpisy</w:t>
      </w:r>
      <w:r w:rsidR="0010421B">
        <w:rPr>
          <w:rFonts w:ascii="TT1Fo00" w:hAnsi="TT1Fo00" w:cs="TT1Fo00"/>
          <w:sz w:val="24"/>
          <w:szCs w:val="24"/>
        </w:rPr>
        <w:t xml:space="preserve"> vo výške 11 393,30 €</w:t>
      </w:r>
      <w:r w:rsidR="00155186">
        <w:rPr>
          <w:rFonts w:ascii="TT1Fo00" w:hAnsi="TT1Fo00" w:cs="TT1Fo00"/>
          <w:sz w:val="24"/>
          <w:szCs w:val="24"/>
        </w:rPr>
        <w:t xml:space="preserve"> u nasledujúceho</w:t>
      </w:r>
      <w:r>
        <w:rPr>
          <w:rFonts w:ascii="TT1Fo00" w:hAnsi="TT1Fo00" w:cs="TT1Fo00"/>
          <w:sz w:val="24"/>
          <w:szCs w:val="24"/>
        </w:rPr>
        <w:t xml:space="preserve"> dlhodo</w:t>
      </w:r>
      <w:r w:rsidR="00155186">
        <w:rPr>
          <w:rFonts w:ascii="TT1Fo00" w:hAnsi="TT1Fo00" w:cs="TT1Fo00"/>
          <w:sz w:val="24"/>
          <w:szCs w:val="24"/>
        </w:rPr>
        <w:t>b</w:t>
      </w:r>
      <w:r>
        <w:rPr>
          <w:rFonts w:ascii="TT1Fo00" w:hAnsi="TT1Fo00" w:cs="TT1Fo00"/>
          <w:sz w:val="24"/>
          <w:szCs w:val="24"/>
        </w:rPr>
        <w:t xml:space="preserve">ého majetku </w:t>
      </w:r>
      <w:r w:rsidR="00155186">
        <w:rPr>
          <w:rFonts w:ascii="TT1Fo00" w:hAnsi="TT1Fo00" w:cs="TT1Fo00"/>
          <w:sz w:val="24"/>
          <w:szCs w:val="24"/>
        </w:rPr>
        <w:t>:</w:t>
      </w:r>
    </w:p>
    <w:p w:rsidR="002F4F4E" w:rsidRDefault="001064A1" w:rsidP="0010421B">
      <w:pPr>
        <w:autoSpaceDE w:val="0"/>
        <w:autoSpaceDN w:val="0"/>
        <w:adjustRightInd w:val="0"/>
        <w:spacing w:after="0" w:line="240" w:lineRule="auto"/>
        <w:jc w:val="both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 xml:space="preserve"> </w:t>
      </w:r>
      <w:r w:rsidR="009B0409">
        <w:rPr>
          <w:rFonts w:ascii="TT1Fo00" w:hAnsi="TT1Fo00" w:cs="TT1Fo00"/>
          <w:sz w:val="24"/>
          <w:szCs w:val="24"/>
        </w:rPr>
        <w:t>Dá</w:t>
      </w:r>
      <w:r w:rsidR="004B516B">
        <w:rPr>
          <w:rFonts w:ascii="TT1Fo00" w:hAnsi="TT1Fo00" w:cs="TT1Fo00"/>
          <w:sz w:val="24"/>
          <w:szCs w:val="24"/>
        </w:rPr>
        <w:t xml:space="preserve">cia </w:t>
      </w:r>
      <w:proofErr w:type="spellStart"/>
      <w:r w:rsidR="004B516B">
        <w:rPr>
          <w:rFonts w:ascii="TT1Fo00" w:hAnsi="TT1Fo00" w:cs="TT1Fo00"/>
          <w:sz w:val="24"/>
          <w:szCs w:val="24"/>
        </w:rPr>
        <w:t>Duster</w:t>
      </w:r>
      <w:proofErr w:type="spellEnd"/>
      <w:r w:rsidR="004B516B">
        <w:rPr>
          <w:rFonts w:ascii="TT1Fo00" w:hAnsi="TT1Fo00" w:cs="TT1Fo00"/>
          <w:sz w:val="24"/>
          <w:szCs w:val="24"/>
        </w:rPr>
        <w:t xml:space="preserve">,  </w:t>
      </w:r>
      <w:r>
        <w:rPr>
          <w:rFonts w:ascii="TT1Fo00" w:hAnsi="TT1Fo00" w:cs="TT1Fo00"/>
          <w:sz w:val="24"/>
          <w:szCs w:val="24"/>
        </w:rPr>
        <w:t>parkovisko,  prípojky</w:t>
      </w:r>
      <w:r w:rsidR="00A1748C">
        <w:rPr>
          <w:rFonts w:ascii="TT1Fo00" w:hAnsi="TT1Fo00" w:cs="TT1Fo00"/>
          <w:sz w:val="24"/>
          <w:szCs w:val="24"/>
        </w:rPr>
        <w:t>, tablet, inžinierske stavby, Opel</w:t>
      </w:r>
      <w:r w:rsidR="00B235EB">
        <w:rPr>
          <w:rFonts w:ascii="TT1Fo00" w:hAnsi="TT1Fo00" w:cs="TT1Fo00"/>
          <w:sz w:val="24"/>
          <w:szCs w:val="24"/>
        </w:rPr>
        <w:t xml:space="preserve"> COMBO</w:t>
      </w:r>
      <w:bookmarkStart w:id="0" w:name="_GoBack"/>
      <w:bookmarkEnd w:id="0"/>
      <w:r w:rsidR="0010421B">
        <w:rPr>
          <w:rFonts w:ascii="TT1Fo00" w:hAnsi="TT1Fo00" w:cs="TT1Fo00"/>
          <w:sz w:val="24"/>
          <w:szCs w:val="24"/>
        </w:rPr>
        <w:t xml:space="preserve">   </w:t>
      </w:r>
    </w:p>
    <w:p w:rsidR="009E5A39" w:rsidRDefault="009E5A39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 xml:space="preserve">   </w:t>
      </w:r>
    </w:p>
    <w:p w:rsidR="00155186" w:rsidRDefault="00155186" w:rsidP="004D044B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1o00" w:hAnsi="TT21o00" w:cs="TT21o00"/>
          <w:sz w:val="24"/>
          <w:szCs w:val="24"/>
        </w:rPr>
      </w:pPr>
      <w:r>
        <w:rPr>
          <w:rFonts w:ascii="TT21o00" w:hAnsi="TT21o00" w:cs="TT21o00"/>
          <w:sz w:val="24"/>
          <w:szCs w:val="24"/>
        </w:rPr>
        <w:t>Čl. III</w:t>
      </w:r>
    </w:p>
    <w:p w:rsidR="004D044B" w:rsidRDefault="004D044B" w:rsidP="004D044B">
      <w:pPr>
        <w:autoSpaceDE w:val="0"/>
        <w:autoSpaceDN w:val="0"/>
        <w:adjustRightInd w:val="0"/>
        <w:spacing w:after="0" w:line="240" w:lineRule="auto"/>
        <w:rPr>
          <w:rFonts w:ascii="TT21o00" w:hAnsi="TT21o00" w:cs="TT21o00"/>
          <w:sz w:val="24"/>
          <w:szCs w:val="24"/>
        </w:rPr>
      </w:pPr>
      <w:r>
        <w:rPr>
          <w:rFonts w:ascii="TT21o00" w:hAnsi="TT21o00" w:cs="TT21o00"/>
          <w:sz w:val="24"/>
          <w:szCs w:val="24"/>
        </w:rPr>
        <w:t>Informácie, ktoré vysvetľujú a dopĺňajú súvahu a výkaz ziskov a strát</w:t>
      </w:r>
    </w:p>
    <w:p w:rsidR="004D044B" w:rsidRDefault="004D044B" w:rsidP="004331D6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 w:rsidRPr="004331D6">
        <w:rPr>
          <w:rFonts w:ascii="TT1Fo00" w:hAnsi="TT1Fo00" w:cs="TT1Fo00"/>
          <w:sz w:val="24"/>
          <w:szCs w:val="24"/>
        </w:rPr>
        <w:t xml:space="preserve">Informácia </w:t>
      </w:r>
      <w:r w:rsidRPr="004331D6">
        <w:rPr>
          <w:rFonts w:ascii="TT20o00" w:hAnsi="TT20o00" w:cs="TT20o00"/>
          <w:sz w:val="24"/>
          <w:szCs w:val="24"/>
        </w:rPr>
        <w:t xml:space="preserve">o sume a </w:t>
      </w:r>
      <w:r w:rsidRPr="004331D6">
        <w:rPr>
          <w:rFonts w:ascii="TT1Fo00" w:hAnsi="TT1Fo00" w:cs="TT1Fo00"/>
          <w:sz w:val="24"/>
          <w:szCs w:val="24"/>
        </w:rPr>
        <w:t xml:space="preserve">dôvodoch vzniku jednotlivých </w:t>
      </w:r>
      <w:r w:rsidR="004331D6" w:rsidRPr="004331D6">
        <w:rPr>
          <w:rFonts w:ascii="TT1Fo00" w:hAnsi="TT1Fo00" w:cs="TT1Fo00"/>
          <w:sz w:val="24"/>
          <w:szCs w:val="24"/>
        </w:rPr>
        <w:t>položiek nákladov alebo výnosov:</w:t>
      </w:r>
    </w:p>
    <w:p w:rsidR="00C1499B" w:rsidRDefault="00C1499B" w:rsidP="00C1499B">
      <w:pPr>
        <w:pStyle w:val="Odsekzoznamu"/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>Zvýšené náklady na</w:t>
      </w:r>
      <w:r w:rsidR="0033678A">
        <w:rPr>
          <w:rFonts w:ascii="TT1Fo00" w:hAnsi="TT1Fo00" w:cs="TT1Fo00"/>
          <w:sz w:val="24"/>
          <w:szCs w:val="24"/>
        </w:rPr>
        <w:t xml:space="preserve"> finančných účtoch</w:t>
      </w:r>
      <w:r>
        <w:rPr>
          <w:rFonts w:ascii="TT1Fo00" w:hAnsi="TT1Fo00" w:cs="TT1Fo00"/>
          <w:sz w:val="24"/>
          <w:szCs w:val="24"/>
        </w:rPr>
        <w:t xml:space="preserve"> – úrok</w:t>
      </w:r>
      <w:r w:rsidR="0033678A">
        <w:rPr>
          <w:rFonts w:ascii="TT1Fo00" w:hAnsi="TT1Fo00" w:cs="TT1Fo00"/>
          <w:sz w:val="24"/>
          <w:szCs w:val="24"/>
        </w:rPr>
        <w:t>y</w:t>
      </w:r>
      <w:r>
        <w:rPr>
          <w:rFonts w:ascii="TT1Fo00" w:hAnsi="TT1Fo00" w:cs="TT1Fo00"/>
          <w:sz w:val="24"/>
          <w:szCs w:val="24"/>
        </w:rPr>
        <w:t xml:space="preserve"> </w:t>
      </w:r>
      <w:r w:rsidR="00155186">
        <w:rPr>
          <w:rFonts w:ascii="TT1Fo00" w:hAnsi="TT1Fo00" w:cs="TT1Fo00"/>
          <w:sz w:val="24"/>
          <w:szCs w:val="24"/>
        </w:rPr>
        <w:t>z</w:t>
      </w:r>
      <w:r w:rsidR="009B0409">
        <w:rPr>
          <w:rFonts w:ascii="TT1Fo00" w:hAnsi="TT1Fo00" w:cs="TT1Fo00"/>
          <w:sz w:val="24"/>
          <w:szCs w:val="24"/>
        </w:rPr>
        <w:t xml:space="preserve"> dlhodobého</w:t>
      </w:r>
      <w:r w:rsidR="0033678A">
        <w:rPr>
          <w:rFonts w:ascii="TT1Fo00" w:hAnsi="TT1Fo00" w:cs="TT1Fo00"/>
          <w:sz w:val="24"/>
          <w:szCs w:val="24"/>
        </w:rPr>
        <w:t xml:space="preserve"> úveru.</w:t>
      </w:r>
    </w:p>
    <w:p w:rsidR="004331D6" w:rsidRDefault="004331D6" w:rsidP="004331D6">
      <w:pPr>
        <w:pStyle w:val="Odsekzoznamu"/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D044B" w:rsidRPr="001064A1" w:rsidRDefault="004D044B" w:rsidP="00C1499B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T20o00" w:hAnsi="TT20o00" w:cs="TT20o00"/>
          <w:sz w:val="24"/>
          <w:szCs w:val="24"/>
        </w:rPr>
      </w:pPr>
      <w:r w:rsidRPr="00C1499B">
        <w:rPr>
          <w:rFonts w:ascii="TT1Fo00" w:hAnsi="TT1Fo00" w:cs="TT1Fo00"/>
          <w:sz w:val="24"/>
          <w:szCs w:val="24"/>
        </w:rPr>
        <w:t xml:space="preserve">Informácie </w:t>
      </w:r>
      <w:r w:rsidRPr="00C1499B">
        <w:rPr>
          <w:rFonts w:ascii="TT20o00" w:hAnsi="TT20o00" w:cs="TT20o00"/>
          <w:sz w:val="24"/>
          <w:szCs w:val="24"/>
        </w:rPr>
        <w:t>o</w:t>
      </w:r>
      <w:r w:rsidR="004E373F">
        <w:rPr>
          <w:rFonts w:ascii="TT20o00" w:hAnsi="TT20o00" w:cs="TT20o00"/>
          <w:sz w:val="24"/>
          <w:szCs w:val="24"/>
        </w:rPr>
        <w:t> </w:t>
      </w:r>
      <w:r w:rsidRPr="00C1499B">
        <w:rPr>
          <w:rFonts w:ascii="TT1Fo00" w:hAnsi="TT1Fo00" w:cs="TT1Fo00"/>
          <w:sz w:val="24"/>
          <w:szCs w:val="24"/>
        </w:rPr>
        <w:t>záväzkoch</w:t>
      </w:r>
      <w:r w:rsidR="004E373F">
        <w:rPr>
          <w:rFonts w:ascii="TT1Fo00" w:hAnsi="TT1Fo00" w:cs="TT1Fo00"/>
          <w:sz w:val="24"/>
          <w:szCs w:val="24"/>
        </w:rPr>
        <w:t xml:space="preserve"> :</w:t>
      </w:r>
    </w:p>
    <w:p w:rsidR="001064A1" w:rsidRPr="00C1499B" w:rsidRDefault="001064A1" w:rsidP="001064A1">
      <w:pPr>
        <w:pStyle w:val="Odsekzoznamu"/>
        <w:autoSpaceDE w:val="0"/>
        <w:autoSpaceDN w:val="0"/>
        <w:adjustRightInd w:val="0"/>
        <w:spacing w:after="0" w:line="240" w:lineRule="auto"/>
        <w:rPr>
          <w:rFonts w:ascii="TT20o00" w:hAnsi="TT20o00" w:cs="TT20o00"/>
          <w:sz w:val="24"/>
          <w:szCs w:val="24"/>
        </w:rPr>
      </w:pPr>
    </w:p>
    <w:p w:rsidR="004B516B" w:rsidRDefault="004B516B" w:rsidP="00C1499B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 xml:space="preserve">Dlhodobá pôžička – spoločníci </w:t>
      </w:r>
      <w:r w:rsidR="00A1748C">
        <w:rPr>
          <w:rFonts w:ascii="TT1Fo00" w:hAnsi="TT1Fo00" w:cs="TT1Fo00"/>
          <w:sz w:val="24"/>
          <w:szCs w:val="24"/>
        </w:rPr>
        <w:t>60 0</w:t>
      </w:r>
      <w:r>
        <w:rPr>
          <w:rFonts w:ascii="TT1Fo00" w:hAnsi="TT1Fo00" w:cs="TT1Fo00"/>
          <w:sz w:val="24"/>
          <w:szCs w:val="24"/>
        </w:rPr>
        <w:t>00 €</w:t>
      </w:r>
    </w:p>
    <w:p w:rsidR="004D044B" w:rsidRDefault="004D044B" w:rsidP="00C1499B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 w:rsidRPr="00C1499B">
        <w:rPr>
          <w:rFonts w:ascii="TT1Fo00" w:hAnsi="TT1Fo00" w:cs="TT1Fo00"/>
          <w:sz w:val="24"/>
          <w:szCs w:val="24"/>
        </w:rPr>
        <w:t>záväzk</w:t>
      </w:r>
      <w:r w:rsidR="00155186">
        <w:rPr>
          <w:rFonts w:ascii="TT1Fo00" w:hAnsi="TT1Fo00" w:cs="TT1Fo00"/>
          <w:sz w:val="24"/>
          <w:szCs w:val="24"/>
        </w:rPr>
        <w:t>y</w:t>
      </w:r>
      <w:r w:rsidRPr="00C1499B">
        <w:rPr>
          <w:rFonts w:ascii="TT1Fo00" w:hAnsi="TT1Fo00" w:cs="TT1Fo00"/>
          <w:sz w:val="24"/>
          <w:szCs w:val="24"/>
        </w:rPr>
        <w:t xml:space="preserve"> so zostatkovou dobou splatnosti dlhšou ako </w:t>
      </w:r>
      <w:r w:rsidR="00C1499B" w:rsidRPr="00C1499B">
        <w:rPr>
          <w:rFonts w:ascii="TT1Fo00" w:hAnsi="TT1Fo00" w:cs="TT1Fo00"/>
          <w:sz w:val="24"/>
          <w:szCs w:val="24"/>
        </w:rPr>
        <w:t>päť rokov</w:t>
      </w:r>
    </w:p>
    <w:p w:rsidR="00C1499B" w:rsidRDefault="0010421B" w:rsidP="00C1499B">
      <w:pPr>
        <w:pStyle w:val="Odsekzoznamu"/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lastRenderedPageBreak/>
        <w:t xml:space="preserve">126 971 € – dlhodobý úver </w:t>
      </w:r>
    </w:p>
    <w:p w:rsidR="004E373F" w:rsidRDefault="004E373F" w:rsidP="00C1499B">
      <w:pPr>
        <w:pStyle w:val="Odsekzoznamu"/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p w:rsidR="004D044B" w:rsidRPr="004E373F" w:rsidRDefault="0033678A" w:rsidP="00155186">
      <w:pPr>
        <w:pStyle w:val="Odsekzoznamu"/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 w:rsidRPr="004E373F">
        <w:rPr>
          <w:rFonts w:ascii="TT1Fo00" w:hAnsi="TT1Fo00" w:cs="TT1Fo00"/>
          <w:sz w:val="24"/>
          <w:szCs w:val="24"/>
        </w:rPr>
        <w:t xml:space="preserve"> </w:t>
      </w:r>
      <w:r w:rsidR="004D044B" w:rsidRPr="004E373F">
        <w:rPr>
          <w:rFonts w:ascii="TT1Fo00" w:hAnsi="TT1Fo00" w:cs="TT1Fo00"/>
          <w:sz w:val="24"/>
          <w:szCs w:val="24"/>
        </w:rPr>
        <w:t xml:space="preserve"> </w:t>
      </w:r>
    </w:p>
    <w:p w:rsidR="004E373F" w:rsidRDefault="004E373F" w:rsidP="004E373F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  <w:r>
        <w:rPr>
          <w:rFonts w:ascii="TT1Fo00" w:hAnsi="TT1Fo00" w:cs="TT1Fo00"/>
          <w:sz w:val="24"/>
          <w:szCs w:val="24"/>
        </w:rPr>
        <w:t xml:space="preserve">  </w:t>
      </w:r>
    </w:p>
    <w:p w:rsidR="004E373F" w:rsidRDefault="004E373F" w:rsidP="004E373F">
      <w:pPr>
        <w:autoSpaceDE w:val="0"/>
        <w:autoSpaceDN w:val="0"/>
        <w:adjustRightInd w:val="0"/>
        <w:spacing w:after="0" w:line="240" w:lineRule="auto"/>
        <w:rPr>
          <w:rFonts w:ascii="TT1Fo00" w:hAnsi="TT1Fo00" w:cs="TT1Fo00"/>
          <w:sz w:val="24"/>
          <w:szCs w:val="24"/>
        </w:rPr>
      </w:pPr>
    </w:p>
    <w:sectPr w:rsidR="004E3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T20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T1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T21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16CCE"/>
    <w:multiLevelType w:val="hybridMultilevel"/>
    <w:tmpl w:val="9D9842FC"/>
    <w:lvl w:ilvl="0" w:tplc="F74EFAF8">
      <w:start w:val="1"/>
      <w:numFmt w:val="decimal"/>
      <w:lvlText w:val="(%1)"/>
      <w:lvlJc w:val="left"/>
      <w:pPr>
        <w:ind w:left="720" w:hanging="360"/>
      </w:pPr>
      <w:rPr>
        <w:rFonts w:ascii="TT20o00" w:hAnsi="TT20o00" w:cs="TT20o00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87FB1"/>
    <w:multiLevelType w:val="hybridMultilevel"/>
    <w:tmpl w:val="14CC556E"/>
    <w:lvl w:ilvl="0" w:tplc="947CC092">
      <w:start w:val="1"/>
      <w:numFmt w:val="lowerLetter"/>
      <w:lvlText w:val="%1)"/>
      <w:lvlJc w:val="left"/>
      <w:pPr>
        <w:ind w:left="720" w:hanging="360"/>
      </w:pPr>
      <w:rPr>
        <w:rFonts w:ascii="TT20o00" w:hAnsi="TT20o00" w:cs="TT20o00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656D4"/>
    <w:multiLevelType w:val="hybridMultilevel"/>
    <w:tmpl w:val="84483D5E"/>
    <w:lvl w:ilvl="0" w:tplc="B5F64230">
      <w:start w:val="5"/>
      <w:numFmt w:val="bullet"/>
      <w:lvlText w:val="-"/>
      <w:lvlJc w:val="left"/>
      <w:pPr>
        <w:ind w:left="1824" w:hanging="360"/>
      </w:pPr>
      <w:rPr>
        <w:rFonts w:ascii="TT1Fo00" w:eastAsiaTheme="minorHAnsi" w:hAnsi="TT1Fo00" w:cs="TT1Fo00" w:hint="default"/>
      </w:rPr>
    </w:lvl>
    <w:lvl w:ilvl="1" w:tplc="041B0003" w:tentative="1">
      <w:start w:val="1"/>
      <w:numFmt w:val="bullet"/>
      <w:lvlText w:val="o"/>
      <w:lvlJc w:val="left"/>
      <w:pPr>
        <w:ind w:left="25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84" w:hanging="360"/>
      </w:pPr>
      <w:rPr>
        <w:rFonts w:ascii="Wingdings" w:hAnsi="Wingdings" w:hint="default"/>
      </w:rPr>
    </w:lvl>
  </w:abstractNum>
  <w:abstractNum w:abstractNumId="3" w15:restartNumberingAfterBreak="0">
    <w:nsid w:val="130D021B"/>
    <w:multiLevelType w:val="hybridMultilevel"/>
    <w:tmpl w:val="5F06D73E"/>
    <w:lvl w:ilvl="0" w:tplc="AA867E78">
      <w:start w:val="5"/>
      <w:numFmt w:val="bullet"/>
      <w:lvlText w:val="-"/>
      <w:lvlJc w:val="left"/>
      <w:pPr>
        <w:ind w:left="720" w:hanging="360"/>
      </w:pPr>
      <w:rPr>
        <w:rFonts w:ascii="TT1Fo00" w:eastAsiaTheme="minorHAnsi" w:hAnsi="TT1Fo00" w:cs="TT1Fo00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7C701C"/>
    <w:multiLevelType w:val="hybridMultilevel"/>
    <w:tmpl w:val="499C51B8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5" w15:restartNumberingAfterBreak="0">
    <w:nsid w:val="468341B7"/>
    <w:multiLevelType w:val="hybridMultilevel"/>
    <w:tmpl w:val="967E028E"/>
    <w:lvl w:ilvl="0" w:tplc="041B0001">
      <w:start w:val="1"/>
      <w:numFmt w:val="bullet"/>
      <w:lvlText w:val=""/>
      <w:lvlJc w:val="left"/>
      <w:pPr>
        <w:ind w:left="21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8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44B"/>
    <w:rsid w:val="0010421B"/>
    <w:rsid w:val="001064A1"/>
    <w:rsid w:val="00155186"/>
    <w:rsid w:val="002573D4"/>
    <w:rsid w:val="002F4F4E"/>
    <w:rsid w:val="0033678A"/>
    <w:rsid w:val="004331D6"/>
    <w:rsid w:val="004B516B"/>
    <w:rsid w:val="004D044B"/>
    <w:rsid w:val="004E373F"/>
    <w:rsid w:val="00594981"/>
    <w:rsid w:val="006012A6"/>
    <w:rsid w:val="009B0409"/>
    <w:rsid w:val="009E5A39"/>
    <w:rsid w:val="00A1748C"/>
    <w:rsid w:val="00AF7D5E"/>
    <w:rsid w:val="00B235EB"/>
    <w:rsid w:val="00C1499B"/>
    <w:rsid w:val="00EB2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B197E5-25A7-4B1E-8085-FC3777FDC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31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071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cp:lastPrinted>2016-03-18T11:44:00Z</cp:lastPrinted>
  <dcterms:created xsi:type="dcterms:W3CDTF">2020-03-26T08:13:00Z</dcterms:created>
  <dcterms:modified xsi:type="dcterms:W3CDTF">2020-03-26T08:13:00Z</dcterms:modified>
</cp:coreProperties>
</file>