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1735B6" w:rsidRDefault="0056047F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6"/>
        </w:rPr>
      </w:pPr>
      <w:r>
        <w:rPr>
          <w:rFonts w:ascii="Times New Roman" w:eastAsia="Times New Roman" w:hAnsi="Times New Roman" w:cs="Times New Roman"/>
          <w:b/>
          <w:sz w:val="36"/>
        </w:rPr>
        <w:t>Poznámky k 31.12.20</w:t>
      </w:r>
      <w:r w:rsidR="00863AF0">
        <w:rPr>
          <w:rFonts w:ascii="Times New Roman" w:eastAsia="Times New Roman" w:hAnsi="Times New Roman" w:cs="Times New Roman"/>
          <w:b/>
          <w:sz w:val="36"/>
        </w:rPr>
        <w:t>19</w:t>
      </w:r>
    </w:p>
    <w:p w:rsidR="001735B6" w:rsidRDefault="001735B6">
      <w:pPr>
        <w:spacing w:after="0" w:line="240" w:lineRule="auto"/>
        <w:rPr>
          <w:rFonts w:ascii="Times New Roman" w:eastAsia="Times New Roman" w:hAnsi="Times New Roman" w:cs="Times New Roman"/>
          <w:b/>
          <w:sz w:val="44"/>
          <w:u w:val="single"/>
        </w:rPr>
      </w:pPr>
    </w:p>
    <w:p w:rsidR="001735B6" w:rsidRDefault="0056047F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</w:rPr>
      </w:pPr>
      <w:r>
        <w:rPr>
          <w:rFonts w:ascii="Times New Roman" w:eastAsia="Times New Roman" w:hAnsi="Times New Roman" w:cs="Times New Roman"/>
          <w:b/>
          <w:sz w:val="28"/>
        </w:rPr>
        <w:t>Čl. I</w:t>
      </w:r>
    </w:p>
    <w:p w:rsidR="001735B6" w:rsidRDefault="0056047F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</w:rPr>
      </w:pPr>
      <w:r>
        <w:rPr>
          <w:rFonts w:ascii="Times New Roman" w:eastAsia="Times New Roman" w:hAnsi="Times New Roman" w:cs="Times New Roman"/>
          <w:b/>
          <w:sz w:val="28"/>
        </w:rPr>
        <w:t>Všeobecné údaje</w:t>
      </w:r>
    </w:p>
    <w:p w:rsidR="001735B6" w:rsidRDefault="001735B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</w:rPr>
      </w:pPr>
    </w:p>
    <w:p w:rsidR="001735B6" w:rsidRDefault="0056047F">
      <w:pPr>
        <w:numPr>
          <w:ilvl w:val="0"/>
          <w:numId w:val="1"/>
        </w:numPr>
        <w:tabs>
          <w:tab w:val="left" w:pos="720"/>
        </w:tabs>
        <w:spacing w:after="0" w:line="240" w:lineRule="auto"/>
        <w:ind w:left="360" w:hanging="360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>Identifikačné údaje účtovnej jednotky a informácie o činnosti účtovnej jednotky</w:t>
      </w:r>
    </w:p>
    <w:p w:rsidR="001735B6" w:rsidRDefault="001735B6">
      <w:pPr>
        <w:spacing w:after="0" w:line="240" w:lineRule="auto"/>
        <w:rPr>
          <w:rFonts w:ascii="Times New Roman" w:eastAsia="Times New Roman" w:hAnsi="Times New Roman" w:cs="Times New Roman"/>
          <w:b/>
          <w:sz w:val="24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266"/>
        <w:gridCol w:w="4688"/>
      </w:tblGrid>
      <w:tr w:rsidR="001735B6">
        <w:trPr>
          <w:trHeight w:val="1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1735B6" w:rsidRDefault="0056047F">
            <w:pPr>
              <w:spacing w:after="0" w:line="360" w:lineRule="auto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Názov účtovnej jednotky</w:t>
            </w:r>
          </w:p>
        </w:tc>
        <w:tc>
          <w:tcPr>
            <w:tcW w:w="5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1735B6" w:rsidRDefault="0056047F">
            <w:pPr>
              <w:spacing w:after="0" w:line="36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>Základná škola</w:t>
            </w:r>
          </w:p>
        </w:tc>
      </w:tr>
      <w:tr w:rsidR="001735B6">
        <w:trPr>
          <w:trHeight w:val="1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1735B6" w:rsidRDefault="0056047F">
            <w:pPr>
              <w:spacing w:after="0" w:line="360" w:lineRule="auto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Sídlo účtovnej jednotky</w:t>
            </w:r>
          </w:p>
        </w:tc>
        <w:tc>
          <w:tcPr>
            <w:tcW w:w="5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1735B6" w:rsidRDefault="0056047F">
            <w:pPr>
              <w:spacing w:after="0" w:line="360" w:lineRule="auto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Starohorská 8, 946 56 Dulovce</w:t>
            </w:r>
          </w:p>
        </w:tc>
      </w:tr>
      <w:tr w:rsidR="001735B6">
        <w:trPr>
          <w:trHeight w:val="1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1735B6" w:rsidRDefault="0056047F">
            <w:pPr>
              <w:spacing w:after="0" w:line="360" w:lineRule="auto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 xml:space="preserve">Dátum založenia/zriadenia </w:t>
            </w:r>
          </w:p>
        </w:tc>
        <w:tc>
          <w:tcPr>
            <w:tcW w:w="5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1735B6" w:rsidRDefault="0056047F">
            <w:pPr>
              <w:spacing w:after="0" w:line="360" w:lineRule="auto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1.7.2002</w:t>
            </w:r>
          </w:p>
        </w:tc>
      </w:tr>
      <w:tr w:rsidR="001735B6">
        <w:trPr>
          <w:trHeight w:val="1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1735B6" w:rsidRDefault="0056047F">
            <w:pPr>
              <w:spacing w:after="0" w:line="360" w:lineRule="auto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Spôsob založenia/zriadenia</w:t>
            </w:r>
          </w:p>
        </w:tc>
        <w:tc>
          <w:tcPr>
            <w:tcW w:w="5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1735B6" w:rsidRDefault="0056047F">
            <w:pPr>
              <w:spacing w:after="0" w:line="360" w:lineRule="auto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Zriaďovacia listina</w:t>
            </w:r>
          </w:p>
        </w:tc>
      </w:tr>
      <w:tr w:rsidR="001735B6">
        <w:trPr>
          <w:trHeight w:val="1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1735B6" w:rsidRDefault="0056047F">
            <w:pPr>
              <w:spacing w:after="0" w:line="360" w:lineRule="auto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Názov zriaďovateľa</w:t>
            </w:r>
          </w:p>
        </w:tc>
        <w:tc>
          <w:tcPr>
            <w:tcW w:w="5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1735B6" w:rsidRDefault="0056047F">
            <w:pPr>
              <w:spacing w:after="0" w:line="360" w:lineRule="auto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Obecný úrad Dulovce</w:t>
            </w:r>
          </w:p>
        </w:tc>
      </w:tr>
      <w:tr w:rsidR="001735B6">
        <w:trPr>
          <w:trHeight w:val="1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1735B6" w:rsidRDefault="0056047F">
            <w:pPr>
              <w:spacing w:after="0" w:line="360" w:lineRule="auto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Sídlo zriaďovateľa</w:t>
            </w:r>
          </w:p>
        </w:tc>
        <w:tc>
          <w:tcPr>
            <w:tcW w:w="5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1735B6" w:rsidRDefault="0056047F">
            <w:pPr>
              <w:spacing w:after="0" w:line="360" w:lineRule="auto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 xml:space="preserve"> Dulovce</w:t>
            </w:r>
          </w:p>
        </w:tc>
      </w:tr>
      <w:tr w:rsidR="001735B6">
        <w:trPr>
          <w:trHeight w:val="1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1735B6" w:rsidRDefault="0056047F">
            <w:pPr>
              <w:spacing w:after="0" w:line="360" w:lineRule="auto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IČO</w:t>
            </w:r>
          </w:p>
        </w:tc>
        <w:tc>
          <w:tcPr>
            <w:tcW w:w="5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1735B6" w:rsidRDefault="0056047F">
            <w:pPr>
              <w:spacing w:after="0" w:line="360" w:lineRule="auto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37861255</w:t>
            </w:r>
          </w:p>
        </w:tc>
      </w:tr>
      <w:tr w:rsidR="001735B6">
        <w:trPr>
          <w:trHeight w:val="1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1735B6" w:rsidRDefault="0056047F">
            <w:pPr>
              <w:spacing w:after="0" w:line="360" w:lineRule="auto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DIČ</w:t>
            </w:r>
          </w:p>
        </w:tc>
        <w:tc>
          <w:tcPr>
            <w:tcW w:w="5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1735B6" w:rsidRDefault="0056047F">
            <w:pPr>
              <w:spacing w:after="0" w:line="360" w:lineRule="auto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2021908603</w:t>
            </w:r>
          </w:p>
        </w:tc>
      </w:tr>
      <w:tr w:rsidR="001735B6">
        <w:trPr>
          <w:trHeight w:val="1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1735B6" w:rsidRDefault="0056047F">
            <w:pPr>
              <w:spacing w:after="0" w:line="360" w:lineRule="auto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Hlavná činnosť účtovnej jednotky</w:t>
            </w:r>
          </w:p>
        </w:tc>
        <w:tc>
          <w:tcPr>
            <w:tcW w:w="5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1735B6" w:rsidRDefault="0056047F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</w:rPr>
              <w:t>Základné školstvo</w:t>
            </w:r>
          </w:p>
        </w:tc>
      </w:tr>
      <w:tr w:rsidR="001735B6">
        <w:trPr>
          <w:trHeight w:val="1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1735B6" w:rsidRDefault="0056047F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 xml:space="preserve">Právny dôvod na zostavenie účtovnej závierky </w:t>
            </w:r>
          </w:p>
        </w:tc>
        <w:tc>
          <w:tcPr>
            <w:tcW w:w="5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1735B6" w:rsidRDefault="0056047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</w:rPr>
            </w:pPr>
            <w:r>
              <w:rPr>
                <w:rFonts w:ascii="Times New Roman" w:eastAsia="Times New Roman" w:hAnsi="Times New Roman" w:cs="Times New Roman"/>
                <w:b/>
              </w:rPr>
              <w:t>x</w:t>
            </w:r>
            <w:r>
              <w:rPr>
                <w:rFonts w:ascii="Times New Roman" w:eastAsia="Times New Roman" w:hAnsi="Times New Roman" w:cs="Times New Roman"/>
                <w:b/>
                <w:sz w:val="24"/>
              </w:rPr>
              <w:t xml:space="preserve">    </w:t>
            </w:r>
            <w:r>
              <w:rPr>
                <w:rFonts w:ascii="Times New Roman" w:eastAsia="Times New Roman" w:hAnsi="Times New Roman" w:cs="Times New Roman"/>
                <w:sz w:val="24"/>
              </w:rPr>
              <w:t>riadna</w:t>
            </w:r>
          </w:p>
          <w:p w:rsidR="001735B6" w:rsidRDefault="001735B6">
            <w:pPr>
              <w:spacing w:after="0" w:line="240" w:lineRule="auto"/>
            </w:pPr>
          </w:p>
        </w:tc>
      </w:tr>
      <w:tr w:rsidR="001735B6">
        <w:trPr>
          <w:trHeight w:val="1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1735B6" w:rsidRDefault="0056047F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Iné všeobecné údaje napr. obec uvedie počet obyvateľov; ZŠ uvedie počet žiakov, DD uvedie počet klientov atď.</w:t>
            </w:r>
          </w:p>
        </w:tc>
        <w:tc>
          <w:tcPr>
            <w:tcW w:w="5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735B6" w:rsidRDefault="0056047F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97</w:t>
            </w:r>
          </w:p>
        </w:tc>
      </w:tr>
    </w:tbl>
    <w:p w:rsidR="001735B6" w:rsidRDefault="001735B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</w:rPr>
      </w:pPr>
    </w:p>
    <w:p w:rsidR="001735B6" w:rsidRDefault="0056047F">
      <w:pPr>
        <w:numPr>
          <w:ilvl w:val="0"/>
          <w:numId w:val="2"/>
        </w:numPr>
        <w:tabs>
          <w:tab w:val="left" w:pos="720"/>
        </w:tabs>
        <w:spacing w:after="0" w:line="240" w:lineRule="auto"/>
        <w:ind w:left="360" w:hanging="360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 xml:space="preserve">Informácie o vedúcich predstaviteľoch a o organizačnej štruktúre účtovnej jednotky </w:t>
      </w:r>
    </w:p>
    <w:p w:rsidR="001735B6" w:rsidRDefault="001735B6">
      <w:pPr>
        <w:spacing w:after="0" w:line="240" w:lineRule="auto"/>
        <w:rPr>
          <w:rFonts w:ascii="Times New Roman" w:eastAsia="Times New Roman" w:hAnsi="Times New Roman" w:cs="Times New Roman"/>
          <w:b/>
          <w:sz w:val="24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211"/>
        <w:gridCol w:w="4743"/>
      </w:tblGrid>
      <w:tr w:rsidR="001735B6">
        <w:trPr>
          <w:trHeight w:val="1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1735B6" w:rsidRDefault="0056047F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Štatutárny orgán /meno a priezvisko/</w:t>
            </w:r>
          </w:p>
        </w:tc>
        <w:tc>
          <w:tcPr>
            <w:tcW w:w="5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1735B6" w:rsidRDefault="0056047F">
            <w:pPr>
              <w:spacing w:after="0" w:line="36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>Ing. Beáta Szabóová</w:t>
            </w:r>
          </w:p>
        </w:tc>
      </w:tr>
      <w:tr w:rsidR="001735B6">
        <w:trPr>
          <w:trHeight w:val="1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1735B6" w:rsidRDefault="0056047F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Zástupca štatutárneho orgánu /meno a priezvisko/</w:t>
            </w:r>
          </w:p>
        </w:tc>
        <w:tc>
          <w:tcPr>
            <w:tcW w:w="5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1735B6" w:rsidRDefault="0056047F">
            <w:pPr>
              <w:spacing w:after="0" w:line="360" w:lineRule="auto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 xml:space="preserve">Mgr. </w:t>
            </w:r>
            <w:r w:rsidR="00D45ABD">
              <w:rPr>
                <w:rFonts w:ascii="Times New Roman" w:eastAsia="Times New Roman" w:hAnsi="Times New Roman" w:cs="Times New Roman"/>
                <w:b/>
                <w:sz w:val="24"/>
              </w:rPr>
              <w:t>Miriam Horváthová</w:t>
            </w:r>
          </w:p>
        </w:tc>
      </w:tr>
      <w:tr w:rsidR="001735B6">
        <w:trPr>
          <w:trHeight w:val="1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1735B6" w:rsidRDefault="0056047F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Priemerný počet zamestnancov počas účtovného obdobia</w:t>
            </w:r>
          </w:p>
        </w:tc>
        <w:tc>
          <w:tcPr>
            <w:tcW w:w="5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735B6" w:rsidRDefault="0056047F">
            <w:pPr>
              <w:spacing w:after="0" w:line="36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18</w:t>
            </w:r>
          </w:p>
        </w:tc>
      </w:tr>
      <w:tr w:rsidR="001735B6">
        <w:trPr>
          <w:trHeight w:val="1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1735B6" w:rsidRDefault="0056047F">
            <w:pPr>
              <w:spacing w:after="0" w:line="360" w:lineRule="auto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 xml:space="preserve">Počet riadiacich zamestnancov </w:t>
            </w:r>
          </w:p>
        </w:tc>
        <w:tc>
          <w:tcPr>
            <w:tcW w:w="5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735B6" w:rsidRDefault="0056047F">
            <w:pPr>
              <w:spacing w:after="0" w:line="36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2</w:t>
            </w:r>
          </w:p>
        </w:tc>
      </w:tr>
      <w:tr w:rsidR="001735B6">
        <w:trPr>
          <w:trHeight w:val="1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1735B6" w:rsidRDefault="0056047F">
            <w:pPr>
              <w:spacing w:after="0" w:line="360" w:lineRule="auto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 xml:space="preserve">Organizačné členenie účtovnej jednotky </w:t>
            </w:r>
          </w:p>
        </w:tc>
        <w:tc>
          <w:tcPr>
            <w:tcW w:w="5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1735B6" w:rsidRDefault="001735B6">
            <w:pPr>
              <w:spacing w:after="0" w:line="360" w:lineRule="auto"/>
              <w:rPr>
                <w:rFonts w:ascii="Calibri" w:eastAsia="Calibri" w:hAnsi="Calibri" w:cs="Calibri"/>
              </w:rPr>
            </w:pPr>
          </w:p>
        </w:tc>
      </w:tr>
    </w:tbl>
    <w:p w:rsidR="001735B6" w:rsidRDefault="001735B6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</w:rPr>
      </w:pPr>
    </w:p>
    <w:p w:rsidR="001735B6" w:rsidRDefault="0056047F">
      <w:pPr>
        <w:numPr>
          <w:ilvl w:val="0"/>
          <w:numId w:val="3"/>
        </w:numPr>
        <w:tabs>
          <w:tab w:val="left" w:pos="720"/>
        </w:tabs>
        <w:spacing w:after="0" w:line="240" w:lineRule="auto"/>
        <w:ind w:left="360" w:hanging="360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 xml:space="preserve">Informácie o organizáciách v zriaďovateľskej pôsobnosti účtovnej jednotky </w:t>
      </w:r>
    </w:p>
    <w:p w:rsidR="001735B6" w:rsidRDefault="001735B6">
      <w:pPr>
        <w:spacing w:after="0" w:line="240" w:lineRule="auto"/>
        <w:ind w:left="360"/>
        <w:rPr>
          <w:rFonts w:ascii="Times New Roman" w:eastAsia="Times New Roman" w:hAnsi="Times New Roman" w:cs="Times New Roman"/>
          <w:b/>
          <w:sz w:val="24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241"/>
        <w:gridCol w:w="4713"/>
      </w:tblGrid>
      <w:tr w:rsidR="001735B6">
        <w:trPr>
          <w:trHeight w:val="1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1735B6" w:rsidRDefault="001735B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5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1735B6" w:rsidRDefault="0056047F">
            <w:pPr>
              <w:spacing w:after="0" w:line="36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Počet</w:t>
            </w:r>
          </w:p>
        </w:tc>
      </w:tr>
      <w:tr w:rsidR="001735B6">
        <w:trPr>
          <w:trHeight w:val="1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1735B6" w:rsidRDefault="0056047F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 xml:space="preserve">Rozpočtové organizácie zriadené účtovnou jednotkou </w:t>
            </w:r>
          </w:p>
        </w:tc>
        <w:tc>
          <w:tcPr>
            <w:tcW w:w="5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1735B6" w:rsidRDefault="001735B6">
            <w:pPr>
              <w:spacing w:after="0" w:line="360" w:lineRule="auto"/>
              <w:rPr>
                <w:rFonts w:ascii="Calibri" w:eastAsia="Calibri" w:hAnsi="Calibri" w:cs="Calibri"/>
              </w:rPr>
            </w:pPr>
          </w:p>
        </w:tc>
      </w:tr>
      <w:tr w:rsidR="001735B6">
        <w:trPr>
          <w:trHeight w:val="1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1735B6" w:rsidRDefault="0056047F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 xml:space="preserve">Príspevkové organizácie zriadené účtovnou jednotkou </w:t>
            </w:r>
          </w:p>
        </w:tc>
        <w:tc>
          <w:tcPr>
            <w:tcW w:w="5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1735B6" w:rsidRDefault="001735B6">
            <w:pPr>
              <w:spacing w:after="0" w:line="360" w:lineRule="auto"/>
              <w:rPr>
                <w:rFonts w:ascii="Calibri" w:eastAsia="Calibri" w:hAnsi="Calibri" w:cs="Calibri"/>
              </w:rPr>
            </w:pPr>
          </w:p>
        </w:tc>
      </w:tr>
      <w:tr w:rsidR="001735B6">
        <w:trPr>
          <w:trHeight w:val="1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1735B6" w:rsidRDefault="0056047F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lastRenderedPageBreak/>
              <w:t xml:space="preserve">Iné právnické osoby založené účtovnou jednotkou </w:t>
            </w:r>
          </w:p>
        </w:tc>
        <w:tc>
          <w:tcPr>
            <w:tcW w:w="5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1735B6" w:rsidRDefault="001735B6">
            <w:pPr>
              <w:spacing w:after="0" w:line="360" w:lineRule="auto"/>
              <w:rPr>
                <w:rFonts w:ascii="Calibri" w:eastAsia="Calibri" w:hAnsi="Calibri" w:cs="Calibri"/>
              </w:rPr>
            </w:pPr>
          </w:p>
        </w:tc>
      </w:tr>
    </w:tbl>
    <w:p w:rsidR="001735B6" w:rsidRDefault="001735B6">
      <w:pPr>
        <w:spacing w:after="0" w:line="240" w:lineRule="auto"/>
        <w:rPr>
          <w:rFonts w:ascii="Times New Roman" w:eastAsia="Times New Roman" w:hAnsi="Times New Roman" w:cs="Times New Roman"/>
        </w:rPr>
      </w:pPr>
    </w:p>
    <w:p w:rsidR="001735B6" w:rsidRDefault="001735B6">
      <w:pPr>
        <w:spacing w:after="0" w:line="240" w:lineRule="auto"/>
        <w:rPr>
          <w:rFonts w:ascii="Times New Roman" w:eastAsia="Times New Roman" w:hAnsi="Times New Roman" w:cs="Times New Roman"/>
        </w:rPr>
      </w:pPr>
    </w:p>
    <w:p w:rsidR="001735B6" w:rsidRDefault="0056047F">
      <w:pPr>
        <w:spacing w:after="0" w:line="240" w:lineRule="auto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 </w:t>
      </w:r>
    </w:p>
    <w:p w:rsidR="001735B6" w:rsidRDefault="001735B6">
      <w:pPr>
        <w:spacing w:after="0" w:line="240" w:lineRule="auto"/>
        <w:rPr>
          <w:rFonts w:ascii="Times New Roman" w:eastAsia="Times New Roman" w:hAnsi="Times New Roman" w:cs="Times New Roman"/>
        </w:rPr>
      </w:pPr>
    </w:p>
    <w:p w:rsidR="001735B6" w:rsidRDefault="001735B6">
      <w:pPr>
        <w:tabs>
          <w:tab w:val="left" w:pos="3270"/>
        </w:tabs>
        <w:spacing w:after="0" w:line="240" w:lineRule="auto"/>
        <w:rPr>
          <w:rFonts w:ascii="Times New Roman" w:eastAsia="Times New Roman" w:hAnsi="Times New Roman" w:cs="Times New Roman"/>
        </w:rPr>
      </w:pPr>
    </w:p>
    <w:p w:rsidR="001735B6" w:rsidRDefault="0056047F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</w:rPr>
      </w:pPr>
      <w:r>
        <w:rPr>
          <w:rFonts w:ascii="Times New Roman" w:eastAsia="Times New Roman" w:hAnsi="Times New Roman" w:cs="Times New Roman"/>
          <w:b/>
          <w:sz w:val="28"/>
        </w:rPr>
        <w:t>Čl. II</w:t>
      </w:r>
    </w:p>
    <w:p w:rsidR="001735B6" w:rsidRDefault="0056047F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</w:rPr>
      </w:pPr>
      <w:r>
        <w:rPr>
          <w:rFonts w:ascii="Times New Roman" w:eastAsia="Times New Roman" w:hAnsi="Times New Roman" w:cs="Times New Roman"/>
          <w:b/>
          <w:sz w:val="28"/>
        </w:rPr>
        <w:t xml:space="preserve">Informácie o účtovných zásadách a účtovných metódach </w:t>
      </w:r>
    </w:p>
    <w:p w:rsidR="001735B6" w:rsidRDefault="001735B6">
      <w:pPr>
        <w:spacing w:after="0" w:line="240" w:lineRule="auto"/>
        <w:rPr>
          <w:rFonts w:ascii="Times New Roman" w:eastAsia="Times New Roman" w:hAnsi="Times New Roman" w:cs="Times New Roman"/>
          <w:sz w:val="24"/>
        </w:rPr>
      </w:pPr>
    </w:p>
    <w:p w:rsidR="001735B6" w:rsidRDefault="0056047F">
      <w:pPr>
        <w:numPr>
          <w:ilvl w:val="0"/>
          <w:numId w:val="4"/>
        </w:numPr>
        <w:tabs>
          <w:tab w:val="left" w:pos="720"/>
          <w:tab w:val="left" w:pos="360"/>
          <w:tab w:val="left" w:pos="7560"/>
          <w:tab w:val="left" w:pos="9000"/>
        </w:tabs>
        <w:spacing w:after="0" w:line="240" w:lineRule="auto"/>
        <w:ind w:left="357" w:hanging="357"/>
        <w:jc w:val="both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 xml:space="preserve">Účtovná závierka je zostavená za predpokladu nepretržitého pokračovania účtovnej jednotky vo svojej činnosti                </w:t>
      </w:r>
      <w:r>
        <w:rPr>
          <w:rFonts w:ascii="Times New Roman" w:eastAsia="Times New Roman" w:hAnsi="Times New Roman" w:cs="Times New Roman"/>
          <w:b/>
        </w:rPr>
        <w:t xml:space="preserve">                                                                 x  áno            </w:t>
      </w:r>
    </w:p>
    <w:p w:rsidR="001735B6" w:rsidRDefault="001735B6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</w:rPr>
      </w:pPr>
    </w:p>
    <w:p w:rsidR="001735B6" w:rsidRDefault="0056047F">
      <w:pPr>
        <w:numPr>
          <w:ilvl w:val="0"/>
          <w:numId w:val="5"/>
        </w:numPr>
        <w:tabs>
          <w:tab w:val="left" w:pos="720"/>
          <w:tab w:val="left" w:pos="360"/>
        </w:tabs>
        <w:spacing w:after="0" w:line="360" w:lineRule="auto"/>
        <w:ind w:left="357" w:hanging="357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 xml:space="preserve">Zmeny účtovných metód a účtovných zásad </w:t>
      </w:r>
    </w:p>
    <w:p w:rsidR="001735B6" w:rsidRDefault="0056047F">
      <w:pPr>
        <w:spacing w:after="0" w:line="240" w:lineRule="auto"/>
        <w:ind w:left="357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sz w:val="24"/>
        </w:rPr>
        <w:t>Účtovná jednotka zmenila účtovné metódy, účtovné zásady oproti predchádzajúcemu účtovnému obdobiu                                                                                          x</w:t>
      </w:r>
      <w:r>
        <w:rPr>
          <w:rFonts w:ascii="Times New Roman" w:eastAsia="Times New Roman" w:hAnsi="Times New Roman" w:cs="Times New Roman"/>
          <w:b/>
        </w:rPr>
        <w:t xml:space="preserve">  nie</w:t>
      </w:r>
    </w:p>
    <w:p w:rsidR="001735B6" w:rsidRDefault="001735B6">
      <w:pPr>
        <w:spacing w:after="0" w:line="240" w:lineRule="auto"/>
        <w:ind w:left="357"/>
        <w:jc w:val="both"/>
        <w:rPr>
          <w:rFonts w:ascii="Times New Roman" w:eastAsia="Times New Roman" w:hAnsi="Times New Roman" w:cs="Times New Roman"/>
          <w:b/>
        </w:rPr>
      </w:pPr>
    </w:p>
    <w:p w:rsidR="001735B6" w:rsidRDefault="001735B6">
      <w:pPr>
        <w:spacing w:after="0" w:line="240" w:lineRule="auto"/>
        <w:ind w:left="357"/>
        <w:jc w:val="both"/>
        <w:rPr>
          <w:rFonts w:ascii="Times New Roman" w:eastAsia="Times New Roman" w:hAnsi="Times New Roman" w:cs="Times New Roman"/>
          <w:b/>
        </w:rPr>
      </w:pPr>
    </w:p>
    <w:p w:rsidR="001735B6" w:rsidRDefault="0056047F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b/>
        </w:rPr>
        <w:t xml:space="preserve">Ak áno: </w:t>
      </w: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015"/>
        <w:gridCol w:w="2102"/>
        <w:gridCol w:w="2248"/>
        <w:gridCol w:w="2589"/>
      </w:tblGrid>
      <w:tr w:rsidR="001735B6">
        <w:trPr>
          <w:trHeight w:val="1"/>
        </w:trPr>
        <w:tc>
          <w:tcPr>
            <w:tcW w:w="2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1735B6" w:rsidRDefault="001735B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</w:p>
          <w:p w:rsidR="001735B6" w:rsidRDefault="0056047F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 xml:space="preserve">Druh zmeny </w:t>
            </w:r>
          </w:p>
        </w:tc>
        <w:tc>
          <w:tcPr>
            <w:tcW w:w="2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1735B6" w:rsidRDefault="001735B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</w:p>
          <w:p w:rsidR="001735B6" w:rsidRDefault="0056047F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 xml:space="preserve">Dôvod zmeny </w:t>
            </w:r>
          </w:p>
        </w:tc>
        <w:tc>
          <w:tcPr>
            <w:tcW w:w="2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1735B6" w:rsidRDefault="0056047F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Zmena vplývala na hodnotu majetku, záväzkov, vlastného imania a výsledku hospodárenia</w:t>
            </w:r>
          </w:p>
        </w:tc>
        <w:tc>
          <w:tcPr>
            <w:tcW w:w="29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1735B6" w:rsidRDefault="001735B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</w:p>
          <w:p w:rsidR="001735B6" w:rsidRDefault="005604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rFonts w:ascii="Times New Roman" w:eastAsia="Times New Roman" w:hAnsi="Times New Roman" w:cs="Times New Roman"/>
                <w:b/>
              </w:rPr>
              <w:t xml:space="preserve">Peňažné vyjadrenie </w:t>
            </w:r>
          </w:p>
          <w:p w:rsidR="001735B6" w:rsidRDefault="0056047F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v €</w:t>
            </w:r>
          </w:p>
        </w:tc>
      </w:tr>
      <w:tr w:rsidR="001735B6">
        <w:trPr>
          <w:trHeight w:val="1"/>
        </w:trPr>
        <w:tc>
          <w:tcPr>
            <w:tcW w:w="2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1735B6" w:rsidRDefault="001735B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1735B6" w:rsidRDefault="001735B6">
            <w:pPr>
              <w:spacing w:after="0" w:line="36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1735B6" w:rsidRDefault="001735B6">
            <w:pPr>
              <w:spacing w:after="0" w:line="36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9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1735B6">
        <w:trPr>
          <w:trHeight w:val="1"/>
        </w:trPr>
        <w:tc>
          <w:tcPr>
            <w:tcW w:w="2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1735B6" w:rsidRDefault="001735B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1735B6" w:rsidRDefault="001735B6">
            <w:pPr>
              <w:spacing w:after="0" w:line="36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1735B6" w:rsidRDefault="001735B6">
            <w:pPr>
              <w:spacing w:after="0" w:line="36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9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1735B6">
        <w:trPr>
          <w:trHeight w:val="1"/>
        </w:trPr>
        <w:tc>
          <w:tcPr>
            <w:tcW w:w="2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1735B6" w:rsidRDefault="001735B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1735B6" w:rsidRDefault="001735B6">
            <w:pPr>
              <w:spacing w:after="0" w:line="36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1735B6" w:rsidRDefault="001735B6">
            <w:pPr>
              <w:spacing w:after="0" w:line="36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9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1735B6">
        <w:trPr>
          <w:trHeight w:val="1"/>
        </w:trPr>
        <w:tc>
          <w:tcPr>
            <w:tcW w:w="2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1735B6" w:rsidRDefault="001735B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1735B6" w:rsidRDefault="001735B6">
            <w:pPr>
              <w:spacing w:after="0" w:line="36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1735B6" w:rsidRDefault="001735B6">
            <w:pPr>
              <w:spacing w:after="0" w:line="36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9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1735B6">
        <w:trPr>
          <w:trHeight w:val="1"/>
        </w:trPr>
        <w:tc>
          <w:tcPr>
            <w:tcW w:w="2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1735B6" w:rsidRDefault="001735B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1735B6" w:rsidRDefault="001735B6">
            <w:pPr>
              <w:spacing w:after="0" w:line="36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1735B6" w:rsidRDefault="001735B6">
            <w:pPr>
              <w:spacing w:after="0" w:line="36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9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</w:tr>
    </w:tbl>
    <w:p w:rsidR="001735B6" w:rsidRDefault="001735B6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1735B6" w:rsidRDefault="0056047F">
      <w:pPr>
        <w:numPr>
          <w:ilvl w:val="0"/>
          <w:numId w:val="6"/>
        </w:numPr>
        <w:tabs>
          <w:tab w:val="left" w:pos="720"/>
          <w:tab w:val="left" w:pos="360"/>
        </w:tabs>
        <w:spacing w:after="0" w:line="360" w:lineRule="auto"/>
        <w:ind w:left="357" w:hanging="357"/>
        <w:jc w:val="both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 xml:space="preserve">Spôsob ocenenia jednotlivých položiek  </w:t>
      </w:r>
    </w:p>
    <w:p w:rsidR="001735B6" w:rsidRDefault="0056047F">
      <w:pPr>
        <w:tabs>
          <w:tab w:val="left" w:pos="426"/>
          <w:tab w:val="left" w:pos="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>a)    Dlhodobý nehmotný a dlhodobý hmotný majetok</w:t>
      </w:r>
    </w:p>
    <w:p w:rsidR="001735B6" w:rsidRDefault="0056047F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>Dlhodobý majetok nakupovaný</w:t>
      </w:r>
      <w:r>
        <w:rPr>
          <w:rFonts w:ascii="Times New Roman" w:eastAsia="Times New Roman" w:hAnsi="Times New Roman" w:cs="Times New Roman"/>
          <w:sz w:val="24"/>
        </w:rPr>
        <w:t xml:space="preserve"> sa oceňuje </w:t>
      </w:r>
      <w:r>
        <w:rPr>
          <w:rFonts w:ascii="Times New Roman" w:eastAsia="Times New Roman" w:hAnsi="Times New Roman" w:cs="Times New Roman"/>
          <w:sz w:val="24"/>
          <w:u w:val="single"/>
        </w:rPr>
        <w:t>obstarávacou cenou</w:t>
      </w:r>
      <w:r>
        <w:rPr>
          <w:rFonts w:ascii="Times New Roman" w:eastAsia="Times New Roman" w:hAnsi="Times New Roman" w:cs="Times New Roman"/>
          <w:sz w:val="24"/>
        </w:rPr>
        <w:t xml:space="preserve">. </w:t>
      </w:r>
    </w:p>
    <w:p w:rsidR="001735B6" w:rsidRDefault="0056047F">
      <w:pPr>
        <w:spacing w:after="0" w:line="240" w:lineRule="auto"/>
        <w:ind w:left="425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Obstarávacia cena zahŕňa cenu, za ktorú sa majetok obstaral a náklady súvisiace s jeho obstaraním. Vyskytujúce sa náklady súvisiace s obstaraním v účtovnej jednotke:</w:t>
      </w:r>
    </w:p>
    <w:p w:rsidR="001735B6" w:rsidRDefault="0056047F">
      <w:pPr>
        <w:spacing w:after="0" w:line="240" w:lineRule="auto"/>
        <w:ind w:left="425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b/>
        </w:rPr>
        <w:t xml:space="preserve">  </w:t>
      </w:r>
      <w:r>
        <w:rPr>
          <w:rFonts w:ascii="Times New Roman" w:eastAsia="Times New Roman" w:hAnsi="Times New Roman" w:cs="Times New Roman"/>
        </w:rPr>
        <w:t>dopravné</w:t>
      </w:r>
    </w:p>
    <w:p w:rsidR="001735B6" w:rsidRDefault="0056047F">
      <w:pPr>
        <w:spacing w:after="0" w:line="240" w:lineRule="auto"/>
        <w:ind w:left="425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b/>
        </w:rPr>
        <w:t xml:space="preserve">  </w:t>
      </w:r>
      <w:r>
        <w:rPr>
          <w:rFonts w:ascii="Times New Roman" w:eastAsia="Times New Roman" w:hAnsi="Times New Roman" w:cs="Times New Roman"/>
        </w:rPr>
        <w:t>montáž</w:t>
      </w:r>
    </w:p>
    <w:p w:rsidR="001735B6" w:rsidRDefault="0056047F">
      <w:pPr>
        <w:spacing w:after="0" w:line="240" w:lineRule="auto"/>
        <w:ind w:left="425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b/>
        </w:rPr>
        <w:t xml:space="preserve">  </w:t>
      </w:r>
      <w:r>
        <w:rPr>
          <w:rFonts w:ascii="Times New Roman" w:eastAsia="Times New Roman" w:hAnsi="Times New Roman" w:cs="Times New Roman"/>
        </w:rPr>
        <w:t>provízia</w:t>
      </w:r>
    </w:p>
    <w:p w:rsidR="001735B6" w:rsidRDefault="0056047F">
      <w:pPr>
        <w:spacing w:after="0" w:line="240" w:lineRule="auto"/>
        <w:ind w:left="425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 xml:space="preserve">  </w:t>
      </w:r>
      <w:r>
        <w:rPr>
          <w:rFonts w:ascii="Times New Roman" w:eastAsia="Times New Roman" w:hAnsi="Times New Roman" w:cs="Times New Roman"/>
        </w:rPr>
        <w:t>poistné</w:t>
      </w:r>
      <w:r>
        <w:rPr>
          <w:rFonts w:ascii="Times New Roman" w:eastAsia="Times New Roman" w:hAnsi="Times New Roman" w:cs="Times New Roman"/>
          <w:b/>
        </w:rPr>
        <w:t xml:space="preserve"> </w:t>
      </w:r>
    </w:p>
    <w:p w:rsidR="001735B6" w:rsidRDefault="0056047F">
      <w:pPr>
        <w:spacing w:after="0" w:line="240" w:lineRule="auto"/>
        <w:ind w:left="425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b/>
        </w:rPr>
        <w:t xml:space="preserve">  </w:t>
      </w:r>
      <w:r>
        <w:rPr>
          <w:rFonts w:ascii="Times New Roman" w:eastAsia="Times New Roman" w:hAnsi="Times New Roman" w:cs="Times New Roman"/>
        </w:rPr>
        <w:t xml:space="preserve">iné  </w:t>
      </w:r>
    </w:p>
    <w:p w:rsidR="001735B6" w:rsidRDefault="0056047F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Súčasťou obstarávacej ceny nie sú:</w:t>
      </w:r>
    </w:p>
    <w:p w:rsidR="001735B6" w:rsidRDefault="0056047F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  úroky </w:t>
      </w:r>
    </w:p>
    <w:p w:rsidR="001735B6" w:rsidRDefault="0056047F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  realizované kurzové rozdiely,</w:t>
      </w:r>
    </w:p>
    <w:p w:rsidR="001735B6" w:rsidRDefault="0056047F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ktoré vznikli do momentu uvedenia dlhodobého majetku do užívania.</w:t>
      </w:r>
    </w:p>
    <w:p w:rsidR="001735B6" w:rsidRDefault="0056047F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 xml:space="preserve">Dlhodobý majetok vytvorený vlastnou činnosťou </w:t>
      </w:r>
      <w:r>
        <w:rPr>
          <w:rFonts w:ascii="Times New Roman" w:eastAsia="Times New Roman" w:hAnsi="Times New Roman" w:cs="Times New Roman"/>
          <w:sz w:val="24"/>
        </w:rPr>
        <w:t xml:space="preserve">sa oceňuje </w:t>
      </w:r>
      <w:r>
        <w:rPr>
          <w:rFonts w:ascii="Times New Roman" w:eastAsia="Times New Roman" w:hAnsi="Times New Roman" w:cs="Times New Roman"/>
          <w:sz w:val="24"/>
          <w:u w:val="single"/>
        </w:rPr>
        <w:t>vlastnými nákladmi</w:t>
      </w:r>
      <w:r>
        <w:rPr>
          <w:rFonts w:ascii="Times New Roman" w:eastAsia="Times New Roman" w:hAnsi="Times New Roman" w:cs="Times New Roman"/>
          <w:sz w:val="24"/>
        </w:rPr>
        <w:t>.</w:t>
      </w:r>
    </w:p>
    <w:p w:rsidR="001735B6" w:rsidRDefault="0056047F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Vlastné náklady obsahujú:</w:t>
      </w:r>
    </w:p>
    <w:p w:rsidR="001735B6" w:rsidRDefault="0056047F">
      <w:pPr>
        <w:spacing w:after="0" w:line="240" w:lineRule="auto"/>
        <w:ind w:left="425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b/>
        </w:rPr>
        <w:t xml:space="preserve">  </w:t>
      </w:r>
      <w:r>
        <w:rPr>
          <w:rFonts w:ascii="Times New Roman" w:eastAsia="Times New Roman" w:hAnsi="Times New Roman" w:cs="Times New Roman"/>
        </w:rPr>
        <w:t>priame náklady vynaložené na výrobu alebo inú činnosť</w:t>
      </w:r>
    </w:p>
    <w:p w:rsidR="001735B6" w:rsidRDefault="0056047F">
      <w:pPr>
        <w:spacing w:after="0" w:line="240" w:lineRule="auto"/>
        <w:ind w:left="425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b/>
        </w:rPr>
        <w:lastRenderedPageBreak/>
        <w:t xml:space="preserve">  </w:t>
      </w:r>
      <w:r>
        <w:rPr>
          <w:rFonts w:ascii="Times New Roman" w:eastAsia="Times New Roman" w:hAnsi="Times New Roman" w:cs="Times New Roman"/>
        </w:rPr>
        <w:t xml:space="preserve">časť nepriamych nákladov, ktoré sa vzťahujú na výrobu alebo inú činnosť </w:t>
      </w:r>
    </w:p>
    <w:p w:rsidR="001735B6" w:rsidRDefault="0056047F">
      <w:pPr>
        <w:spacing w:after="0" w:line="240" w:lineRule="auto"/>
        <w:ind w:left="425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Slovný opis nepriamych nákladov ..................................................................................................</w:t>
      </w:r>
    </w:p>
    <w:p w:rsidR="001735B6" w:rsidRDefault="0056047F">
      <w:pPr>
        <w:spacing w:after="0" w:line="240" w:lineRule="auto"/>
        <w:ind w:left="425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1735B6" w:rsidRDefault="001735B6">
      <w:pPr>
        <w:spacing w:after="0" w:line="240" w:lineRule="auto"/>
        <w:ind w:left="425"/>
        <w:jc w:val="both"/>
        <w:rPr>
          <w:rFonts w:ascii="Times New Roman" w:eastAsia="Times New Roman" w:hAnsi="Times New Roman" w:cs="Times New Roman"/>
          <w:sz w:val="24"/>
        </w:rPr>
      </w:pPr>
    </w:p>
    <w:p w:rsidR="001735B6" w:rsidRDefault="0056047F">
      <w:pPr>
        <w:tabs>
          <w:tab w:val="left" w:pos="426"/>
          <w:tab w:val="left" w:pos="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u w:val="single"/>
        </w:rPr>
      </w:pPr>
      <w:r>
        <w:rPr>
          <w:rFonts w:ascii="Times New Roman" w:eastAsia="Times New Roman" w:hAnsi="Times New Roman" w:cs="Times New Roman"/>
          <w:b/>
          <w:sz w:val="24"/>
        </w:rPr>
        <w:t xml:space="preserve">       Dlhodobý   majetok   získaný   darovaním   alebo   delimitáciou   </w:t>
      </w:r>
      <w:r>
        <w:rPr>
          <w:rFonts w:ascii="Times New Roman" w:eastAsia="Times New Roman" w:hAnsi="Times New Roman" w:cs="Times New Roman"/>
          <w:sz w:val="24"/>
        </w:rPr>
        <w:t>sa   oceňuje</w:t>
      </w:r>
      <w:r>
        <w:rPr>
          <w:rFonts w:ascii="Times New Roman" w:eastAsia="Times New Roman" w:hAnsi="Times New Roman" w:cs="Times New Roman"/>
          <w:b/>
          <w:sz w:val="24"/>
        </w:rPr>
        <w:t xml:space="preserve">  </w:t>
      </w:r>
      <w:r>
        <w:rPr>
          <w:rFonts w:ascii="Times New Roman" w:eastAsia="Times New Roman" w:hAnsi="Times New Roman" w:cs="Times New Roman"/>
          <w:sz w:val="24"/>
          <w:u w:val="single"/>
        </w:rPr>
        <w:t xml:space="preserve">reprodukčnou   </w:t>
      </w:r>
    </w:p>
    <w:p w:rsidR="001735B6" w:rsidRDefault="0056047F">
      <w:pPr>
        <w:tabs>
          <w:tab w:val="left" w:pos="426"/>
          <w:tab w:val="left" w:pos="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       </w:t>
      </w:r>
      <w:r>
        <w:rPr>
          <w:rFonts w:ascii="Times New Roman" w:eastAsia="Times New Roman" w:hAnsi="Times New Roman" w:cs="Times New Roman"/>
          <w:sz w:val="24"/>
          <w:u w:val="single"/>
        </w:rPr>
        <w:t>obstarávacou cenou.</w:t>
      </w:r>
      <w:r>
        <w:rPr>
          <w:rFonts w:ascii="Times New Roman" w:eastAsia="Times New Roman" w:hAnsi="Times New Roman" w:cs="Times New Roman"/>
          <w:b/>
          <w:sz w:val="24"/>
        </w:rPr>
        <w:t xml:space="preserve">  </w:t>
      </w:r>
    </w:p>
    <w:p w:rsidR="001735B6" w:rsidRDefault="001735B6">
      <w:pPr>
        <w:tabs>
          <w:tab w:val="left" w:pos="426"/>
          <w:tab w:val="left" w:pos="0"/>
        </w:tabs>
        <w:spacing w:after="0" w:line="240" w:lineRule="auto"/>
        <w:rPr>
          <w:rFonts w:ascii="Times New Roman" w:eastAsia="Times New Roman" w:hAnsi="Times New Roman" w:cs="Times New Roman"/>
          <w:b/>
          <w:sz w:val="24"/>
        </w:rPr>
      </w:pPr>
    </w:p>
    <w:p w:rsidR="001735B6" w:rsidRDefault="0056047F">
      <w:pPr>
        <w:tabs>
          <w:tab w:val="left" w:pos="426"/>
          <w:tab w:val="left" w:pos="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 xml:space="preserve">       Dlhodobý    majetok   nadobudnutý    bezodplatným    prevodom    </w:t>
      </w:r>
      <w:r>
        <w:rPr>
          <w:rFonts w:ascii="Times New Roman" w:eastAsia="Times New Roman" w:hAnsi="Times New Roman" w:cs="Times New Roman"/>
          <w:sz w:val="24"/>
        </w:rPr>
        <w:t xml:space="preserve">pri     splynutí,   zlúčení,                  </w:t>
      </w:r>
    </w:p>
    <w:p w:rsidR="001735B6" w:rsidRDefault="0056047F">
      <w:pPr>
        <w:tabs>
          <w:tab w:val="left" w:pos="426"/>
          <w:tab w:val="left" w:pos="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       rozdelení alebo</w:t>
      </w:r>
      <w:r>
        <w:rPr>
          <w:rFonts w:ascii="Times New Roman" w:eastAsia="Times New Roman" w:hAnsi="Times New Roman" w:cs="Times New Roman"/>
          <w:b/>
          <w:sz w:val="24"/>
        </w:rPr>
        <w:t xml:space="preserve"> pri prevode správy </w:t>
      </w:r>
      <w:r>
        <w:rPr>
          <w:rFonts w:ascii="Times New Roman" w:eastAsia="Times New Roman" w:hAnsi="Times New Roman" w:cs="Times New Roman"/>
          <w:sz w:val="24"/>
        </w:rPr>
        <w:t>sa oceňuje cenou, v ktorej sa doteraz viedol  v účtovníctve.</w:t>
      </w:r>
      <w:r>
        <w:rPr>
          <w:rFonts w:ascii="Times New Roman" w:eastAsia="Times New Roman" w:hAnsi="Times New Roman" w:cs="Times New Roman"/>
          <w:b/>
          <w:sz w:val="24"/>
        </w:rPr>
        <w:t xml:space="preserve"> </w:t>
      </w:r>
    </w:p>
    <w:p w:rsidR="001735B6" w:rsidRDefault="0056047F">
      <w:pPr>
        <w:tabs>
          <w:tab w:val="left" w:pos="426"/>
          <w:tab w:val="left" w:pos="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 xml:space="preserve">       </w:t>
      </w:r>
      <w:r>
        <w:rPr>
          <w:rFonts w:ascii="Times New Roman" w:eastAsia="Times New Roman" w:hAnsi="Times New Roman" w:cs="Times New Roman"/>
          <w:sz w:val="24"/>
        </w:rPr>
        <w:t xml:space="preserve">Ak cenu nie je možné zistiť, oceňuje sa </w:t>
      </w:r>
      <w:r>
        <w:rPr>
          <w:rFonts w:ascii="Times New Roman" w:eastAsia="Times New Roman" w:hAnsi="Times New Roman" w:cs="Times New Roman"/>
          <w:sz w:val="24"/>
          <w:u w:val="single"/>
        </w:rPr>
        <w:t>reprodukčnou obstarávacou cenou.</w:t>
      </w:r>
      <w:r>
        <w:rPr>
          <w:rFonts w:ascii="Times New Roman" w:eastAsia="Times New Roman" w:hAnsi="Times New Roman" w:cs="Times New Roman"/>
          <w:sz w:val="24"/>
        </w:rPr>
        <w:t xml:space="preserve">  </w:t>
      </w:r>
    </w:p>
    <w:p w:rsidR="001735B6" w:rsidRDefault="0056047F">
      <w:pPr>
        <w:tabs>
          <w:tab w:val="left" w:pos="426"/>
        </w:tabs>
        <w:spacing w:after="0" w:line="240" w:lineRule="auto"/>
        <w:ind w:left="426" w:hanging="426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       Od roku 2008 sa uplatňuje zásada opatrnosti - prechodné zníženie hodnoty majetku sa vyjadruje vytvorením opravnej položky.</w:t>
      </w:r>
    </w:p>
    <w:p w:rsidR="001735B6" w:rsidRDefault="001735B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:rsidR="001735B6" w:rsidRDefault="0056047F">
      <w:pPr>
        <w:numPr>
          <w:ilvl w:val="0"/>
          <w:numId w:val="7"/>
        </w:numPr>
        <w:tabs>
          <w:tab w:val="left" w:pos="420"/>
        </w:tabs>
        <w:spacing w:after="0" w:line="240" w:lineRule="auto"/>
        <w:ind w:left="420" w:hanging="420"/>
        <w:jc w:val="both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 xml:space="preserve">Dlhodobý finančný majetok sa oceňuje </w:t>
      </w:r>
      <w:r>
        <w:rPr>
          <w:rFonts w:ascii="Times New Roman" w:eastAsia="Times New Roman" w:hAnsi="Times New Roman" w:cs="Times New Roman"/>
          <w:sz w:val="24"/>
          <w:u w:val="single"/>
        </w:rPr>
        <w:t>obstarávacou cenou</w:t>
      </w:r>
      <w:r>
        <w:rPr>
          <w:rFonts w:ascii="Times New Roman" w:eastAsia="Times New Roman" w:hAnsi="Times New Roman" w:cs="Times New Roman"/>
          <w:sz w:val="24"/>
        </w:rPr>
        <w:t>.</w:t>
      </w:r>
    </w:p>
    <w:p w:rsidR="001735B6" w:rsidRDefault="001735B6">
      <w:pPr>
        <w:tabs>
          <w:tab w:val="left" w:pos="426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1735B6" w:rsidRDefault="0056047F">
      <w:pPr>
        <w:numPr>
          <w:ilvl w:val="0"/>
          <w:numId w:val="8"/>
        </w:numPr>
        <w:tabs>
          <w:tab w:val="left" w:pos="420"/>
        </w:tabs>
        <w:spacing w:after="0" w:line="240" w:lineRule="auto"/>
        <w:ind w:left="420" w:hanging="420"/>
        <w:jc w:val="both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 xml:space="preserve">Zásoby </w:t>
      </w:r>
    </w:p>
    <w:p w:rsidR="001735B6" w:rsidRDefault="0056047F">
      <w:pPr>
        <w:tabs>
          <w:tab w:val="left" w:pos="426"/>
        </w:tabs>
        <w:spacing w:after="0" w:line="240" w:lineRule="auto"/>
        <w:ind w:left="420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>Nakupované zásoby</w:t>
      </w:r>
      <w:r>
        <w:rPr>
          <w:rFonts w:ascii="Times New Roman" w:eastAsia="Times New Roman" w:hAnsi="Times New Roman" w:cs="Times New Roman"/>
          <w:sz w:val="24"/>
        </w:rPr>
        <w:t xml:space="preserve"> sa oceňujú </w:t>
      </w:r>
      <w:r>
        <w:rPr>
          <w:rFonts w:ascii="Times New Roman" w:eastAsia="Times New Roman" w:hAnsi="Times New Roman" w:cs="Times New Roman"/>
          <w:sz w:val="24"/>
          <w:u w:val="single"/>
        </w:rPr>
        <w:t>obstarávacou cenou</w:t>
      </w:r>
      <w:r>
        <w:rPr>
          <w:rFonts w:ascii="Times New Roman" w:eastAsia="Times New Roman" w:hAnsi="Times New Roman" w:cs="Times New Roman"/>
          <w:sz w:val="24"/>
        </w:rPr>
        <w:t xml:space="preserve">. </w:t>
      </w:r>
    </w:p>
    <w:p w:rsidR="001735B6" w:rsidRDefault="0056047F">
      <w:pPr>
        <w:spacing w:after="0" w:line="240" w:lineRule="auto"/>
        <w:ind w:left="425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Obstarávacia cena zahŕňa cenu, za ktorú sa zásoby obstarali a náklady súvisiace s ich obstaraním. Vyskytujúce sa náklady súvisiace s obstaraním v účtovnej jednotke:</w:t>
      </w:r>
    </w:p>
    <w:p w:rsidR="001735B6" w:rsidRDefault="0056047F">
      <w:pPr>
        <w:spacing w:after="0" w:line="240" w:lineRule="auto"/>
        <w:ind w:left="425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b/>
        </w:rPr>
        <w:t xml:space="preserve">  </w:t>
      </w:r>
      <w:r>
        <w:rPr>
          <w:rFonts w:ascii="Times New Roman" w:eastAsia="Times New Roman" w:hAnsi="Times New Roman" w:cs="Times New Roman"/>
        </w:rPr>
        <w:t>dopravné</w:t>
      </w:r>
    </w:p>
    <w:p w:rsidR="001735B6" w:rsidRDefault="0056047F">
      <w:pPr>
        <w:spacing w:after="0" w:line="240" w:lineRule="auto"/>
        <w:ind w:left="425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b/>
        </w:rPr>
        <w:t xml:space="preserve">  </w:t>
      </w:r>
      <w:r>
        <w:rPr>
          <w:rFonts w:ascii="Times New Roman" w:eastAsia="Times New Roman" w:hAnsi="Times New Roman" w:cs="Times New Roman"/>
        </w:rPr>
        <w:t>montáž</w:t>
      </w:r>
    </w:p>
    <w:p w:rsidR="001735B6" w:rsidRDefault="0056047F">
      <w:pPr>
        <w:spacing w:after="0" w:line="240" w:lineRule="auto"/>
        <w:ind w:left="425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b/>
        </w:rPr>
        <w:t xml:space="preserve">  </w:t>
      </w:r>
      <w:r>
        <w:rPr>
          <w:rFonts w:ascii="Times New Roman" w:eastAsia="Times New Roman" w:hAnsi="Times New Roman" w:cs="Times New Roman"/>
        </w:rPr>
        <w:t xml:space="preserve">iné  </w:t>
      </w:r>
    </w:p>
    <w:p w:rsidR="001735B6" w:rsidRDefault="001735B6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1735B6" w:rsidRDefault="0056047F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 xml:space="preserve">Zásoby vytvorené vlastnou činnosťou </w:t>
      </w:r>
      <w:r>
        <w:rPr>
          <w:rFonts w:ascii="Times New Roman" w:eastAsia="Times New Roman" w:hAnsi="Times New Roman" w:cs="Times New Roman"/>
          <w:sz w:val="24"/>
        </w:rPr>
        <w:t xml:space="preserve">sa oceňujú </w:t>
      </w:r>
      <w:r>
        <w:rPr>
          <w:rFonts w:ascii="Times New Roman" w:eastAsia="Times New Roman" w:hAnsi="Times New Roman" w:cs="Times New Roman"/>
          <w:sz w:val="24"/>
          <w:u w:val="single"/>
        </w:rPr>
        <w:t>vlastnými nákladmi</w:t>
      </w:r>
      <w:r>
        <w:rPr>
          <w:rFonts w:ascii="Times New Roman" w:eastAsia="Times New Roman" w:hAnsi="Times New Roman" w:cs="Times New Roman"/>
          <w:sz w:val="24"/>
        </w:rPr>
        <w:t>.</w:t>
      </w:r>
    </w:p>
    <w:p w:rsidR="001735B6" w:rsidRDefault="0056047F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Vlastné náklady obsahujú:</w:t>
      </w:r>
    </w:p>
    <w:p w:rsidR="001735B6" w:rsidRDefault="0056047F">
      <w:pPr>
        <w:spacing w:after="0" w:line="240" w:lineRule="auto"/>
        <w:ind w:left="425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b/>
        </w:rPr>
        <w:t xml:space="preserve">  </w:t>
      </w:r>
      <w:r>
        <w:rPr>
          <w:rFonts w:ascii="Times New Roman" w:eastAsia="Times New Roman" w:hAnsi="Times New Roman" w:cs="Times New Roman"/>
        </w:rPr>
        <w:t>priame náklady vynaložené na výrobu alebo inú činnosť</w:t>
      </w:r>
    </w:p>
    <w:p w:rsidR="001735B6" w:rsidRDefault="0056047F">
      <w:pPr>
        <w:spacing w:after="0" w:line="240" w:lineRule="auto"/>
        <w:ind w:left="425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b/>
        </w:rPr>
        <w:t xml:space="preserve">  </w:t>
      </w:r>
      <w:r>
        <w:rPr>
          <w:rFonts w:ascii="Times New Roman" w:eastAsia="Times New Roman" w:hAnsi="Times New Roman" w:cs="Times New Roman"/>
        </w:rPr>
        <w:t xml:space="preserve">časť nepriamych nákladov, ktoré sa vzťahujú na výrobu alebo inú činnosť </w:t>
      </w:r>
    </w:p>
    <w:p w:rsidR="001735B6" w:rsidRDefault="0056047F">
      <w:pPr>
        <w:spacing w:after="0" w:line="240" w:lineRule="auto"/>
        <w:ind w:left="425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Slovný opis nepriamych nákladov ..................................................................................................</w:t>
      </w:r>
    </w:p>
    <w:p w:rsidR="001735B6" w:rsidRDefault="0056047F">
      <w:pPr>
        <w:spacing w:after="0" w:line="240" w:lineRule="auto"/>
        <w:ind w:left="425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1735B6" w:rsidRDefault="0056047F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>Zásoby získané darovaním alebo delimitáciou</w:t>
      </w:r>
      <w:r>
        <w:rPr>
          <w:rFonts w:ascii="Times New Roman" w:eastAsia="Times New Roman" w:hAnsi="Times New Roman" w:cs="Times New Roman"/>
          <w:sz w:val="24"/>
        </w:rPr>
        <w:t xml:space="preserve"> sa oceňujú </w:t>
      </w:r>
      <w:r>
        <w:rPr>
          <w:rFonts w:ascii="Times New Roman" w:eastAsia="Times New Roman" w:hAnsi="Times New Roman" w:cs="Times New Roman"/>
          <w:sz w:val="24"/>
          <w:u w:val="single"/>
        </w:rPr>
        <w:t>reprodukčnou obstarávacou cenou</w:t>
      </w:r>
      <w:r>
        <w:rPr>
          <w:rFonts w:ascii="Times New Roman" w:eastAsia="Times New Roman" w:hAnsi="Times New Roman" w:cs="Times New Roman"/>
          <w:sz w:val="24"/>
        </w:rPr>
        <w:t xml:space="preserve"> (napr. určenou v darovacej zmluve alebo určenou komisiou pre oceňovanie).</w:t>
      </w:r>
    </w:p>
    <w:p w:rsidR="001735B6" w:rsidRDefault="0056047F">
      <w:pPr>
        <w:tabs>
          <w:tab w:val="left" w:pos="426"/>
        </w:tabs>
        <w:spacing w:after="0" w:line="240" w:lineRule="auto"/>
        <w:ind w:left="426" w:hanging="426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       Od roku 2008 sa uplatňuje zásada opatrnosti - prechodné zníženie hodnoty zásob sa vyjadruje vytvorením opravnej položky.</w:t>
      </w:r>
    </w:p>
    <w:p w:rsidR="001735B6" w:rsidRDefault="001735B6">
      <w:pPr>
        <w:tabs>
          <w:tab w:val="left" w:pos="426"/>
        </w:tabs>
        <w:spacing w:after="0" w:line="240" w:lineRule="auto"/>
        <w:ind w:left="426" w:hanging="426"/>
        <w:jc w:val="both"/>
        <w:rPr>
          <w:rFonts w:ascii="Times New Roman" w:eastAsia="Times New Roman" w:hAnsi="Times New Roman" w:cs="Times New Roman"/>
          <w:sz w:val="24"/>
        </w:rPr>
      </w:pPr>
    </w:p>
    <w:p w:rsidR="001735B6" w:rsidRDefault="0056047F">
      <w:pPr>
        <w:numPr>
          <w:ilvl w:val="0"/>
          <w:numId w:val="9"/>
        </w:numPr>
        <w:tabs>
          <w:tab w:val="left" w:pos="420"/>
        </w:tabs>
        <w:spacing w:after="0" w:line="240" w:lineRule="auto"/>
        <w:ind w:left="420" w:hanging="420"/>
        <w:jc w:val="both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>Pohľadávky</w:t>
      </w:r>
    </w:p>
    <w:p w:rsidR="001735B6" w:rsidRDefault="0056047F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Pohľadávky pri ich vzniku sa oceňujú ich </w:t>
      </w:r>
      <w:r>
        <w:rPr>
          <w:rFonts w:ascii="Times New Roman" w:eastAsia="Times New Roman" w:hAnsi="Times New Roman" w:cs="Times New Roman"/>
          <w:sz w:val="24"/>
          <w:u w:val="single"/>
        </w:rPr>
        <w:t>menovitou hodnotou</w:t>
      </w:r>
      <w:r>
        <w:rPr>
          <w:rFonts w:ascii="Times New Roman" w:eastAsia="Times New Roman" w:hAnsi="Times New Roman" w:cs="Times New Roman"/>
          <w:sz w:val="24"/>
        </w:rPr>
        <w:t xml:space="preserve">. </w:t>
      </w:r>
    </w:p>
    <w:p w:rsidR="001735B6" w:rsidRDefault="0056047F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Od roku 2008 sa uplatňuje zásada opatrnosti - prechodné zníženie hodnoty pohľadávok sa vyjadruje vytvorením opravnej položky.</w:t>
      </w:r>
    </w:p>
    <w:p w:rsidR="001735B6" w:rsidRDefault="001735B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:rsidR="001735B6" w:rsidRDefault="0056047F">
      <w:pPr>
        <w:numPr>
          <w:ilvl w:val="0"/>
          <w:numId w:val="10"/>
        </w:numPr>
        <w:tabs>
          <w:tab w:val="left" w:pos="420"/>
        </w:tabs>
        <w:spacing w:after="0" w:line="240" w:lineRule="auto"/>
        <w:ind w:left="420" w:hanging="420"/>
        <w:jc w:val="both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>Peňažné prostriedky a ceniny</w:t>
      </w:r>
    </w:p>
    <w:p w:rsidR="001735B6" w:rsidRDefault="0056047F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Peňažné prostriedky a ceniny sa oceňujú ich </w:t>
      </w:r>
      <w:r>
        <w:rPr>
          <w:rFonts w:ascii="Times New Roman" w:eastAsia="Times New Roman" w:hAnsi="Times New Roman" w:cs="Times New Roman"/>
          <w:sz w:val="24"/>
          <w:u w:val="single"/>
        </w:rPr>
        <w:t>menovitou hodnotou</w:t>
      </w:r>
      <w:r>
        <w:rPr>
          <w:rFonts w:ascii="Times New Roman" w:eastAsia="Times New Roman" w:hAnsi="Times New Roman" w:cs="Times New Roman"/>
          <w:sz w:val="24"/>
        </w:rPr>
        <w:t>.</w:t>
      </w:r>
    </w:p>
    <w:p w:rsidR="001735B6" w:rsidRDefault="001735B6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4"/>
        </w:rPr>
      </w:pPr>
    </w:p>
    <w:p w:rsidR="001735B6" w:rsidRDefault="0056047F">
      <w:pPr>
        <w:numPr>
          <w:ilvl w:val="0"/>
          <w:numId w:val="11"/>
        </w:numPr>
        <w:tabs>
          <w:tab w:val="left" w:pos="420"/>
        </w:tabs>
        <w:spacing w:after="0" w:line="240" w:lineRule="auto"/>
        <w:ind w:left="420" w:hanging="420"/>
        <w:jc w:val="both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lastRenderedPageBreak/>
        <w:t>Náklady budúcich období a príjmy budúcich období</w:t>
      </w:r>
    </w:p>
    <w:p w:rsidR="001735B6" w:rsidRDefault="0056047F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Od roku 2008 sa pri účtovaní nákladov a výnosov uplatňuje zásada časového rozlíšenia. Náklady budúcich období a príjmy budúcich období sa vykazujú vo výške, ktorá je potrebná na dodržanie zásady vecnej a časovej súvislosti s účtovným obdobím.</w:t>
      </w:r>
    </w:p>
    <w:p w:rsidR="001735B6" w:rsidRDefault="0056047F">
      <w:pPr>
        <w:numPr>
          <w:ilvl w:val="0"/>
          <w:numId w:val="12"/>
        </w:numPr>
        <w:tabs>
          <w:tab w:val="left" w:pos="420"/>
        </w:tabs>
        <w:spacing w:after="0" w:line="240" w:lineRule="auto"/>
        <w:ind w:left="420" w:hanging="420"/>
        <w:jc w:val="both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>Záväzky</w:t>
      </w:r>
    </w:p>
    <w:p w:rsidR="001735B6" w:rsidRDefault="0056047F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Záväzky pri ich vzniku sa oceňujú </w:t>
      </w:r>
      <w:r>
        <w:rPr>
          <w:rFonts w:ascii="Times New Roman" w:eastAsia="Times New Roman" w:hAnsi="Times New Roman" w:cs="Times New Roman"/>
          <w:sz w:val="24"/>
          <w:u w:val="single"/>
        </w:rPr>
        <w:t>menovitou hodnotou</w:t>
      </w:r>
      <w:r>
        <w:rPr>
          <w:rFonts w:ascii="Times New Roman" w:eastAsia="Times New Roman" w:hAnsi="Times New Roman" w:cs="Times New Roman"/>
          <w:sz w:val="24"/>
        </w:rPr>
        <w:t xml:space="preserve">. Ak sa pri inventarizácii zistí, že suma záväzkov je iná ako ich výška v účtovníctve, uvedú sa záväzky v účtovníctve a v účtovnej závierke v tomto zistenom ocenení. </w:t>
      </w:r>
    </w:p>
    <w:p w:rsidR="001735B6" w:rsidRDefault="001735B6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4"/>
        </w:rPr>
      </w:pPr>
    </w:p>
    <w:p w:rsidR="001735B6" w:rsidRDefault="0056047F">
      <w:pPr>
        <w:numPr>
          <w:ilvl w:val="0"/>
          <w:numId w:val="13"/>
        </w:numPr>
        <w:tabs>
          <w:tab w:val="left" w:pos="420"/>
        </w:tabs>
        <w:spacing w:after="0" w:line="240" w:lineRule="auto"/>
        <w:ind w:left="420" w:hanging="420"/>
        <w:jc w:val="both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>Rezervy</w:t>
      </w:r>
    </w:p>
    <w:p w:rsidR="001735B6" w:rsidRDefault="0056047F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Rezervy sú záväzky s neistým časovým vymedzením alebo výškou. Tvoria sa na základe zásady opatrnosti t.z. tvoria sa na krytie známych rizík alebo strát. Oceňujú sa v očakávanej výške záväzku. Tvorba rezerv sa uplatňuje od roku 2008. </w:t>
      </w:r>
    </w:p>
    <w:p w:rsidR="001735B6" w:rsidRDefault="001735B6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4"/>
        </w:rPr>
      </w:pPr>
    </w:p>
    <w:p w:rsidR="001735B6" w:rsidRDefault="0056047F">
      <w:pPr>
        <w:numPr>
          <w:ilvl w:val="0"/>
          <w:numId w:val="14"/>
        </w:numPr>
        <w:tabs>
          <w:tab w:val="left" w:pos="420"/>
        </w:tabs>
        <w:spacing w:after="0" w:line="240" w:lineRule="auto"/>
        <w:ind w:left="420" w:hanging="420"/>
        <w:jc w:val="both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>Výdavky budúcich období a výnosy budúcich období</w:t>
      </w:r>
    </w:p>
    <w:p w:rsidR="001735B6" w:rsidRDefault="0056047F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Od roku 2008 sa pri účtovaní nákladov a výnosov uplatňuje zásada časového rozlíšenia. Výdavky budúcich období a výnosy budúcich období sa vykazujú vo výške, ktorá je potrebná na dodržanie zásady vecnej a časovej súvislosti s účtovným obdobím. </w:t>
      </w:r>
    </w:p>
    <w:p w:rsidR="001735B6" w:rsidRDefault="001735B6">
      <w:pPr>
        <w:tabs>
          <w:tab w:val="left" w:pos="426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:rsidR="001735B6" w:rsidRDefault="0056047F">
      <w:pPr>
        <w:numPr>
          <w:ilvl w:val="0"/>
          <w:numId w:val="15"/>
        </w:numPr>
        <w:tabs>
          <w:tab w:val="left" w:pos="420"/>
        </w:tabs>
        <w:spacing w:after="0" w:line="240" w:lineRule="auto"/>
        <w:ind w:left="420" w:hanging="420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>Majetok obstaraný z transferov</w:t>
      </w:r>
      <w:r>
        <w:rPr>
          <w:rFonts w:ascii="Times New Roman" w:eastAsia="Times New Roman" w:hAnsi="Times New Roman" w:cs="Times New Roman"/>
          <w:sz w:val="24"/>
        </w:rPr>
        <w:t xml:space="preserve"> sa oceňuje</w:t>
      </w:r>
      <w:r>
        <w:rPr>
          <w:rFonts w:ascii="Times New Roman" w:eastAsia="Times New Roman" w:hAnsi="Times New Roman" w:cs="Times New Roman"/>
          <w:sz w:val="24"/>
          <w:u w:val="single"/>
        </w:rPr>
        <w:t xml:space="preserve"> obstarávacou cenou.</w:t>
      </w:r>
    </w:p>
    <w:p w:rsidR="001735B6" w:rsidRDefault="001735B6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b/>
          <w:sz w:val="18"/>
        </w:rPr>
      </w:pPr>
    </w:p>
    <w:p w:rsidR="001735B6" w:rsidRDefault="0056047F">
      <w:pPr>
        <w:numPr>
          <w:ilvl w:val="0"/>
          <w:numId w:val="16"/>
        </w:numPr>
        <w:tabs>
          <w:tab w:val="left" w:pos="420"/>
        </w:tabs>
        <w:spacing w:after="0" w:line="240" w:lineRule="auto"/>
        <w:ind w:left="420" w:hanging="420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>Majetok obstaraný formou finančného a operatívneho leasingu</w:t>
      </w:r>
      <w:r>
        <w:rPr>
          <w:rFonts w:ascii="Times New Roman" w:eastAsia="Times New Roman" w:hAnsi="Times New Roman" w:cs="Times New Roman"/>
          <w:sz w:val="24"/>
        </w:rPr>
        <w:t xml:space="preserve"> sa oceňuje </w:t>
      </w:r>
      <w:r>
        <w:rPr>
          <w:rFonts w:ascii="Times New Roman" w:eastAsia="Times New Roman" w:hAnsi="Times New Roman" w:cs="Times New Roman"/>
          <w:sz w:val="24"/>
          <w:u w:val="single"/>
        </w:rPr>
        <w:t xml:space="preserve">obstarávacou cenou. </w:t>
      </w:r>
    </w:p>
    <w:p w:rsidR="001735B6" w:rsidRDefault="001735B6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18"/>
        </w:rPr>
      </w:pPr>
    </w:p>
    <w:p w:rsidR="001735B6" w:rsidRDefault="0056047F">
      <w:pPr>
        <w:numPr>
          <w:ilvl w:val="0"/>
          <w:numId w:val="17"/>
        </w:numPr>
        <w:tabs>
          <w:tab w:val="left" w:pos="420"/>
        </w:tabs>
        <w:spacing w:after="0" w:line="240" w:lineRule="auto"/>
        <w:ind w:left="420" w:hanging="420"/>
        <w:jc w:val="both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>Cudzia mena</w:t>
      </w:r>
    </w:p>
    <w:p w:rsidR="001735B6" w:rsidRDefault="0056047F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Majetok a záväzky vyjadrené v cudzej mene sa prepočítavajú na eurá referenčným výmenným kurzom určeným a vyhláseným Európskou centrálnou bankou alebo Národnou bankou Slovenska v deň predchádzajúci dňu uskutočnenia účtovného prípadu alebo v iný deň, ak to ustanovuje osobitný predpis a v deň, ku ktorému sa zostavuje účtovná závierka. V účtovnej závierke sú vykázané s prepočtom podľa kurzu platného ku dňu, ku ktorému sa zostavuje. Od roku 2008 sa kurzové straty  účtujú  do nákladov a kurzové zisky do výnosov.</w:t>
      </w:r>
    </w:p>
    <w:p w:rsidR="001735B6" w:rsidRDefault="001735B6">
      <w:pPr>
        <w:tabs>
          <w:tab w:val="left" w:pos="3270"/>
        </w:tabs>
        <w:spacing w:after="0" w:line="240" w:lineRule="auto"/>
        <w:rPr>
          <w:rFonts w:ascii="Times New Roman" w:eastAsia="Times New Roman" w:hAnsi="Times New Roman" w:cs="Times New Roman"/>
        </w:rPr>
      </w:pPr>
    </w:p>
    <w:p w:rsidR="001735B6" w:rsidRDefault="0056047F">
      <w:pPr>
        <w:numPr>
          <w:ilvl w:val="0"/>
          <w:numId w:val="18"/>
        </w:numPr>
        <w:tabs>
          <w:tab w:val="left" w:pos="420"/>
        </w:tabs>
        <w:spacing w:after="0" w:line="240" w:lineRule="auto"/>
        <w:ind w:left="420" w:hanging="420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Účtovná jednotka </w:t>
      </w:r>
      <w:r>
        <w:rPr>
          <w:rFonts w:ascii="Times New Roman" w:eastAsia="Times New Roman" w:hAnsi="Times New Roman" w:cs="Times New Roman"/>
          <w:b/>
          <w:sz w:val="24"/>
        </w:rPr>
        <w:t>nie je</w:t>
      </w:r>
      <w:r>
        <w:rPr>
          <w:rFonts w:ascii="Times New Roman" w:eastAsia="Times New Roman" w:hAnsi="Times New Roman" w:cs="Times New Roman"/>
          <w:sz w:val="24"/>
        </w:rPr>
        <w:t xml:space="preserve"> platiteľom dane z pridanej hodnoty. V prípadoch, keď dodávatelia   sú platiteľmi DPH, fakturovaná DPH je súčasťou ocenenia dlhodobého majetku, zásob, nákladov.</w:t>
      </w:r>
    </w:p>
    <w:p w:rsidR="001735B6" w:rsidRDefault="001735B6">
      <w:pPr>
        <w:tabs>
          <w:tab w:val="left" w:pos="426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:rsidR="001735B6" w:rsidRDefault="0056047F">
      <w:pPr>
        <w:numPr>
          <w:ilvl w:val="0"/>
          <w:numId w:val="19"/>
        </w:numPr>
        <w:tabs>
          <w:tab w:val="left" w:pos="720"/>
          <w:tab w:val="left" w:pos="360"/>
        </w:tabs>
        <w:spacing w:after="0" w:line="240" w:lineRule="auto"/>
        <w:ind w:left="357" w:hanging="357"/>
        <w:jc w:val="both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>Podstata odpisovania dlhodobého nehmotného a dlhodobého hmotného majetku</w:t>
      </w:r>
    </w:p>
    <w:p w:rsidR="001735B6" w:rsidRDefault="0056047F">
      <w:p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Odpisy dlhodobého nehmotného majetku a dlhodobého hmotného majetku sú stanovené tak, že</w:t>
      </w:r>
      <w:r>
        <w:rPr>
          <w:rFonts w:ascii="Times New Roman" w:eastAsia="Times New Roman" w:hAnsi="Times New Roman" w:cs="Times New Roman"/>
          <w:i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sa vychádza z predpokladanej doby jeho užívania a predpokladaného priebehu jeho opotrebenia. Odpisovať sa začína odo dňa jeho zaradenia do používania. Účtovné odpisy sa zaokrúhľujú na celé koruny smerom nahor. Metóda odpisovania sa používa lineárna. Predpokladaná doba užívania a odpisové sadzby sú stanovené takto:</w:t>
      </w:r>
    </w:p>
    <w:p w:rsidR="001735B6" w:rsidRDefault="001735B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tbl>
      <w:tblPr>
        <w:tblW w:w="0" w:type="auto"/>
        <w:tblInd w:w="828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208"/>
        <w:gridCol w:w="3018"/>
        <w:gridCol w:w="3008"/>
      </w:tblGrid>
      <w:tr w:rsidR="001735B6">
        <w:trPr>
          <w:trHeight w:val="1"/>
        </w:trPr>
        <w:tc>
          <w:tcPr>
            <w:tcW w:w="2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1735B6" w:rsidRDefault="0056047F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Odpisová skupina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1735B6" w:rsidRDefault="0056047F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Doba odpisovania v rokoch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1735B6" w:rsidRDefault="0056047F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Ročná odpisová sadzba</w:t>
            </w:r>
          </w:p>
        </w:tc>
      </w:tr>
      <w:tr w:rsidR="001735B6">
        <w:trPr>
          <w:trHeight w:val="1"/>
        </w:trPr>
        <w:tc>
          <w:tcPr>
            <w:tcW w:w="2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1735B6" w:rsidRDefault="0056047F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sz w:val="24"/>
              </w:rPr>
              <w:t>1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1735B6" w:rsidRDefault="0056047F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sz w:val="24"/>
              </w:rPr>
              <w:t>4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1735B6" w:rsidRDefault="0056047F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sz w:val="24"/>
              </w:rPr>
              <w:t>1/4</w:t>
            </w:r>
          </w:p>
        </w:tc>
      </w:tr>
      <w:tr w:rsidR="001735B6">
        <w:trPr>
          <w:trHeight w:val="1"/>
        </w:trPr>
        <w:tc>
          <w:tcPr>
            <w:tcW w:w="2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1735B6" w:rsidRDefault="0056047F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sz w:val="24"/>
              </w:rPr>
              <w:t>2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1735B6" w:rsidRDefault="0056047F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sz w:val="24"/>
              </w:rPr>
              <w:t>6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1735B6" w:rsidRDefault="0056047F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sz w:val="24"/>
              </w:rPr>
              <w:t>1/6</w:t>
            </w:r>
          </w:p>
        </w:tc>
      </w:tr>
      <w:tr w:rsidR="001735B6">
        <w:trPr>
          <w:trHeight w:val="1"/>
        </w:trPr>
        <w:tc>
          <w:tcPr>
            <w:tcW w:w="2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1735B6" w:rsidRDefault="0056047F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sz w:val="24"/>
              </w:rPr>
              <w:t>3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1735B6" w:rsidRDefault="0056047F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sz w:val="24"/>
              </w:rPr>
              <w:t>12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1735B6" w:rsidRDefault="0056047F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sz w:val="24"/>
              </w:rPr>
              <w:t>1/12</w:t>
            </w:r>
          </w:p>
        </w:tc>
      </w:tr>
      <w:tr w:rsidR="001735B6">
        <w:trPr>
          <w:trHeight w:val="1"/>
        </w:trPr>
        <w:tc>
          <w:tcPr>
            <w:tcW w:w="2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1735B6" w:rsidRDefault="0056047F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sz w:val="24"/>
              </w:rPr>
              <w:t>4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1735B6" w:rsidRDefault="0056047F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sz w:val="24"/>
              </w:rPr>
              <w:t>30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1735B6" w:rsidRDefault="0056047F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sz w:val="24"/>
              </w:rPr>
              <w:t>1/30</w:t>
            </w:r>
          </w:p>
        </w:tc>
      </w:tr>
      <w:tr w:rsidR="001735B6">
        <w:trPr>
          <w:trHeight w:val="1"/>
        </w:trPr>
        <w:tc>
          <w:tcPr>
            <w:tcW w:w="2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1735B6" w:rsidRDefault="001735B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1735B6" w:rsidRDefault="001735B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1735B6" w:rsidRDefault="001735B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1735B6">
        <w:trPr>
          <w:trHeight w:val="1"/>
        </w:trPr>
        <w:tc>
          <w:tcPr>
            <w:tcW w:w="2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1735B6" w:rsidRDefault="001735B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1735B6" w:rsidRDefault="001735B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1735B6" w:rsidRDefault="001735B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</w:tbl>
    <w:p w:rsidR="001735B6" w:rsidRDefault="001735B6">
      <w:pPr>
        <w:spacing w:after="0" w:line="240" w:lineRule="auto"/>
        <w:jc w:val="both"/>
        <w:rPr>
          <w:rFonts w:ascii="Times New Roman" w:eastAsia="Times New Roman" w:hAnsi="Times New Roman" w:cs="Times New Roman"/>
          <w:i/>
          <w:sz w:val="24"/>
        </w:rPr>
      </w:pPr>
    </w:p>
    <w:p w:rsidR="001735B6" w:rsidRDefault="0056047F">
      <w:p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lastRenderedPageBreak/>
        <w:t>Drobný nehmotný majetok od 16,56 € do 333 €, ktorý podľa rozhodnutia účtovnej jednotky nie je dlhodobým nehmotným majetkom sa účtuje pri obstaraní do nákladov na účet 501 - Materiál služby.</w:t>
      </w:r>
    </w:p>
    <w:p w:rsidR="001735B6" w:rsidRDefault="0056047F">
      <w:p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Drobný hmotný majetok od 16,56 € do 333 €, ktorý podľa rozhodnutia účtovnej jednotky nie je dlhodobým hmotným majetkom sa účtuje ako zásoby. </w:t>
      </w:r>
    </w:p>
    <w:p w:rsidR="001735B6" w:rsidRDefault="001735B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</w:rPr>
      </w:pPr>
    </w:p>
    <w:p w:rsidR="001735B6" w:rsidRDefault="0056047F">
      <w:pPr>
        <w:numPr>
          <w:ilvl w:val="0"/>
          <w:numId w:val="20"/>
        </w:numPr>
        <w:tabs>
          <w:tab w:val="left" w:pos="720"/>
          <w:tab w:val="left" w:pos="360"/>
        </w:tabs>
        <w:spacing w:after="0" w:line="240" w:lineRule="auto"/>
        <w:ind w:left="360" w:hanging="360"/>
        <w:jc w:val="center"/>
        <w:rPr>
          <w:rFonts w:ascii="Calibri" w:eastAsia="Calibri" w:hAnsi="Calibri" w:cs="Calibri"/>
          <w:b/>
        </w:rPr>
      </w:pPr>
      <w:r>
        <w:rPr>
          <w:rFonts w:ascii="Calibri" w:eastAsia="Calibri" w:hAnsi="Calibri" w:cs="Calibri"/>
          <w:b/>
        </w:rPr>
        <w:t>Náklady v členení podľa rozpočtových programov /v €/</w:t>
      </w:r>
    </w:p>
    <w:tbl>
      <w:tblPr>
        <w:tblW w:w="0" w:type="auto"/>
        <w:tblInd w:w="70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595"/>
        <w:gridCol w:w="3298"/>
        <w:gridCol w:w="2099"/>
      </w:tblGrid>
      <w:tr w:rsidR="001735B6">
        <w:trPr>
          <w:trHeight w:val="1"/>
        </w:trPr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1735B6" w:rsidRDefault="0056047F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</w:rPr>
              <w:t>Rozpočtový program</w:t>
            </w:r>
          </w:p>
        </w:tc>
        <w:tc>
          <w:tcPr>
            <w:tcW w:w="3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</w:rPr>
              <w:t>Popis nákladov</w:t>
            </w:r>
          </w:p>
        </w:tc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</w:rPr>
              <w:t>Suma v €</w:t>
            </w:r>
          </w:p>
        </w:tc>
      </w:tr>
      <w:tr w:rsidR="001735B6">
        <w:trPr>
          <w:trHeight w:val="1"/>
        </w:trPr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Prenesene kompetencie - ZŠ</w:t>
            </w:r>
          </w:p>
        </w:tc>
        <w:tc>
          <w:tcPr>
            <w:tcW w:w="3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1735B6" w:rsidRDefault="0056047F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Prevádzkové náklady</w:t>
            </w:r>
          </w:p>
        </w:tc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735B6" w:rsidRDefault="00863AF0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337182</w:t>
            </w:r>
          </w:p>
        </w:tc>
      </w:tr>
      <w:tr w:rsidR="001735B6">
        <w:trPr>
          <w:trHeight w:val="1"/>
        </w:trPr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Originalne kompetencie - SKD</w:t>
            </w:r>
          </w:p>
        </w:tc>
        <w:tc>
          <w:tcPr>
            <w:tcW w:w="3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  <w:p w:rsidR="001735B6" w:rsidRDefault="0056047F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Prevádzkové náklady</w:t>
            </w:r>
          </w:p>
        </w:tc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735B6" w:rsidRDefault="00863AF0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17507,11</w:t>
            </w:r>
          </w:p>
        </w:tc>
      </w:tr>
      <w:tr w:rsidR="001735B6">
        <w:trPr>
          <w:trHeight w:val="1"/>
        </w:trPr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originálne kompetencie - ZŠ</w:t>
            </w:r>
          </w:p>
        </w:tc>
        <w:tc>
          <w:tcPr>
            <w:tcW w:w="3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1735B6" w:rsidRDefault="0056047F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prevádzkové náklady</w:t>
            </w:r>
          </w:p>
        </w:tc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735B6" w:rsidRDefault="0087293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9254,35</w:t>
            </w:r>
          </w:p>
        </w:tc>
      </w:tr>
      <w:tr w:rsidR="001735B6">
        <w:trPr>
          <w:trHeight w:val="1"/>
        </w:trPr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1735B6" w:rsidRDefault="001735B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1735B6" w:rsidRDefault="0056047F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Projekt EU</w:t>
            </w:r>
          </w:p>
        </w:tc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735B6" w:rsidRDefault="0087293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2330,33</w:t>
            </w:r>
          </w:p>
        </w:tc>
      </w:tr>
      <w:tr w:rsidR="001735B6">
        <w:trPr>
          <w:trHeight w:val="1"/>
        </w:trPr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1735B6" w:rsidRDefault="001735B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1735B6" w:rsidRDefault="0056047F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Projekt EU</w:t>
            </w:r>
          </w:p>
        </w:tc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735B6" w:rsidRDefault="0087293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374,86</w:t>
            </w:r>
            <w:r w:rsidR="0056047F">
              <w:rPr>
                <w:rFonts w:ascii="Calibri" w:eastAsia="Calibri" w:hAnsi="Calibri" w:cs="Calibri"/>
              </w:rPr>
              <w:t xml:space="preserve"> </w:t>
            </w:r>
          </w:p>
        </w:tc>
      </w:tr>
      <w:tr w:rsidR="001735B6">
        <w:trPr>
          <w:trHeight w:val="1"/>
        </w:trPr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1735B6" w:rsidRDefault="001735B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1735B6">
        <w:trPr>
          <w:trHeight w:val="1"/>
        </w:trPr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1735B6" w:rsidRDefault="001735B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1735B6">
        <w:trPr>
          <w:trHeight w:val="1"/>
        </w:trPr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1735B6" w:rsidRDefault="001735B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1735B6">
        <w:trPr>
          <w:trHeight w:val="1"/>
        </w:trPr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</w:rPr>
              <w:t>Spolu</w:t>
            </w:r>
          </w:p>
        </w:tc>
        <w:tc>
          <w:tcPr>
            <w:tcW w:w="3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735B6" w:rsidRDefault="0087293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</w:rPr>
              <w:t>366648,65</w:t>
            </w:r>
          </w:p>
        </w:tc>
      </w:tr>
    </w:tbl>
    <w:p w:rsidR="001735B6" w:rsidRDefault="001735B6">
      <w:pPr>
        <w:spacing w:after="0" w:line="240" w:lineRule="auto"/>
        <w:jc w:val="both"/>
        <w:rPr>
          <w:rFonts w:ascii="Times New Roman" w:eastAsia="Times New Roman" w:hAnsi="Times New Roman" w:cs="Times New Roman"/>
          <w:b/>
        </w:rPr>
      </w:pPr>
    </w:p>
    <w:p w:rsidR="001735B6" w:rsidRDefault="001735B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</w:rPr>
      </w:pPr>
    </w:p>
    <w:p w:rsidR="001735B6" w:rsidRDefault="001735B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</w:rPr>
      </w:pPr>
    </w:p>
    <w:p w:rsidR="001735B6" w:rsidRDefault="0056047F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</w:rPr>
      </w:pPr>
      <w:r>
        <w:rPr>
          <w:rFonts w:ascii="Times New Roman" w:eastAsia="Times New Roman" w:hAnsi="Times New Roman" w:cs="Times New Roman"/>
          <w:b/>
          <w:sz w:val="28"/>
        </w:rPr>
        <w:t xml:space="preserve">Informácie o transferoch a vzťahoch so subjektami verejnej správy </w:t>
      </w:r>
    </w:p>
    <w:p w:rsidR="001735B6" w:rsidRDefault="001735B6">
      <w:pPr>
        <w:tabs>
          <w:tab w:val="left" w:pos="426"/>
        </w:tabs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1735B6" w:rsidRDefault="0056047F">
      <w:pPr>
        <w:numPr>
          <w:ilvl w:val="0"/>
          <w:numId w:val="21"/>
        </w:numPr>
        <w:tabs>
          <w:tab w:val="left" w:pos="720"/>
          <w:tab w:val="left" w:pos="360"/>
        </w:tabs>
        <w:spacing w:after="0" w:line="240" w:lineRule="auto"/>
        <w:ind w:left="360" w:hanging="360"/>
        <w:jc w:val="both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>Zúčtovanie odvodov príjmov rozpočtových organizácií do rozpočtu zriaďovateľa</w:t>
      </w:r>
    </w:p>
    <w:p w:rsidR="001735B6" w:rsidRDefault="0056047F">
      <w:pPr>
        <w:tabs>
          <w:tab w:val="left" w:pos="36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 xml:space="preserve">      (Pohľadávka účet 351) v €</w:t>
      </w:r>
    </w:p>
    <w:tbl>
      <w:tblPr>
        <w:tblW w:w="0" w:type="auto"/>
        <w:tblInd w:w="70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036"/>
        <w:gridCol w:w="1379"/>
        <w:gridCol w:w="1390"/>
        <w:gridCol w:w="1404"/>
        <w:gridCol w:w="1404"/>
        <w:gridCol w:w="1379"/>
      </w:tblGrid>
      <w:tr w:rsidR="001735B6">
        <w:trPr>
          <w:trHeight w:val="1"/>
        </w:trPr>
        <w:tc>
          <w:tcPr>
            <w:tcW w:w="2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Popis zostatku účtu 351</w:t>
            </w:r>
          </w:p>
          <w:p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/pohľadávka/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Stav pohľadávky k 31.12.201</w:t>
            </w:r>
            <w:r w:rsidR="005433E0">
              <w:rPr>
                <w:rFonts w:ascii="Calibri" w:eastAsia="Calibri" w:hAnsi="Calibri" w:cs="Calibri"/>
              </w:rPr>
              <w:t>8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 xml:space="preserve">V bežnom účtovnom období </w:t>
            </w:r>
            <w:r>
              <w:rPr>
                <w:rFonts w:ascii="Calibri" w:eastAsia="Calibri" w:hAnsi="Calibri" w:cs="Calibri"/>
                <w:u w:val="single"/>
              </w:rPr>
              <w:t xml:space="preserve">prijaté </w:t>
            </w:r>
            <w:r>
              <w:rPr>
                <w:rFonts w:ascii="Calibri" w:eastAsia="Calibri" w:hAnsi="Calibri" w:cs="Calibri"/>
              </w:rPr>
              <w:t>odvody príjmov minulých účtovných období</w:t>
            </w:r>
          </w:p>
          <w:p w:rsidR="001735B6" w:rsidRDefault="001735B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  <w:p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-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Odvody príjmov bežného účtovného obdobia zúčtované do výnosov</w:t>
            </w:r>
          </w:p>
          <w:p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+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Uhradené</w:t>
            </w:r>
          </w:p>
          <w:p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odvody príjmov bežného účtovného obdobia</w:t>
            </w:r>
          </w:p>
          <w:p w:rsidR="001735B6" w:rsidRDefault="001735B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  <w:p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-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Stav pohľadávky k 31.12.201</w:t>
            </w:r>
            <w:r w:rsidR="005433E0">
              <w:rPr>
                <w:rFonts w:ascii="Calibri" w:eastAsia="Calibri" w:hAnsi="Calibri" w:cs="Calibri"/>
              </w:rPr>
              <w:t>9</w:t>
            </w:r>
            <w:bookmarkStart w:id="0" w:name="_GoBack"/>
            <w:bookmarkEnd w:id="0"/>
          </w:p>
          <w:p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z dôvodu neprijatých odvodov príjmov</w:t>
            </w:r>
          </w:p>
        </w:tc>
      </w:tr>
      <w:tr w:rsidR="001735B6">
        <w:trPr>
          <w:trHeight w:val="1"/>
        </w:trPr>
        <w:tc>
          <w:tcPr>
            <w:tcW w:w="2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351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735B6" w:rsidRDefault="0056047F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735B6" w:rsidRDefault="0056047F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735B6" w:rsidRDefault="0087293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4981,87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735B6" w:rsidRDefault="0087293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4981,87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735B6" w:rsidRDefault="0056047F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</w:tr>
      <w:tr w:rsidR="001735B6">
        <w:trPr>
          <w:trHeight w:val="1"/>
        </w:trPr>
        <w:tc>
          <w:tcPr>
            <w:tcW w:w="2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735B6" w:rsidRDefault="001735B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1735B6">
        <w:trPr>
          <w:trHeight w:val="1"/>
        </w:trPr>
        <w:tc>
          <w:tcPr>
            <w:tcW w:w="2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</w:rPr>
              <w:t>Spolu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735B6" w:rsidRDefault="0056047F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735B6" w:rsidRDefault="0087293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4981,87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735B6" w:rsidRDefault="0087293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4981,87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735B6" w:rsidRDefault="0056047F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</w:tr>
    </w:tbl>
    <w:p w:rsidR="001735B6" w:rsidRDefault="001735B6">
      <w:pPr>
        <w:tabs>
          <w:tab w:val="left" w:pos="426"/>
        </w:tabs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1735B6" w:rsidRDefault="0056047F">
      <w:pPr>
        <w:numPr>
          <w:ilvl w:val="0"/>
          <w:numId w:val="22"/>
        </w:numPr>
        <w:tabs>
          <w:tab w:val="left" w:pos="720"/>
          <w:tab w:val="left" w:pos="360"/>
        </w:tabs>
        <w:spacing w:after="0" w:line="240" w:lineRule="auto"/>
        <w:ind w:left="360" w:hanging="360"/>
        <w:jc w:val="both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>Zúčtovanie odvodov príjmov rozpočtových organizácií do rozpočtu zriaďovateľa</w:t>
      </w:r>
    </w:p>
    <w:p w:rsidR="001735B6" w:rsidRDefault="0056047F">
      <w:pPr>
        <w:tabs>
          <w:tab w:val="left" w:pos="36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 xml:space="preserve">      (Záväzok účet 351) v €</w:t>
      </w:r>
    </w:p>
    <w:tbl>
      <w:tblPr>
        <w:tblW w:w="0" w:type="auto"/>
        <w:tblInd w:w="70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926"/>
        <w:gridCol w:w="1382"/>
        <w:gridCol w:w="1401"/>
        <w:gridCol w:w="1414"/>
        <w:gridCol w:w="1414"/>
        <w:gridCol w:w="1455"/>
      </w:tblGrid>
      <w:tr w:rsidR="001735B6">
        <w:trPr>
          <w:trHeight w:val="1"/>
        </w:trPr>
        <w:tc>
          <w:tcPr>
            <w:tcW w:w="2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lastRenderedPageBreak/>
              <w:t>Popis zostatku účtu 351</w:t>
            </w:r>
          </w:p>
          <w:p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/záväzok/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Stav</w:t>
            </w:r>
          </w:p>
          <w:p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záväzku</w:t>
            </w:r>
          </w:p>
          <w:p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k 31.12.201</w:t>
            </w:r>
            <w:r w:rsidR="00262EA6">
              <w:rPr>
                <w:rFonts w:ascii="Calibri" w:eastAsia="Calibri" w:hAnsi="Calibri" w:cs="Calibri"/>
              </w:rPr>
              <w:t>8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 xml:space="preserve">V bežnom účtovnom období </w:t>
            </w:r>
            <w:r>
              <w:rPr>
                <w:rFonts w:ascii="Calibri" w:eastAsia="Calibri" w:hAnsi="Calibri" w:cs="Calibri"/>
                <w:u w:val="single"/>
              </w:rPr>
              <w:t>uhradené</w:t>
            </w:r>
            <w:r>
              <w:rPr>
                <w:rFonts w:ascii="Calibri" w:eastAsia="Calibri" w:hAnsi="Calibri" w:cs="Calibri"/>
              </w:rPr>
              <w:t xml:space="preserve"> odvody príjmov minulých účtovných období</w:t>
            </w:r>
          </w:p>
          <w:p w:rsidR="001735B6" w:rsidRDefault="001735B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  <w:p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-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Odvody príjmov bežného účtovného obdobia zúčtované do nákladov</w:t>
            </w:r>
          </w:p>
          <w:p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+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Uhradené</w:t>
            </w:r>
          </w:p>
          <w:p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odvody príjmov bežného účtovného obdobia</w:t>
            </w:r>
          </w:p>
          <w:p w:rsidR="001735B6" w:rsidRDefault="001735B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  <w:p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-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Stav</w:t>
            </w:r>
          </w:p>
          <w:p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záväzku k 31.12.201</w:t>
            </w:r>
            <w:r w:rsidR="00262EA6">
              <w:rPr>
                <w:rFonts w:ascii="Calibri" w:eastAsia="Calibri" w:hAnsi="Calibri" w:cs="Calibri"/>
              </w:rPr>
              <w:t>9</w:t>
            </w:r>
          </w:p>
          <w:p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z dôvodu neodvedených  odvodov príjmov</w:t>
            </w:r>
          </w:p>
        </w:tc>
      </w:tr>
      <w:tr w:rsidR="001735B6" w:rsidTr="00A71B7E">
        <w:trPr>
          <w:trHeight w:val="1"/>
        </w:trPr>
        <w:tc>
          <w:tcPr>
            <w:tcW w:w="2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351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735B6" w:rsidRDefault="0056047F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735B6" w:rsidRDefault="0056047F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1735B6" w:rsidRPr="00A71B7E" w:rsidRDefault="00A71B7E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  <w:r w:rsidRPr="00A71B7E">
              <w:rPr>
                <w:rFonts w:ascii="Calibri" w:eastAsia="Calibri" w:hAnsi="Calibri" w:cs="Calibri"/>
              </w:rPr>
              <w:t>4981,87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1735B6" w:rsidRPr="00A71B7E" w:rsidRDefault="00A71B7E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  <w:r w:rsidRPr="00A71B7E">
              <w:rPr>
                <w:rFonts w:ascii="Calibri" w:eastAsia="Calibri" w:hAnsi="Calibri" w:cs="Calibri"/>
              </w:rPr>
              <w:t>4981,87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735B6" w:rsidRDefault="0056047F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</w:tr>
      <w:tr w:rsidR="001735B6">
        <w:trPr>
          <w:trHeight w:val="1"/>
        </w:trPr>
        <w:tc>
          <w:tcPr>
            <w:tcW w:w="2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735B6" w:rsidRDefault="001735B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1735B6">
        <w:trPr>
          <w:trHeight w:val="1"/>
        </w:trPr>
        <w:tc>
          <w:tcPr>
            <w:tcW w:w="2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</w:rPr>
              <w:t>Spolu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735B6" w:rsidRDefault="0056047F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</w:rPr>
              <w:t>0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735B6" w:rsidRDefault="0056047F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735B6" w:rsidRDefault="00A71B7E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4981,87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735B6" w:rsidRDefault="00A71B7E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4981,87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735B6" w:rsidRDefault="0056047F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</w:tr>
    </w:tbl>
    <w:p w:rsidR="001735B6" w:rsidRDefault="001735B6">
      <w:pPr>
        <w:tabs>
          <w:tab w:val="left" w:pos="426"/>
        </w:tabs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1735B6" w:rsidRDefault="001735B6">
      <w:pPr>
        <w:tabs>
          <w:tab w:val="left" w:pos="426"/>
        </w:tabs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1735B6" w:rsidRDefault="001735B6">
      <w:pPr>
        <w:tabs>
          <w:tab w:val="left" w:pos="426"/>
        </w:tabs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1735B6" w:rsidRDefault="0056047F">
      <w:pPr>
        <w:numPr>
          <w:ilvl w:val="0"/>
          <w:numId w:val="23"/>
        </w:numPr>
        <w:tabs>
          <w:tab w:val="left" w:pos="720"/>
          <w:tab w:val="left" w:pos="360"/>
        </w:tabs>
        <w:spacing w:after="0" w:line="240" w:lineRule="auto"/>
        <w:ind w:left="360" w:hanging="360"/>
        <w:jc w:val="both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>Zúčtovanie prijatých transferov v členení  podľa jednotlivých položiek súvahy /v €/</w:t>
      </w:r>
    </w:p>
    <w:tbl>
      <w:tblPr>
        <w:tblW w:w="0" w:type="auto"/>
        <w:tblInd w:w="70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835"/>
        <w:gridCol w:w="1076"/>
        <w:gridCol w:w="1206"/>
        <w:gridCol w:w="1298"/>
        <w:gridCol w:w="1197"/>
        <w:gridCol w:w="1197"/>
        <w:gridCol w:w="1183"/>
      </w:tblGrid>
      <w:tr w:rsidR="001735B6">
        <w:trPr>
          <w:trHeight w:val="1"/>
        </w:trPr>
        <w:tc>
          <w:tcPr>
            <w:tcW w:w="2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Názov zostatku  v členení podľa štruktúry súvahy</w:t>
            </w:r>
          </w:p>
          <w:p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/riadky súvahy 134 až 139/</w:t>
            </w:r>
          </w:p>
          <w:p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/záväzok/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Stav</w:t>
            </w:r>
          </w:p>
          <w:p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Záväzku k 31.12.   201</w:t>
            </w:r>
            <w:r w:rsidR="005433E0">
              <w:rPr>
                <w:rFonts w:ascii="Calibri" w:eastAsia="Calibri" w:hAnsi="Calibri" w:cs="Calibri"/>
              </w:rPr>
              <w:t>8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Druh</w:t>
            </w:r>
          </w:p>
          <w:p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transferu</w:t>
            </w:r>
          </w:p>
          <w:p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/bežný, kapitálový/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Príjem</w:t>
            </w:r>
          </w:p>
          <w:p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bežného/</w:t>
            </w:r>
          </w:p>
          <w:p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kapitálového transferu</w:t>
            </w:r>
          </w:p>
          <w:p w:rsidR="001735B6" w:rsidRDefault="001735B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  <w:p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+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Zúčtovanie</w:t>
            </w:r>
          </w:p>
          <w:p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do výnosov bežného účtovného obdobia</w:t>
            </w:r>
          </w:p>
          <w:p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-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Zúčtovanie</w:t>
            </w:r>
          </w:p>
          <w:p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do výnosov budúcich období</w:t>
            </w:r>
          </w:p>
          <w:p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/účet 384/</w:t>
            </w:r>
          </w:p>
          <w:p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-</w:t>
            </w:r>
          </w:p>
        </w:tc>
        <w:tc>
          <w:tcPr>
            <w:tcW w:w="1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Stav</w:t>
            </w:r>
          </w:p>
          <w:p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záväzku k 31.12.  201</w:t>
            </w:r>
            <w:r w:rsidR="005433E0">
              <w:rPr>
                <w:rFonts w:ascii="Calibri" w:eastAsia="Calibri" w:hAnsi="Calibri" w:cs="Calibri"/>
              </w:rPr>
              <w:t>9</w:t>
            </w:r>
          </w:p>
          <w:p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z dôvodu</w:t>
            </w:r>
          </w:p>
          <w:p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prijatých transferov</w:t>
            </w:r>
          </w:p>
        </w:tc>
      </w:tr>
      <w:tr w:rsidR="001735B6">
        <w:trPr>
          <w:trHeight w:val="1"/>
        </w:trPr>
        <w:tc>
          <w:tcPr>
            <w:tcW w:w="2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</w:rPr>
              <w:t>Účet 355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0,00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735B6" w:rsidRDefault="001735B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735B6" w:rsidRDefault="0056047F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0,00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735B6" w:rsidRDefault="0056047F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0,00</w:t>
            </w:r>
          </w:p>
        </w:tc>
      </w:tr>
      <w:tr w:rsidR="001735B6">
        <w:trPr>
          <w:trHeight w:val="1"/>
        </w:trPr>
        <w:tc>
          <w:tcPr>
            <w:tcW w:w="2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735B6" w:rsidRDefault="001735B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735B6" w:rsidRDefault="001735B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735B6" w:rsidRDefault="001735B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1735B6">
        <w:trPr>
          <w:trHeight w:val="1"/>
        </w:trPr>
        <w:tc>
          <w:tcPr>
            <w:tcW w:w="2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735B6" w:rsidRDefault="001735B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735B6" w:rsidRDefault="001735B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735B6" w:rsidRDefault="001735B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1735B6">
        <w:trPr>
          <w:trHeight w:val="1"/>
        </w:trPr>
        <w:tc>
          <w:tcPr>
            <w:tcW w:w="2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735B6" w:rsidRDefault="001735B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735B6" w:rsidRDefault="001735B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735B6" w:rsidRDefault="001735B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1735B6">
        <w:trPr>
          <w:trHeight w:val="1"/>
        </w:trPr>
        <w:tc>
          <w:tcPr>
            <w:tcW w:w="2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</w:rPr>
              <w:t>Účet 357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Bezny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735B6" w:rsidRPr="00A71B7E" w:rsidRDefault="00A71B7E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  <w:r w:rsidRPr="00A71B7E">
              <w:rPr>
                <w:rFonts w:ascii="Calibri" w:eastAsia="Calibri" w:hAnsi="Calibri" w:cs="Calibri"/>
              </w:rPr>
              <w:t>339887,19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735B6" w:rsidRPr="00A71B7E" w:rsidRDefault="00A71B7E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  <w:r w:rsidRPr="00A71B7E">
              <w:rPr>
                <w:rFonts w:ascii="Calibri" w:eastAsia="Calibri" w:hAnsi="Calibri" w:cs="Calibri"/>
              </w:rPr>
              <w:t>339887,19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735B6" w:rsidRDefault="0056047F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0,00</w:t>
            </w:r>
          </w:p>
        </w:tc>
      </w:tr>
      <w:tr w:rsidR="001735B6">
        <w:trPr>
          <w:trHeight w:val="1"/>
        </w:trPr>
        <w:tc>
          <w:tcPr>
            <w:tcW w:w="2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735B6" w:rsidRDefault="001735B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735B6" w:rsidRDefault="001735B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735B6" w:rsidRDefault="001735B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1735B6">
        <w:trPr>
          <w:trHeight w:val="1"/>
        </w:trPr>
        <w:tc>
          <w:tcPr>
            <w:tcW w:w="2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735B6" w:rsidRDefault="001735B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735B6" w:rsidRDefault="001735B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735B6" w:rsidRDefault="001735B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1735B6">
        <w:trPr>
          <w:trHeight w:val="1"/>
        </w:trPr>
        <w:tc>
          <w:tcPr>
            <w:tcW w:w="2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</w:rPr>
              <w:t>Účet 359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735B6" w:rsidRDefault="001735B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735B6" w:rsidRDefault="001735B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1735B6">
        <w:trPr>
          <w:trHeight w:val="1"/>
        </w:trPr>
        <w:tc>
          <w:tcPr>
            <w:tcW w:w="2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</w:rPr>
              <w:t>Spolu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735B6" w:rsidRDefault="0056047F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</w:rPr>
              <w:t>311 062,11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735B6" w:rsidRDefault="0056047F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</w:rPr>
              <w:t>311 062,11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735B6" w:rsidRDefault="0056047F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0,00</w:t>
            </w:r>
          </w:p>
        </w:tc>
      </w:tr>
    </w:tbl>
    <w:p w:rsidR="001735B6" w:rsidRDefault="001735B6">
      <w:pPr>
        <w:tabs>
          <w:tab w:val="left" w:pos="426"/>
        </w:tabs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1735B6" w:rsidRDefault="001735B6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1735B6" w:rsidRDefault="001735B6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1735B6" w:rsidRDefault="0056047F">
      <w:pPr>
        <w:numPr>
          <w:ilvl w:val="0"/>
          <w:numId w:val="24"/>
        </w:numPr>
        <w:tabs>
          <w:tab w:val="left" w:pos="720"/>
          <w:tab w:val="left" w:pos="360"/>
        </w:tabs>
        <w:spacing w:after="0" w:line="240" w:lineRule="auto"/>
        <w:ind w:left="360" w:hanging="360"/>
        <w:jc w:val="both"/>
        <w:rPr>
          <w:rFonts w:ascii="Calibri" w:eastAsia="Calibri" w:hAnsi="Calibri" w:cs="Calibri"/>
          <w:b/>
        </w:rPr>
      </w:pPr>
      <w:r>
        <w:rPr>
          <w:rFonts w:ascii="Calibri" w:eastAsia="Calibri" w:hAnsi="Calibri" w:cs="Calibri"/>
          <w:b/>
        </w:rPr>
        <w:t xml:space="preserve">Zúčtovanie poskytnutých transferov v členení  podľa jednotlivých položiek súvahy /v €/ </w:t>
      </w:r>
    </w:p>
    <w:tbl>
      <w:tblPr>
        <w:tblW w:w="0" w:type="auto"/>
        <w:tblInd w:w="70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311"/>
        <w:gridCol w:w="1310"/>
        <w:gridCol w:w="1112"/>
        <w:gridCol w:w="1265"/>
        <w:gridCol w:w="1342"/>
        <w:gridCol w:w="1342"/>
        <w:gridCol w:w="1310"/>
      </w:tblGrid>
      <w:tr w:rsidR="001735B6">
        <w:trPr>
          <w:trHeight w:val="1"/>
        </w:trPr>
        <w:tc>
          <w:tcPr>
            <w:tcW w:w="2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Názov zostatku  v členení podľa štruktúry súvahy</w:t>
            </w:r>
          </w:p>
          <w:p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lastRenderedPageBreak/>
              <w:t>/riadky súvahy 042 až 047/</w:t>
            </w:r>
          </w:p>
          <w:p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/pohľadávka/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lastRenderedPageBreak/>
              <w:t>Stav</w:t>
            </w:r>
          </w:p>
          <w:p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pohľadávky k 31.12. 2017</w:t>
            </w:r>
          </w:p>
          <w:p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z dôvodu poskytnutých transferov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Druh</w:t>
            </w:r>
          </w:p>
          <w:p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transferu</w:t>
            </w:r>
          </w:p>
          <w:p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/bežný, kapitálový/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Poskytnutie</w:t>
            </w:r>
          </w:p>
          <w:p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bežného/</w:t>
            </w:r>
          </w:p>
          <w:p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kapitálového transferu</w:t>
            </w:r>
          </w:p>
          <w:p w:rsidR="001735B6" w:rsidRDefault="001735B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  <w:p w:rsidR="001735B6" w:rsidRDefault="001735B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  <w:p w:rsidR="001735B6" w:rsidRDefault="001735B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  <w:p w:rsidR="001735B6" w:rsidRDefault="001735B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  <w:p w:rsidR="001735B6" w:rsidRDefault="001735B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  <w:p w:rsidR="001735B6" w:rsidRDefault="001735B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  <w:p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+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lastRenderedPageBreak/>
              <w:t>Zúčtovanie</w:t>
            </w:r>
          </w:p>
          <w:p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transferu</w:t>
            </w:r>
          </w:p>
          <w:p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 xml:space="preserve">poskytnutého v bežnom účtovnom období do nákladov </w:t>
            </w:r>
            <w:r>
              <w:rPr>
                <w:rFonts w:ascii="Calibri" w:eastAsia="Calibri" w:hAnsi="Calibri" w:cs="Calibri"/>
              </w:rPr>
              <w:lastRenderedPageBreak/>
              <w:t>bežného účtovného obdobia</w:t>
            </w:r>
          </w:p>
          <w:p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-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lastRenderedPageBreak/>
              <w:t>Zúčtovanie</w:t>
            </w:r>
          </w:p>
          <w:p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transferu</w:t>
            </w:r>
          </w:p>
          <w:p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 xml:space="preserve">poskytnutého v minulých účtovných obdobiach do nákladov </w:t>
            </w:r>
            <w:r>
              <w:rPr>
                <w:rFonts w:ascii="Calibri" w:eastAsia="Calibri" w:hAnsi="Calibri" w:cs="Calibri"/>
              </w:rPr>
              <w:lastRenderedPageBreak/>
              <w:t>bežného účtovného obdobia</w:t>
            </w:r>
          </w:p>
          <w:p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-</w:t>
            </w:r>
          </w:p>
        </w:tc>
        <w:tc>
          <w:tcPr>
            <w:tcW w:w="1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lastRenderedPageBreak/>
              <w:t>Stav</w:t>
            </w:r>
          </w:p>
          <w:p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pohľadávky</w:t>
            </w:r>
          </w:p>
          <w:p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k 31.12. 201</w:t>
            </w:r>
            <w:r w:rsidR="00A71B7E">
              <w:rPr>
                <w:rFonts w:ascii="Calibri" w:eastAsia="Calibri" w:hAnsi="Calibri" w:cs="Calibri"/>
              </w:rPr>
              <w:t>9</w:t>
            </w:r>
          </w:p>
          <w:p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z dôvodu</w:t>
            </w:r>
          </w:p>
          <w:p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poskytnutých transferov</w:t>
            </w:r>
          </w:p>
        </w:tc>
      </w:tr>
      <w:tr w:rsidR="001735B6">
        <w:trPr>
          <w:trHeight w:val="1"/>
        </w:trPr>
        <w:tc>
          <w:tcPr>
            <w:tcW w:w="2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</w:rPr>
              <w:t>Účet 355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735B6" w:rsidRDefault="001735B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kapitálový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1735B6">
        <w:trPr>
          <w:trHeight w:val="1"/>
        </w:trPr>
        <w:tc>
          <w:tcPr>
            <w:tcW w:w="2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735B6" w:rsidRDefault="001735B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735B6" w:rsidRDefault="001735B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735B6" w:rsidRDefault="001735B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1735B6">
        <w:trPr>
          <w:trHeight w:val="1"/>
        </w:trPr>
        <w:tc>
          <w:tcPr>
            <w:tcW w:w="2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735B6" w:rsidRDefault="001735B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735B6" w:rsidRDefault="001735B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735B6" w:rsidRDefault="001735B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1735B6">
        <w:trPr>
          <w:trHeight w:val="1"/>
        </w:trPr>
        <w:tc>
          <w:tcPr>
            <w:tcW w:w="2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735B6" w:rsidRDefault="001735B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735B6" w:rsidRDefault="001735B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735B6" w:rsidRDefault="001735B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1735B6">
        <w:trPr>
          <w:trHeight w:val="1"/>
        </w:trPr>
        <w:tc>
          <w:tcPr>
            <w:tcW w:w="2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</w:rPr>
              <w:t>Účet 357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735B6" w:rsidRDefault="001735B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Bezny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735B6" w:rsidRDefault="0056047F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735B6" w:rsidRDefault="0056047F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</w:tr>
      <w:tr w:rsidR="001735B6">
        <w:trPr>
          <w:trHeight w:val="1"/>
        </w:trPr>
        <w:tc>
          <w:tcPr>
            <w:tcW w:w="2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735B6" w:rsidRDefault="001735B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735B6" w:rsidRDefault="001735B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735B6" w:rsidRDefault="001735B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1735B6">
        <w:trPr>
          <w:trHeight w:val="1"/>
        </w:trPr>
        <w:tc>
          <w:tcPr>
            <w:tcW w:w="2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735B6" w:rsidRDefault="001735B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735B6" w:rsidRDefault="001735B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735B6" w:rsidRDefault="001735B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1735B6">
        <w:trPr>
          <w:trHeight w:val="1"/>
        </w:trPr>
        <w:tc>
          <w:tcPr>
            <w:tcW w:w="2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</w:rPr>
              <w:t>Účet 359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735B6" w:rsidRDefault="001735B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735B6" w:rsidRDefault="001735B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1735B6">
        <w:trPr>
          <w:trHeight w:val="1"/>
        </w:trPr>
        <w:tc>
          <w:tcPr>
            <w:tcW w:w="2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</w:rPr>
              <w:t>Spolu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735B6" w:rsidRDefault="0056047F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</w:tr>
    </w:tbl>
    <w:p w:rsidR="001735B6" w:rsidRDefault="001735B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</w:rPr>
      </w:pPr>
    </w:p>
    <w:p w:rsidR="001735B6" w:rsidRDefault="001735B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</w:rPr>
      </w:pPr>
    </w:p>
    <w:p w:rsidR="001735B6" w:rsidRDefault="001735B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</w:rPr>
      </w:pPr>
    </w:p>
    <w:p w:rsidR="001735B6" w:rsidRDefault="0056047F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</w:rPr>
      </w:pPr>
      <w:r>
        <w:rPr>
          <w:rFonts w:ascii="Times New Roman" w:eastAsia="Times New Roman" w:hAnsi="Times New Roman" w:cs="Times New Roman"/>
          <w:b/>
          <w:sz w:val="28"/>
        </w:rPr>
        <w:t>Čl. XI</w:t>
      </w:r>
    </w:p>
    <w:p w:rsidR="001735B6" w:rsidRDefault="0056047F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</w:rPr>
      </w:pPr>
      <w:r>
        <w:rPr>
          <w:rFonts w:ascii="Times New Roman" w:eastAsia="Times New Roman" w:hAnsi="Times New Roman" w:cs="Times New Roman"/>
          <w:b/>
          <w:sz w:val="28"/>
        </w:rPr>
        <w:t xml:space="preserve">Informácie o rozpočte a hodnotenie plnenia rozpočtu </w:t>
      </w:r>
    </w:p>
    <w:p w:rsidR="001735B6" w:rsidRDefault="001735B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</w:rPr>
      </w:pPr>
    </w:p>
    <w:p w:rsidR="001735B6" w:rsidRDefault="0056047F">
      <w:pPr>
        <w:numPr>
          <w:ilvl w:val="0"/>
          <w:numId w:val="25"/>
        </w:numPr>
        <w:tabs>
          <w:tab w:val="left" w:pos="720"/>
        </w:tabs>
        <w:spacing w:after="0" w:line="240" w:lineRule="auto"/>
        <w:ind w:left="360" w:hanging="360"/>
        <w:jc w:val="both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 xml:space="preserve">Informácie o rozpočte a hodnotenie plnenia rozpočtu </w:t>
      </w:r>
    </w:p>
    <w:p w:rsidR="001735B6" w:rsidRDefault="001735B6">
      <w:pPr>
        <w:tabs>
          <w:tab w:val="left" w:pos="426"/>
        </w:tabs>
        <w:spacing w:after="0" w:line="240" w:lineRule="auto"/>
        <w:ind w:left="426" w:hanging="426"/>
        <w:jc w:val="both"/>
        <w:rPr>
          <w:rFonts w:ascii="Times New Roman" w:eastAsia="Times New Roman" w:hAnsi="Times New Roman" w:cs="Times New Roman"/>
          <w:sz w:val="24"/>
        </w:rPr>
      </w:pPr>
    </w:p>
    <w:p w:rsidR="001735B6" w:rsidRDefault="0056047F">
      <w:pPr>
        <w:spacing w:after="0" w:line="240" w:lineRule="auto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Rozpočet obce/rozpočtovej organizácie bol schválený obecným zastupiteľstvom. </w:t>
      </w:r>
    </w:p>
    <w:p w:rsidR="001735B6" w:rsidRDefault="001735B6">
      <w:pPr>
        <w:tabs>
          <w:tab w:val="left" w:pos="426"/>
        </w:tabs>
        <w:spacing w:after="0" w:line="240" w:lineRule="auto"/>
        <w:ind w:left="426" w:hanging="426"/>
        <w:jc w:val="both"/>
        <w:rPr>
          <w:rFonts w:ascii="Times New Roman" w:eastAsia="Times New Roman" w:hAnsi="Times New Roman" w:cs="Times New Roman"/>
          <w:sz w:val="24"/>
        </w:rPr>
      </w:pPr>
    </w:p>
    <w:p w:rsidR="001735B6" w:rsidRDefault="00C66298">
      <w:pPr>
        <w:tabs>
          <w:tab w:val="left" w:pos="426"/>
        </w:tabs>
        <w:spacing w:after="0" w:line="240" w:lineRule="auto"/>
        <w:ind w:left="426" w:hanging="426"/>
        <w:jc w:val="both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>výdavky</w:t>
      </w:r>
      <w:r w:rsidR="0056047F">
        <w:rPr>
          <w:rFonts w:ascii="Times New Roman" w:eastAsia="Times New Roman" w:hAnsi="Times New Roman" w:cs="Times New Roman"/>
          <w:b/>
          <w:sz w:val="24"/>
        </w:rPr>
        <w:t xml:space="preserve"> bežného rozpočtu v €</w:t>
      </w:r>
    </w:p>
    <w:tbl>
      <w:tblPr>
        <w:tblW w:w="0" w:type="auto"/>
        <w:tblInd w:w="70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872"/>
        <w:gridCol w:w="2814"/>
        <w:gridCol w:w="1874"/>
        <w:gridCol w:w="1706"/>
        <w:gridCol w:w="1726"/>
      </w:tblGrid>
      <w:tr w:rsidR="001735B6">
        <w:trPr>
          <w:trHeight w:val="1"/>
        </w:trPr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</w:rPr>
              <w:t>Zdroj</w:t>
            </w: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</w:rPr>
              <w:t>Názov</w:t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</w:rPr>
              <w:t>Schválený rozpočet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</w:rPr>
            </w:pPr>
            <w:r>
              <w:rPr>
                <w:rFonts w:ascii="Calibri" w:eastAsia="Calibri" w:hAnsi="Calibri" w:cs="Calibri"/>
                <w:b/>
              </w:rPr>
              <w:t>Rozpočet</w:t>
            </w:r>
          </w:p>
          <w:p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</w:rPr>
              <w:t>po zmenách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</w:rPr>
            </w:pPr>
            <w:r>
              <w:rPr>
                <w:rFonts w:ascii="Calibri" w:eastAsia="Calibri" w:hAnsi="Calibri" w:cs="Calibri"/>
                <w:b/>
              </w:rPr>
              <w:t>Skutočnosť</w:t>
            </w:r>
          </w:p>
          <w:p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</w:rPr>
              <w:t>k 31.12.2018</w:t>
            </w:r>
          </w:p>
        </w:tc>
      </w:tr>
      <w:tr w:rsidR="001735B6" w:rsidTr="00D4722B">
        <w:trPr>
          <w:trHeight w:val="1"/>
        </w:trPr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1735B6" w:rsidRDefault="0056047F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111</w:t>
            </w: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1735B6" w:rsidRDefault="0056047F">
            <w:pPr>
              <w:spacing w:after="0" w:line="36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Prijmy 111 – 09.1.2.1, 09.2.1.1.</w:t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1735B6" w:rsidRDefault="0056047F">
            <w:pPr>
              <w:spacing w:after="0" w:line="36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 xml:space="preserve">      </w:t>
            </w:r>
            <w:r w:rsidR="00F17BFA">
              <w:rPr>
                <w:rFonts w:ascii="Calibri" w:eastAsia="Calibri" w:hAnsi="Calibri" w:cs="Calibri"/>
              </w:rPr>
              <w:t>310</w:t>
            </w:r>
            <w:r w:rsidR="00D45ABD">
              <w:rPr>
                <w:rFonts w:ascii="Calibri" w:eastAsia="Calibri" w:hAnsi="Calibri" w:cs="Calibri"/>
              </w:rPr>
              <w:t>.</w:t>
            </w:r>
            <w:r w:rsidR="00D4722B">
              <w:rPr>
                <w:rFonts w:ascii="Calibri" w:eastAsia="Calibri" w:hAnsi="Calibri" w:cs="Calibri"/>
              </w:rPr>
              <w:t>436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1735B6" w:rsidRPr="00F17BFA" w:rsidRDefault="00D4722B">
            <w:pPr>
              <w:spacing w:after="0" w:line="360" w:lineRule="auto"/>
              <w:jc w:val="center"/>
              <w:rPr>
                <w:rFonts w:ascii="Calibri" w:eastAsia="Calibri" w:hAnsi="Calibri" w:cs="Calibri"/>
                <w:highlight w:val="yellow"/>
              </w:rPr>
            </w:pPr>
            <w:r w:rsidRPr="00D4722B">
              <w:rPr>
                <w:rFonts w:ascii="Calibri" w:eastAsia="Calibri" w:hAnsi="Calibri" w:cs="Calibri"/>
              </w:rPr>
              <w:t>337</w:t>
            </w:r>
            <w:r w:rsidR="00D45ABD">
              <w:rPr>
                <w:rFonts w:ascii="Calibri" w:eastAsia="Calibri" w:hAnsi="Calibri" w:cs="Calibri"/>
              </w:rPr>
              <w:t>.</w:t>
            </w:r>
            <w:r w:rsidRPr="00D4722B">
              <w:rPr>
                <w:rFonts w:ascii="Calibri" w:eastAsia="Calibri" w:hAnsi="Calibri" w:cs="Calibri"/>
              </w:rPr>
              <w:t>182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1735B6" w:rsidRPr="00F17BFA" w:rsidRDefault="00D4722B">
            <w:pPr>
              <w:spacing w:after="0" w:line="360" w:lineRule="auto"/>
              <w:jc w:val="center"/>
              <w:rPr>
                <w:rFonts w:ascii="Calibri" w:eastAsia="Calibri" w:hAnsi="Calibri" w:cs="Calibri"/>
                <w:highlight w:val="yellow"/>
              </w:rPr>
            </w:pPr>
            <w:r w:rsidRPr="00D4722B">
              <w:rPr>
                <w:rFonts w:ascii="Calibri" w:eastAsia="Calibri" w:hAnsi="Calibri" w:cs="Calibri"/>
              </w:rPr>
              <w:t>337</w:t>
            </w:r>
            <w:r w:rsidR="00D45ABD">
              <w:rPr>
                <w:rFonts w:ascii="Calibri" w:eastAsia="Calibri" w:hAnsi="Calibri" w:cs="Calibri"/>
              </w:rPr>
              <w:t>.</w:t>
            </w:r>
            <w:r w:rsidRPr="00D4722B">
              <w:rPr>
                <w:rFonts w:ascii="Calibri" w:eastAsia="Calibri" w:hAnsi="Calibri" w:cs="Calibri"/>
              </w:rPr>
              <w:t>182</w:t>
            </w:r>
          </w:p>
        </w:tc>
      </w:tr>
      <w:tr w:rsidR="001735B6">
        <w:trPr>
          <w:trHeight w:val="1"/>
        </w:trPr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1735B6" w:rsidRDefault="0056047F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41</w:t>
            </w: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1735B6" w:rsidRDefault="0056047F">
            <w:pPr>
              <w:spacing w:after="0" w:line="36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Prijmy 41 – 09.1.2</w:t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1735B6" w:rsidRDefault="0056047F">
            <w:pPr>
              <w:spacing w:after="0" w:line="36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 xml:space="preserve">                 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1735B6" w:rsidRPr="000F32B7" w:rsidRDefault="000F32B7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  <w:r w:rsidRPr="000F32B7">
              <w:rPr>
                <w:rFonts w:ascii="Calibri" w:eastAsia="Calibri" w:hAnsi="Calibri" w:cs="Calibri"/>
              </w:rPr>
              <w:t>7509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1735B6" w:rsidRPr="000F32B7" w:rsidRDefault="000F32B7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  <w:r w:rsidRPr="000F32B7">
              <w:rPr>
                <w:rFonts w:ascii="Calibri" w:eastAsia="Calibri" w:hAnsi="Calibri" w:cs="Calibri"/>
              </w:rPr>
              <w:t>7508,21</w:t>
            </w:r>
          </w:p>
        </w:tc>
      </w:tr>
      <w:tr w:rsidR="001735B6">
        <w:trPr>
          <w:trHeight w:val="1"/>
        </w:trPr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1735B6" w:rsidRDefault="0056047F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41</w:t>
            </w: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1735B6" w:rsidRDefault="0056047F">
            <w:pPr>
              <w:spacing w:after="0" w:line="36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Prijmy 41 – 09.5.0</w:t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1735B6" w:rsidRPr="00F17BFA" w:rsidRDefault="00D4722B">
            <w:pPr>
              <w:spacing w:after="0" w:line="360" w:lineRule="auto"/>
              <w:jc w:val="center"/>
              <w:rPr>
                <w:rFonts w:ascii="Calibri" w:eastAsia="Calibri" w:hAnsi="Calibri" w:cs="Calibri"/>
                <w:highlight w:val="yellow"/>
              </w:rPr>
            </w:pPr>
            <w:r w:rsidRPr="00D4722B">
              <w:rPr>
                <w:rFonts w:ascii="Calibri" w:eastAsia="Calibri" w:hAnsi="Calibri" w:cs="Calibri"/>
              </w:rPr>
              <w:t>14</w:t>
            </w:r>
            <w:r w:rsidR="00D45ABD">
              <w:rPr>
                <w:rFonts w:ascii="Calibri" w:eastAsia="Calibri" w:hAnsi="Calibri" w:cs="Calibri"/>
              </w:rPr>
              <w:t>.</w:t>
            </w:r>
            <w:r w:rsidRPr="00D4722B">
              <w:rPr>
                <w:rFonts w:ascii="Calibri" w:eastAsia="Calibri" w:hAnsi="Calibri" w:cs="Calibri"/>
              </w:rPr>
              <w:t>683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1735B6" w:rsidRPr="00D4722B" w:rsidRDefault="000F32B7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17507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1735B6" w:rsidRPr="00D4722B" w:rsidRDefault="0056047F">
            <w:pPr>
              <w:spacing w:after="0" w:line="360" w:lineRule="auto"/>
              <w:rPr>
                <w:rFonts w:ascii="Calibri" w:eastAsia="Calibri" w:hAnsi="Calibri" w:cs="Calibri"/>
              </w:rPr>
            </w:pPr>
            <w:r w:rsidRPr="00D4722B">
              <w:rPr>
                <w:rFonts w:ascii="Calibri" w:eastAsia="Calibri" w:hAnsi="Calibri" w:cs="Calibri"/>
              </w:rPr>
              <w:t xml:space="preserve">      </w:t>
            </w:r>
            <w:r w:rsidR="000F32B7">
              <w:rPr>
                <w:rFonts w:ascii="Calibri" w:eastAsia="Calibri" w:hAnsi="Calibri" w:cs="Calibri"/>
              </w:rPr>
              <w:t>17507,11</w:t>
            </w:r>
          </w:p>
        </w:tc>
      </w:tr>
      <w:tr w:rsidR="001735B6">
        <w:trPr>
          <w:trHeight w:val="1"/>
        </w:trPr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1735B6" w:rsidRDefault="0056047F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3AC1</w:t>
            </w: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1735B6" w:rsidRDefault="0056047F">
            <w:pPr>
              <w:spacing w:after="0" w:line="36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Príjem  09.2.1.1.</w:t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1735B6" w:rsidRDefault="00FB7F47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12556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1735B6" w:rsidRPr="00D4722B" w:rsidRDefault="00D4722B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  <w:r w:rsidRPr="00D4722B">
              <w:rPr>
                <w:rFonts w:ascii="Calibri" w:eastAsia="Calibri" w:hAnsi="Calibri" w:cs="Calibri"/>
              </w:rPr>
              <w:t>12</w:t>
            </w:r>
            <w:r w:rsidR="00D45ABD">
              <w:rPr>
                <w:rFonts w:ascii="Calibri" w:eastAsia="Calibri" w:hAnsi="Calibri" w:cs="Calibri"/>
              </w:rPr>
              <w:t>.</w:t>
            </w:r>
            <w:r w:rsidRPr="00D4722B">
              <w:rPr>
                <w:rFonts w:ascii="Calibri" w:eastAsia="Calibri" w:hAnsi="Calibri" w:cs="Calibri"/>
              </w:rPr>
              <w:t>831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1735B6" w:rsidRPr="00D4722B" w:rsidRDefault="0056047F">
            <w:pPr>
              <w:spacing w:after="0" w:line="360" w:lineRule="auto"/>
              <w:rPr>
                <w:rFonts w:ascii="Calibri" w:eastAsia="Calibri" w:hAnsi="Calibri" w:cs="Calibri"/>
              </w:rPr>
            </w:pPr>
            <w:r w:rsidRPr="00D4722B">
              <w:rPr>
                <w:rFonts w:ascii="Calibri" w:eastAsia="Calibri" w:hAnsi="Calibri" w:cs="Calibri"/>
              </w:rPr>
              <w:t xml:space="preserve">       4 752,00</w:t>
            </w:r>
          </w:p>
        </w:tc>
      </w:tr>
      <w:tr w:rsidR="001735B6">
        <w:trPr>
          <w:trHeight w:val="1"/>
        </w:trPr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1735B6" w:rsidRDefault="0056047F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3AC2</w:t>
            </w: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1735B6" w:rsidRDefault="0056047F">
            <w:pPr>
              <w:spacing w:after="0" w:line="36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Príjem 09.2.1.1.</w:t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1735B6" w:rsidRDefault="0056047F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1735B6" w:rsidRPr="00D4722B" w:rsidRDefault="004103D5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1786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1735B6" w:rsidRPr="00D4722B" w:rsidRDefault="004103D5" w:rsidP="00D4722B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2330,33</w:t>
            </w:r>
          </w:p>
        </w:tc>
      </w:tr>
      <w:tr w:rsidR="001735B6">
        <w:trPr>
          <w:trHeight w:val="1"/>
        </w:trPr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1735B6" w:rsidRDefault="001735B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1735B6" w:rsidRDefault="001735B6">
            <w:pPr>
              <w:spacing w:after="0" w:line="36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1735B6">
        <w:trPr>
          <w:trHeight w:val="1"/>
        </w:trPr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1735B6" w:rsidRDefault="001735B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1735B6" w:rsidRDefault="001735B6">
            <w:pPr>
              <w:spacing w:after="0" w:line="36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1735B6">
        <w:trPr>
          <w:trHeight w:val="1"/>
        </w:trPr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1735B6" w:rsidRDefault="001735B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1735B6" w:rsidRDefault="001735B6">
            <w:pPr>
              <w:spacing w:after="0" w:line="36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1735B6">
        <w:trPr>
          <w:trHeight w:val="1"/>
        </w:trPr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1735B6" w:rsidRDefault="001735B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1735B6" w:rsidRDefault="001735B6">
            <w:pPr>
              <w:spacing w:after="0" w:line="36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1735B6">
        <w:trPr>
          <w:trHeight w:val="1"/>
        </w:trPr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1735B6" w:rsidRDefault="0056047F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</w:rPr>
              <w:t>Spolu</w:t>
            </w: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1735B6" w:rsidRDefault="00196BCA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</w:rPr>
              <w:t>325</w:t>
            </w:r>
            <w:r w:rsidR="00D45ABD">
              <w:rPr>
                <w:rFonts w:ascii="Calibri" w:eastAsia="Calibri" w:hAnsi="Calibri" w:cs="Calibri"/>
                <w:b/>
              </w:rPr>
              <w:t>.</w:t>
            </w:r>
            <w:r>
              <w:rPr>
                <w:rFonts w:ascii="Calibri" w:eastAsia="Calibri" w:hAnsi="Calibri" w:cs="Calibri"/>
                <w:b/>
              </w:rPr>
              <w:t>119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1735B6" w:rsidRPr="00D4722B" w:rsidRDefault="00D4722B">
            <w:pPr>
              <w:spacing w:after="0" w:line="360" w:lineRule="auto"/>
              <w:jc w:val="center"/>
              <w:rPr>
                <w:rFonts w:ascii="Calibri" w:eastAsia="Calibri" w:hAnsi="Calibri" w:cs="Calibri"/>
                <w:b/>
                <w:bCs/>
              </w:rPr>
            </w:pPr>
            <w:r w:rsidRPr="00D4722B">
              <w:rPr>
                <w:rFonts w:ascii="Calibri" w:eastAsia="Calibri" w:hAnsi="Calibri" w:cs="Calibri"/>
                <w:b/>
                <w:bCs/>
              </w:rPr>
              <w:t>378</w:t>
            </w:r>
            <w:r w:rsidR="00D45ABD">
              <w:rPr>
                <w:rFonts w:ascii="Calibri" w:eastAsia="Calibri" w:hAnsi="Calibri" w:cs="Calibri"/>
                <w:b/>
                <w:bCs/>
              </w:rPr>
              <w:t>.</w:t>
            </w:r>
            <w:r w:rsidRPr="00D4722B">
              <w:rPr>
                <w:rFonts w:ascii="Calibri" w:eastAsia="Calibri" w:hAnsi="Calibri" w:cs="Calibri"/>
                <w:b/>
                <w:bCs/>
              </w:rPr>
              <w:t>285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1735B6" w:rsidRDefault="00F17BFA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</w:rPr>
              <w:t>366</w:t>
            </w:r>
            <w:r w:rsidR="00D45ABD">
              <w:rPr>
                <w:rFonts w:ascii="Calibri" w:eastAsia="Calibri" w:hAnsi="Calibri" w:cs="Calibri"/>
                <w:b/>
              </w:rPr>
              <w:t>.</w:t>
            </w:r>
            <w:r>
              <w:rPr>
                <w:rFonts w:ascii="Calibri" w:eastAsia="Calibri" w:hAnsi="Calibri" w:cs="Calibri"/>
                <w:b/>
              </w:rPr>
              <w:t>648,65</w:t>
            </w:r>
          </w:p>
        </w:tc>
      </w:tr>
    </w:tbl>
    <w:p w:rsidR="001735B6" w:rsidRDefault="001735B6">
      <w:pPr>
        <w:tabs>
          <w:tab w:val="left" w:pos="426"/>
        </w:tabs>
        <w:spacing w:after="0" w:line="240" w:lineRule="auto"/>
        <w:jc w:val="both"/>
        <w:rPr>
          <w:rFonts w:ascii="Calibri" w:eastAsia="Calibri" w:hAnsi="Calibri" w:cs="Calibri"/>
        </w:rPr>
      </w:pPr>
    </w:p>
    <w:p w:rsidR="001735B6" w:rsidRDefault="00C66298">
      <w:pPr>
        <w:tabs>
          <w:tab w:val="left" w:pos="426"/>
        </w:tabs>
        <w:spacing w:after="0" w:line="240" w:lineRule="auto"/>
        <w:ind w:left="426" w:hanging="426"/>
        <w:jc w:val="both"/>
        <w:rPr>
          <w:rFonts w:ascii="Calibri" w:eastAsia="Calibri" w:hAnsi="Calibri" w:cs="Calibri"/>
          <w:b/>
        </w:rPr>
      </w:pPr>
      <w:r>
        <w:rPr>
          <w:rFonts w:ascii="Calibri" w:eastAsia="Calibri" w:hAnsi="Calibri" w:cs="Calibri"/>
          <w:b/>
        </w:rPr>
        <w:t>príjmy</w:t>
      </w:r>
      <w:r w:rsidR="0056047F">
        <w:rPr>
          <w:rFonts w:ascii="Calibri" w:eastAsia="Calibri" w:hAnsi="Calibri" w:cs="Calibri"/>
          <w:b/>
        </w:rPr>
        <w:t xml:space="preserve"> bežného rozpočtu v €</w:t>
      </w:r>
    </w:p>
    <w:tbl>
      <w:tblPr>
        <w:tblW w:w="0" w:type="auto"/>
        <w:tblInd w:w="70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821"/>
        <w:gridCol w:w="855"/>
        <w:gridCol w:w="2627"/>
        <w:gridCol w:w="1228"/>
        <w:gridCol w:w="1200"/>
        <w:gridCol w:w="1261"/>
      </w:tblGrid>
      <w:tr w:rsidR="001735B6">
        <w:trPr>
          <w:trHeight w:val="1"/>
        </w:trPr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</w:rPr>
              <w:lastRenderedPageBreak/>
              <w:t>Program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</w:rPr>
              <w:t>Zdroj</w:t>
            </w:r>
          </w:p>
        </w:tc>
        <w:tc>
          <w:tcPr>
            <w:tcW w:w="2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</w:rPr>
              <w:t>Názov výdavku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</w:rPr>
              <w:t>Schválený rozpočet</w:t>
            </w:r>
          </w:p>
        </w:tc>
        <w:tc>
          <w:tcPr>
            <w:tcW w:w="1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</w:rPr>
            </w:pPr>
            <w:r>
              <w:rPr>
                <w:rFonts w:ascii="Calibri" w:eastAsia="Calibri" w:hAnsi="Calibri" w:cs="Calibri"/>
                <w:b/>
              </w:rPr>
              <w:t>Rozpočet</w:t>
            </w:r>
          </w:p>
          <w:p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</w:rPr>
              <w:t>po zmenách</w:t>
            </w:r>
          </w:p>
        </w:tc>
        <w:tc>
          <w:tcPr>
            <w:tcW w:w="1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</w:rPr>
            </w:pPr>
            <w:r>
              <w:rPr>
                <w:rFonts w:ascii="Calibri" w:eastAsia="Calibri" w:hAnsi="Calibri" w:cs="Calibri"/>
                <w:b/>
              </w:rPr>
              <w:t>Skutočnosť</w:t>
            </w:r>
          </w:p>
          <w:p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</w:rPr>
              <w:t>k 31.12.201</w:t>
            </w:r>
            <w:r w:rsidR="00A71B7E">
              <w:rPr>
                <w:rFonts w:ascii="Calibri" w:eastAsia="Calibri" w:hAnsi="Calibri" w:cs="Calibri"/>
                <w:b/>
              </w:rPr>
              <w:t>9</w:t>
            </w:r>
          </w:p>
        </w:tc>
      </w:tr>
      <w:tr w:rsidR="001735B6">
        <w:trPr>
          <w:trHeight w:val="1"/>
        </w:trPr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735B6" w:rsidRDefault="00C6629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223002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735B6" w:rsidRDefault="00C6629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41</w:t>
            </w:r>
          </w:p>
        </w:tc>
        <w:tc>
          <w:tcPr>
            <w:tcW w:w="2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1735B6" w:rsidRDefault="001735B6">
            <w:pPr>
              <w:spacing w:after="0" w:line="36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735B6" w:rsidRDefault="001735B6" w:rsidP="00C66298">
            <w:pPr>
              <w:spacing w:after="0" w:line="36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735B6" w:rsidRDefault="00C66298" w:rsidP="00C66298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965</w:t>
            </w:r>
          </w:p>
        </w:tc>
        <w:tc>
          <w:tcPr>
            <w:tcW w:w="1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735B6" w:rsidRDefault="00C66298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964,50</w:t>
            </w:r>
          </w:p>
        </w:tc>
      </w:tr>
      <w:tr w:rsidR="001735B6">
        <w:trPr>
          <w:trHeight w:val="1"/>
        </w:trPr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735B6" w:rsidRDefault="00C6629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292012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735B6" w:rsidRDefault="00C6629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41</w:t>
            </w:r>
          </w:p>
        </w:tc>
        <w:tc>
          <w:tcPr>
            <w:tcW w:w="2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1735B6" w:rsidRDefault="001735B6">
            <w:pPr>
              <w:spacing w:after="0" w:line="36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735B6" w:rsidRDefault="00C66298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3914</w:t>
            </w:r>
          </w:p>
        </w:tc>
        <w:tc>
          <w:tcPr>
            <w:tcW w:w="1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735B6" w:rsidRDefault="00C66298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3913,96</w:t>
            </w:r>
          </w:p>
        </w:tc>
      </w:tr>
      <w:tr w:rsidR="001735B6">
        <w:trPr>
          <w:trHeight w:val="1"/>
        </w:trPr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1735B6" w:rsidRDefault="0056047F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09.1.2.1., 09.2.1.1.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1735B6" w:rsidRDefault="0056047F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41</w:t>
            </w:r>
          </w:p>
        </w:tc>
        <w:tc>
          <w:tcPr>
            <w:tcW w:w="2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1735B6" w:rsidRDefault="0056047F">
            <w:pPr>
              <w:spacing w:after="0" w:line="36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Prevádzkové náklady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1735B6" w:rsidRDefault="0056047F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  <w:tc>
          <w:tcPr>
            <w:tcW w:w="1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1735B6" w:rsidRDefault="00506705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  <w:tc>
          <w:tcPr>
            <w:tcW w:w="1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1735B6" w:rsidRDefault="00506705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</w:tr>
      <w:tr w:rsidR="001735B6">
        <w:trPr>
          <w:trHeight w:val="1"/>
        </w:trPr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1735B6" w:rsidRDefault="0056047F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09.2.1.1.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1735B6" w:rsidRDefault="0056047F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3AC1</w:t>
            </w:r>
          </w:p>
        </w:tc>
        <w:tc>
          <w:tcPr>
            <w:tcW w:w="2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1735B6" w:rsidRDefault="0056047F">
            <w:pPr>
              <w:spacing w:after="0" w:line="36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mzdy + odvody EU SF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1735B6" w:rsidRDefault="00C66298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10251</w:t>
            </w:r>
          </w:p>
        </w:tc>
        <w:tc>
          <w:tcPr>
            <w:tcW w:w="1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1735B6" w:rsidRDefault="00C66298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10251</w:t>
            </w:r>
          </w:p>
        </w:tc>
      </w:tr>
      <w:tr w:rsidR="001735B6">
        <w:trPr>
          <w:trHeight w:val="1"/>
        </w:trPr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1735B6" w:rsidRDefault="0056047F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09.2.1.1.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1735B6" w:rsidRDefault="0056047F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3AC2</w:t>
            </w:r>
          </w:p>
        </w:tc>
        <w:tc>
          <w:tcPr>
            <w:tcW w:w="2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1735B6" w:rsidRDefault="0056047F">
            <w:pPr>
              <w:spacing w:after="0" w:line="36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mzdy + odvody EUSF spoluúč.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1735B6" w:rsidRDefault="00C66298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1730</w:t>
            </w:r>
          </w:p>
        </w:tc>
        <w:tc>
          <w:tcPr>
            <w:tcW w:w="1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1735B6" w:rsidRDefault="00C66298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1730</w:t>
            </w:r>
          </w:p>
        </w:tc>
      </w:tr>
      <w:tr w:rsidR="001735B6">
        <w:trPr>
          <w:trHeight w:val="1"/>
        </w:trPr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1735B6" w:rsidRDefault="001735B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1735B6" w:rsidRDefault="001735B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1735B6" w:rsidRDefault="001735B6">
            <w:pPr>
              <w:spacing w:after="0" w:line="36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1735B6">
        <w:trPr>
          <w:trHeight w:val="1"/>
        </w:trPr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</w:rPr>
              <w:t>Spolu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1735B6" w:rsidRDefault="001735B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1735B6" w:rsidRDefault="00C66298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</w:rPr>
              <w:t>700</w:t>
            </w:r>
          </w:p>
        </w:tc>
        <w:tc>
          <w:tcPr>
            <w:tcW w:w="1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1735B6" w:rsidRDefault="00C66298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</w:rPr>
              <w:t>16860</w:t>
            </w:r>
          </w:p>
        </w:tc>
        <w:tc>
          <w:tcPr>
            <w:tcW w:w="1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1735B6" w:rsidRDefault="00C66298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</w:rPr>
              <w:t>16859,46</w:t>
            </w:r>
          </w:p>
        </w:tc>
      </w:tr>
    </w:tbl>
    <w:p w:rsidR="001735B6" w:rsidRDefault="001735B6">
      <w:pPr>
        <w:tabs>
          <w:tab w:val="left" w:pos="426"/>
        </w:tabs>
        <w:spacing w:after="0" w:line="240" w:lineRule="auto"/>
        <w:jc w:val="center"/>
        <w:rPr>
          <w:rFonts w:ascii="Calibri" w:eastAsia="Calibri" w:hAnsi="Calibri" w:cs="Calibri"/>
          <w:b/>
        </w:rPr>
      </w:pPr>
    </w:p>
    <w:p w:rsidR="001735B6" w:rsidRDefault="0056047F">
      <w:pPr>
        <w:tabs>
          <w:tab w:val="left" w:pos="426"/>
        </w:tabs>
        <w:spacing w:after="0" w:line="240" w:lineRule="auto"/>
        <w:jc w:val="both"/>
        <w:rPr>
          <w:rFonts w:ascii="Calibri" w:eastAsia="Calibri" w:hAnsi="Calibri" w:cs="Calibri"/>
          <w:b/>
        </w:rPr>
      </w:pPr>
      <w:r>
        <w:rPr>
          <w:rFonts w:ascii="Calibri" w:eastAsia="Calibri" w:hAnsi="Calibri" w:cs="Calibri"/>
          <w:b/>
        </w:rPr>
        <w:t>Príjmy kapitálového rozpočtu v €</w:t>
      </w:r>
    </w:p>
    <w:p w:rsidR="001735B6" w:rsidRDefault="001735B6">
      <w:pPr>
        <w:tabs>
          <w:tab w:val="left" w:pos="426"/>
        </w:tabs>
        <w:spacing w:after="0" w:line="240" w:lineRule="auto"/>
        <w:jc w:val="both"/>
        <w:rPr>
          <w:rFonts w:ascii="Calibri" w:eastAsia="Calibri" w:hAnsi="Calibri" w:cs="Calibri"/>
          <w:b/>
        </w:rPr>
      </w:pPr>
    </w:p>
    <w:tbl>
      <w:tblPr>
        <w:tblW w:w="0" w:type="auto"/>
        <w:tblInd w:w="70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873"/>
        <w:gridCol w:w="2801"/>
        <w:gridCol w:w="1878"/>
        <w:gridCol w:w="1710"/>
        <w:gridCol w:w="1730"/>
      </w:tblGrid>
      <w:tr w:rsidR="001735B6">
        <w:trPr>
          <w:trHeight w:val="1"/>
        </w:trPr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</w:rPr>
              <w:t>Zdroj</w:t>
            </w: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</w:rPr>
              <w:t>Názov</w:t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</w:rPr>
              <w:t>Schválený rozpočet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</w:rPr>
            </w:pPr>
            <w:r>
              <w:rPr>
                <w:rFonts w:ascii="Calibri" w:eastAsia="Calibri" w:hAnsi="Calibri" w:cs="Calibri"/>
                <w:b/>
              </w:rPr>
              <w:t>Rozpočet</w:t>
            </w:r>
          </w:p>
          <w:p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</w:rPr>
              <w:t>po zmenách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</w:rPr>
            </w:pPr>
            <w:r>
              <w:rPr>
                <w:rFonts w:ascii="Calibri" w:eastAsia="Calibri" w:hAnsi="Calibri" w:cs="Calibri"/>
                <w:b/>
              </w:rPr>
              <w:t>Skutočnosť</w:t>
            </w:r>
          </w:p>
          <w:p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</w:rPr>
              <w:t>k 31.12.201</w:t>
            </w:r>
            <w:r w:rsidR="00A71B7E">
              <w:rPr>
                <w:rFonts w:ascii="Calibri" w:eastAsia="Calibri" w:hAnsi="Calibri" w:cs="Calibri"/>
                <w:b/>
              </w:rPr>
              <w:t>9</w:t>
            </w:r>
          </w:p>
        </w:tc>
      </w:tr>
      <w:tr w:rsidR="001735B6">
        <w:trPr>
          <w:trHeight w:val="1"/>
        </w:trPr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1735B6" w:rsidRDefault="001735B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1735B6" w:rsidRDefault="001735B6">
            <w:pPr>
              <w:spacing w:after="0" w:line="36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1735B6">
        <w:trPr>
          <w:trHeight w:val="1"/>
        </w:trPr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1735B6" w:rsidRDefault="001735B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1735B6" w:rsidRDefault="001735B6">
            <w:pPr>
              <w:spacing w:after="0" w:line="36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1735B6">
        <w:trPr>
          <w:trHeight w:val="1"/>
        </w:trPr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1735B6" w:rsidRDefault="001735B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1735B6" w:rsidRDefault="001735B6">
            <w:pPr>
              <w:spacing w:after="0" w:line="36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1735B6">
        <w:trPr>
          <w:trHeight w:val="1"/>
        </w:trPr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1735B6" w:rsidRDefault="001735B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1735B6" w:rsidRDefault="001735B6">
            <w:pPr>
              <w:spacing w:after="0" w:line="36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1735B6">
        <w:trPr>
          <w:trHeight w:val="1"/>
        </w:trPr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1735B6" w:rsidRDefault="001735B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1735B6" w:rsidRDefault="001735B6">
            <w:pPr>
              <w:spacing w:after="0" w:line="36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1735B6">
        <w:trPr>
          <w:trHeight w:val="1"/>
        </w:trPr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1735B6" w:rsidRDefault="001735B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1735B6" w:rsidRDefault="001735B6">
            <w:pPr>
              <w:spacing w:after="0" w:line="36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1735B6">
        <w:trPr>
          <w:trHeight w:val="1"/>
        </w:trPr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1735B6" w:rsidRDefault="0056047F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</w:rPr>
              <w:t>Spolu</w:t>
            </w: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</w:tr>
    </w:tbl>
    <w:p w:rsidR="001735B6" w:rsidRDefault="001735B6">
      <w:pPr>
        <w:tabs>
          <w:tab w:val="left" w:pos="426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:rsidR="001735B6" w:rsidRDefault="001735B6">
      <w:pPr>
        <w:tabs>
          <w:tab w:val="left" w:pos="426"/>
        </w:tabs>
        <w:spacing w:after="0" w:line="360" w:lineRule="auto"/>
        <w:ind w:left="426" w:hanging="426"/>
        <w:jc w:val="both"/>
        <w:rPr>
          <w:rFonts w:ascii="Times New Roman" w:eastAsia="Times New Roman" w:hAnsi="Times New Roman" w:cs="Times New Roman"/>
          <w:sz w:val="24"/>
        </w:rPr>
      </w:pPr>
    </w:p>
    <w:sectPr w:rsidR="001735B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7A315B9"/>
    <w:multiLevelType w:val="multilevel"/>
    <w:tmpl w:val="0FD00470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 w15:restartNumberingAfterBreak="0">
    <w:nsid w:val="0CEA27F9"/>
    <w:multiLevelType w:val="multilevel"/>
    <w:tmpl w:val="90B62B38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 w15:restartNumberingAfterBreak="0">
    <w:nsid w:val="0D175450"/>
    <w:multiLevelType w:val="multilevel"/>
    <w:tmpl w:val="80465F8C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" w15:restartNumberingAfterBreak="0">
    <w:nsid w:val="118B286E"/>
    <w:multiLevelType w:val="multilevel"/>
    <w:tmpl w:val="70329E4A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" w15:restartNumberingAfterBreak="0">
    <w:nsid w:val="17A4218F"/>
    <w:multiLevelType w:val="multilevel"/>
    <w:tmpl w:val="5F549F7A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" w15:restartNumberingAfterBreak="0">
    <w:nsid w:val="235E0FCE"/>
    <w:multiLevelType w:val="multilevel"/>
    <w:tmpl w:val="E3EEC268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6" w15:restartNumberingAfterBreak="0">
    <w:nsid w:val="2D4B4648"/>
    <w:multiLevelType w:val="multilevel"/>
    <w:tmpl w:val="FA9CC2AC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7" w15:restartNumberingAfterBreak="0">
    <w:nsid w:val="31096AB2"/>
    <w:multiLevelType w:val="multilevel"/>
    <w:tmpl w:val="F678174A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8" w15:restartNumberingAfterBreak="0">
    <w:nsid w:val="38667104"/>
    <w:multiLevelType w:val="multilevel"/>
    <w:tmpl w:val="F04060FC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9" w15:restartNumberingAfterBreak="0">
    <w:nsid w:val="3C8864BA"/>
    <w:multiLevelType w:val="multilevel"/>
    <w:tmpl w:val="E460CBAE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0" w15:restartNumberingAfterBreak="0">
    <w:nsid w:val="402F0933"/>
    <w:multiLevelType w:val="multilevel"/>
    <w:tmpl w:val="0EDC6C1C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1" w15:restartNumberingAfterBreak="0">
    <w:nsid w:val="4F744ED8"/>
    <w:multiLevelType w:val="multilevel"/>
    <w:tmpl w:val="0EAAE00E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2" w15:restartNumberingAfterBreak="0">
    <w:nsid w:val="569A16B5"/>
    <w:multiLevelType w:val="multilevel"/>
    <w:tmpl w:val="8C04F2F2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3" w15:restartNumberingAfterBreak="0">
    <w:nsid w:val="56D1600C"/>
    <w:multiLevelType w:val="multilevel"/>
    <w:tmpl w:val="D6401242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4" w15:restartNumberingAfterBreak="0">
    <w:nsid w:val="593B710F"/>
    <w:multiLevelType w:val="multilevel"/>
    <w:tmpl w:val="374A77D4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5" w15:restartNumberingAfterBreak="0">
    <w:nsid w:val="5B272549"/>
    <w:multiLevelType w:val="multilevel"/>
    <w:tmpl w:val="185026BE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6" w15:restartNumberingAfterBreak="0">
    <w:nsid w:val="5D4B6128"/>
    <w:multiLevelType w:val="multilevel"/>
    <w:tmpl w:val="138C33D4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7" w15:restartNumberingAfterBreak="0">
    <w:nsid w:val="622E5254"/>
    <w:multiLevelType w:val="multilevel"/>
    <w:tmpl w:val="573E638E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8" w15:restartNumberingAfterBreak="0">
    <w:nsid w:val="676D7FAD"/>
    <w:multiLevelType w:val="multilevel"/>
    <w:tmpl w:val="A2FC4860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9" w15:restartNumberingAfterBreak="0">
    <w:nsid w:val="76833EF2"/>
    <w:multiLevelType w:val="multilevel"/>
    <w:tmpl w:val="2E66617C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0" w15:restartNumberingAfterBreak="0">
    <w:nsid w:val="7A6C49B1"/>
    <w:multiLevelType w:val="multilevel"/>
    <w:tmpl w:val="AB16F8FA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1" w15:restartNumberingAfterBreak="0">
    <w:nsid w:val="7B1E6DE7"/>
    <w:multiLevelType w:val="multilevel"/>
    <w:tmpl w:val="23802B24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2" w15:restartNumberingAfterBreak="0">
    <w:nsid w:val="7B6B03A5"/>
    <w:multiLevelType w:val="multilevel"/>
    <w:tmpl w:val="E2125C8A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3" w15:restartNumberingAfterBreak="0">
    <w:nsid w:val="7CB1582B"/>
    <w:multiLevelType w:val="multilevel"/>
    <w:tmpl w:val="4822B50C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4" w15:restartNumberingAfterBreak="0">
    <w:nsid w:val="7DD761FD"/>
    <w:multiLevelType w:val="multilevel"/>
    <w:tmpl w:val="D6FC32CA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8"/>
  </w:num>
  <w:num w:numId="2">
    <w:abstractNumId w:val="21"/>
  </w:num>
  <w:num w:numId="3">
    <w:abstractNumId w:val="6"/>
  </w:num>
  <w:num w:numId="4">
    <w:abstractNumId w:val="14"/>
  </w:num>
  <w:num w:numId="5">
    <w:abstractNumId w:val="5"/>
  </w:num>
  <w:num w:numId="6">
    <w:abstractNumId w:val="19"/>
  </w:num>
  <w:num w:numId="7">
    <w:abstractNumId w:val="2"/>
  </w:num>
  <w:num w:numId="8">
    <w:abstractNumId w:val="23"/>
  </w:num>
  <w:num w:numId="9">
    <w:abstractNumId w:val="10"/>
  </w:num>
  <w:num w:numId="10">
    <w:abstractNumId w:val="1"/>
  </w:num>
  <w:num w:numId="11">
    <w:abstractNumId w:val="3"/>
  </w:num>
  <w:num w:numId="12">
    <w:abstractNumId w:val="18"/>
  </w:num>
  <w:num w:numId="13">
    <w:abstractNumId w:val="12"/>
  </w:num>
  <w:num w:numId="14">
    <w:abstractNumId w:val="0"/>
  </w:num>
  <w:num w:numId="15">
    <w:abstractNumId w:val="11"/>
  </w:num>
  <w:num w:numId="16">
    <w:abstractNumId w:val="17"/>
  </w:num>
  <w:num w:numId="17">
    <w:abstractNumId w:val="7"/>
  </w:num>
  <w:num w:numId="18">
    <w:abstractNumId w:val="9"/>
  </w:num>
  <w:num w:numId="19">
    <w:abstractNumId w:val="4"/>
  </w:num>
  <w:num w:numId="20">
    <w:abstractNumId w:val="20"/>
  </w:num>
  <w:num w:numId="21">
    <w:abstractNumId w:val="13"/>
  </w:num>
  <w:num w:numId="22">
    <w:abstractNumId w:val="16"/>
  </w:num>
  <w:num w:numId="23">
    <w:abstractNumId w:val="15"/>
  </w:num>
  <w:num w:numId="24">
    <w:abstractNumId w:val="22"/>
  </w:num>
  <w:num w:numId="25">
    <w:abstractNumId w:val="2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735B6"/>
    <w:rsid w:val="000F32B7"/>
    <w:rsid w:val="001735B6"/>
    <w:rsid w:val="00196BCA"/>
    <w:rsid w:val="00262EA6"/>
    <w:rsid w:val="004103D5"/>
    <w:rsid w:val="00506705"/>
    <w:rsid w:val="005433E0"/>
    <w:rsid w:val="0056047F"/>
    <w:rsid w:val="00863AF0"/>
    <w:rsid w:val="00872936"/>
    <w:rsid w:val="00A71B7E"/>
    <w:rsid w:val="00C66298"/>
    <w:rsid w:val="00D336B2"/>
    <w:rsid w:val="00D45ABD"/>
    <w:rsid w:val="00D4722B"/>
    <w:rsid w:val="00F17BFA"/>
    <w:rsid w:val="00FB7F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9CCD98E"/>
  <w15:docId w15:val="{6F15E8C3-1CDD-4975-A4D5-EA8C7D0590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</TotalTime>
  <Pages>8</Pages>
  <Words>1781</Words>
  <Characters>10158</Characters>
  <Application>Microsoft Office Word</Application>
  <DocSecurity>0</DocSecurity>
  <Lines>84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11916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Jana_1</dc:creator>
  <cp:lastModifiedBy>Jana_1</cp:lastModifiedBy>
  <cp:revision>10</cp:revision>
  <dcterms:created xsi:type="dcterms:W3CDTF">2020-02-07T08:51:00Z</dcterms:created>
  <dcterms:modified xsi:type="dcterms:W3CDTF">2020-02-15T10:52:00Z</dcterms:modified>
</cp:coreProperties>
</file>