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pBdr/>
        <w:spacing w:lineRule="auto" w:line="276" w:before="0" w:after="200"/>
        <w:jc w:val="center"/>
        <w:rPr/>
      </w:pPr>
      <w:r>
        <w:rPr>
          <w:rFonts w:cs="Times New Roman" w:ascii="Times New Roman" w:hAnsi="Times New Roman"/>
          <w:b/>
          <w:color w:val="000000"/>
          <w:sz w:val="36"/>
          <w:szCs w:val="36"/>
        </w:rPr>
        <w:t>Poznámky k 31.12.</w:t>
      </w:r>
      <w:r>
        <w:rPr>
          <w:rFonts w:cs="Times New Roman" w:ascii="Times New Roman" w:hAnsi="Times New Roman"/>
          <w:b/>
          <w:sz w:val="36"/>
          <w:szCs w:val="36"/>
        </w:rPr>
        <w:t>201</w:t>
      </w:r>
      <w:r>
        <w:rPr>
          <w:rFonts w:cs="Times New Roman" w:ascii="Times New Roman" w:hAnsi="Times New Roman"/>
          <w:b/>
          <w:sz w:val="36"/>
          <w:szCs w:val="36"/>
        </w:rPr>
        <w:t>9</w:t>
      </w:r>
    </w:p>
    <w:p>
      <w:pPr>
        <w:pStyle w:val="Normal1"/>
        <w:pBdr/>
        <w:spacing w:lineRule="auto" w:line="276" w:before="0" w:after="20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Čl. I</w:t>
      </w:r>
    </w:p>
    <w:p>
      <w:pPr>
        <w:pStyle w:val="Normal1"/>
        <w:pBdr/>
        <w:spacing w:lineRule="auto" w:line="276" w:before="0" w:after="20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Všeobecné údaje</w:t>
      </w:r>
    </w:p>
    <w:p>
      <w:pPr>
        <w:pStyle w:val="Normal1"/>
        <w:numPr>
          <w:ilvl w:val="0"/>
          <w:numId w:val="14"/>
        </w:numPr>
        <w:pBdr/>
        <w:spacing w:lineRule="auto" w:line="276" w:before="0" w:after="200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Identifikačné údaje účtovnej jednotky </w:t>
      </w:r>
    </w:p>
    <w:tbl>
      <w:tblPr>
        <w:tblStyle w:val="a"/>
        <w:tblW w:w="10260" w:type="dxa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781"/>
        <w:gridCol w:w="5478"/>
      </w:tblGrid>
      <w:tr>
        <w:trPr/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a)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Názov účtovnej jednotky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Obec Poráč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Sídlo účtovnej jednotky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053 23 Poráč č. 61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IČO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00329509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Dátum zriadenia 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01.07.1973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Spôsob zriadenia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Zo zákona č. 369/1990 Zb. o obecnom zriadení ako nástupnícka organizácia bývalého MNV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Názov zriaďovateľa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Sídlo zriaďovateľa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 xml:space="preserve">☒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riadna – Účtovná závierka Obce k 31. 12.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je zostavená ako riadna individuálna účtovná závierka podľa zákona č. 431/2002 Z.z. o účtovníctve v z.n.p., za účtovné obdobie od 1.1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– 31. decembra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☐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mimoriadna 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 xml:space="preserve">☒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áno</w:t>
            </w:r>
          </w:p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☐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nie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 xml:space="preserve">☐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áno</w:t>
            </w:r>
          </w:p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☒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nie</w:t>
            </w:r>
          </w:p>
        </w:tc>
      </w:tr>
    </w:tbl>
    <w:p>
      <w:pPr>
        <w:pStyle w:val="Normal1"/>
        <w:pBdr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numPr>
          <w:ilvl w:val="0"/>
          <w:numId w:val="14"/>
        </w:numPr>
        <w:pBdr/>
        <w:ind w:left="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Opis činnosti účtovnej jednotky </w:t>
      </w:r>
    </w:p>
    <w:p>
      <w:pPr>
        <w:pStyle w:val="Normal1"/>
        <w:pBdr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Style w:val="a0"/>
        <w:tblW w:w="10260" w:type="dxa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781"/>
        <w:gridCol w:w="5478"/>
      </w:tblGrid>
      <w:tr>
        <w:trPr/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Hlavná činnosť účtovnej jednotky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Základnou úlohou obce pri výkone samosprávy, ako právnickej osoby samostatne hospodáriacej s vlastným majetkom a so svojimi finančnými zdrojmi, je starostlivosť o všestranný rozvoj jej územia a starostlivosti o potreby jej obyvateľov.</w:t>
            </w:r>
          </w:p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Obec má základnú školu s materskou školou s právnou subjektivitou a obchodnú spoločnosť s ručením obmedzeným </w:t>
            </w:r>
          </w:p>
        </w:tc>
      </w:tr>
    </w:tbl>
    <w:p>
      <w:pPr>
        <w:pStyle w:val="Normal1"/>
        <w:pBdr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numPr>
          <w:ilvl w:val="0"/>
          <w:numId w:val="14"/>
        </w:numPr>
        <w:pBdr/>
        <w:ind w:left="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Informácie o štatutárnych zástupcoch a o organizačnej štruktúre účtovnej jednotky </w:t>
      </w:r>
    </w:p>
    <w:p>
      <w:pPr>
        <w:pStyle w:val="Normal1"/>
        <w:pBdr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Style w:val="a1"/>
        <w:tblW w:w="10260" w:type="dxa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781"/>
        <w:gridCol w:w="5478"/>
      </w:tblGrid>
      <w:tr>
        <w:trPr/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Štatutárny zástupca (meno a priezvisko)</w:t>
            </w:r>
          </w:p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Funkcia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Ing. Peter Volčko</w:t>
            </w:r>
          </w:p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starosta obce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</w:t>
            </w:r>
          </w:p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16"/>
              </w:numPr>
              <w:pBdr/>
              <w:ind w:left="0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 xml:space="preserve">Základná škola s materskou školou Poráč </w:t>
            </w:r>
          </w:p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Poráč 125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16"/>
              </w:numPr>
              <w:pBdr/>
              <w:ind w:left="0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16"/>
              </w:numPr>
              <w:pBdr/>
              <w:ind w:left="0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16"/>
              </w:numPr>
              <w:pBdr/>
              <w:ind w:left="0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Služby Obce Poráč, s.r.o</w:t>
            </w:r>
          </w:p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Poráč č. 59</w:t>
            </w:r>
          </w:p>
        </w:tc>
      </w:tr>
    </w:tbl>
    <w:p>
      <w:pPr>
        <w:pStyle w:val="Normal1"/>
        <w:pBdr/>
        <w:spacing w:lineRule="auto" w:line="276" w:before="0" w:after="2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pBdr/>
        <w:spacing w:lineRule="auto" w:line="276" w:before="0" w:after="20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Čl. II</w:t>
      </w:r>
    </w:p>
    <w:p>
      <w:pPr>
        <w:pStyle w:val="Normal1"/>
        <w:pBdr/>
        <w:spacing w:lineRule="auto" w:line="276" w:before="0" w:after="20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Informácie o účtovných zásadách a účtovných metódach </w:t>
      </w:r>
    </w:p>
    <w:p>
      <w:pPr>
        <w:pStyle w:val="Normal1"/>
        <w:numPr>
          <w:ilvl w:val="0"/>
          <w:numId w:val="15"/>
        </w:numPr>
        <w:pBdr/>
        <w:spacing w:before="0" w:after="200"/>
        <w:ind w:left="0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imes New Roman" w:ascii="Times New Roman" w:hAnsi="Times New Roman"/>
          <w:b/>
          <w:color w:val="000000"/>
          <w:sz w:val="22"/>
          <w:szCs w:val="22"/>
        </w:rPr>
        <w:t xml:space="preserve">                                                    </w:t>
        <w:tab/>
        <w:tab/>
        <w:t xml:space="preserve">        ☒  áno            ☐  nie</w:t>
      </w:r>
    </w:p>
    <w:p>
      <w:pPr>
        <w:pStyle w:val="Normal1"/>
        <w:numPr>
          <w:ilvl w:val="0"/>
          <w:numId w:val="15"/>
        </w:numPr>
        <w:pBdr/>
        <w:spacing w:before="0" w:after="200"/>
        <w:ind w:left="0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Zmeny účtovných metód a účtovných zásad </w:t>
      </w:r>
    </w:p>
    <w:p>
      <w:pPr>
        <w:pStyle w:val="Normal1"/>
        <w:pBdr/>
        <w:spacing w:before="0" w:after="200"/>
        <w:ind w:left="720" w:hanging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imes New Roman" w:ascii="Times New Roman" w:hAnsi="Times New Roman"/>
          <w:b/>
          <w:color w:val="000000"/>
          <w:sz w:val="22"/>
          <w:szCs w:val="22"/>
        </w:rPr>
        <w:t xml:space="preserve"> ☐  áno            ☒  nie</w:t>
      </w:r>
    </w:p>
    <w:p>
      <w:pPr>
        <w:pStyle w:val="Normal1"/>
        <w:numPr>
          <w:ilvl w:val="0"/>
          <w:numId w:val="15"/>
        </w:numPr>
        <w:pBdr/>
        <w:spacing w:before="0" w:after="200"/>
        <w:ind w:left="0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Spôsob ocenenia jednotlivých položiek</w:t>
      </w:r>
    </w:p>
    <w:tbl>
      <w:tblPr>
        <w:tblStyle w:val="a2"/>
        <w:tblW w:w="10348" w:type="dxa"/>
        <w:jc w:val="left"/>
        <w:tblInd w:w="-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6237"/>
        <w:gridCol w:w="4110"/>
      </w:tblGrid>
      <w:tr>
        <w:trPr/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Položky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1"/>
              </w:numPr>
              <w:pBdr/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1"/>
              </w:numPr>
              <w:pBdr/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vlastnými nákladmi </w:t>
            </w:r>
          </w:p>
        </w:tc>
      </w:tr>
      <w:tr>
        <w:trPr/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1"/>
              </w:numPr>
              <w:pBdr/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1"/>
              </w:numPr>
              <w:pBdr/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vlastnými nákladmi</w:t>
            </w:r>
          </w:p>
        </w:tc>
      </w:tr>
      <w:tr>
        <w:trPr/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1"/>
              </w:numPr>
              <w:pBdr/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reprodukčnou obstarávacou cenou</w:t>
            </w:r>
          </w:p>
        </w:tc>
      </w:tr>
      <w:tr>
        <w:trPr/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1"/>
              </w:numPr>
              <w:pBdr/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dlhodobý finančný majetok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1"/>
              </w:numPr>
              <w:pBdr/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zásoby nakupované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1"/>
              </w:numPr>
              <w:pBdr/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zásoby vytvorené vlastnou činnosťou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vlastnými nákladmi</w:t>
            </w:r>
          </w:p>
        </w:tc>
      </w:tr>
      <w:tr>
        <w:trPr/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1"/>
              </w:numPr>
              <w:pBdr/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zásoby získané bezodplatne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reprodukčnou obstarávacou cenou</w:t>
            </w:r>
          </w:p>
        </w:tc>
      </w:tr>
      <w:tr>
        <w:trPr/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1"/>
              </w:numPr>
              <w:pBdr/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pohľadávky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menovitou hodnotou</w:t>
            </w:r>
          </w:p>
        </w:tc>
      </w:tr>
      <w:tr>
        <w:trPr/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1"/>
              </w:numPr>
              <w:pBdr/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menovitou hodnotou</w:t>
            </w:r>
          </w:p>
        </w:tc>
      </w:tr>
      <w:tr>
        <w:trPr/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1"/>
              </w:numPr>
              <w:pBdr/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časové rozlíšenie na strane aktív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náklady a príjmy budúcich období sa vykazujú vo vecnej a časovej súvislosti s účtovným obdobím </w:t>
            </w:r>
          </w:p>
        </w:tc>
      </w:tr>
      <w:tr>
        <w:trPr/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1"/>
              </w:numPr>
              <w:pBdr/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záväzky, vrátane dlhopisov, pôžičiek a úverov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menovitou hodnotou</w:t>
            </w:r>
          </w:p>
        </w:tc>
      </w:tr>
      <w:tr>
        <w:trPr/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1"/>
              </w:numPr>
              <w:pBdr/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rezervy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oceňujú sa v očakávanej výške záväzku</w:t>
            </w:r>
          </w:p>
        </w:tc>
      </w:tr>
      <w:tr>
        <w:trPr/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1"/>
              </w:numPr>
              <w:pBdr/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časové rozlíšenie na strane pasív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výdavky a výnosy budúcich období sa vykazujú vo výške, ktorá je potrebná na dodržanie zásady vecnej a časovej súvislosti s účtovným obdobím.</w:t>
            </w:r>
          </w:p>
        </w:tc>
      </w:tr>
      <w:tr>
        <w:trPr/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1"/>
              </w:numPr>
              <w:pBdr/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deriváty pri nadobudnutí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obtarávacou cenou</w:t>
            </w:r>
          </w:p>
        </w:tc>
      </w:tr>
    </w:tbl>
    <w:p>
      <w:pPr>
        <w:pStyle w:val="Normal1"/>
        <w:pBdr/>
        <w:spacing w:lineRule="auto" w:line="276" w:before="0" w:after="20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</w:r>
    </w:p>
    <w:p>
      <w:pPr>
        <w:pStyle w:val="Normal1"/>
        <w:numPr>
          <w:ilvl w:val="0"/>
          <w:numId w:val="15"/>
        </w:numPr>
        <w:pBdr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>
      <w:pPr>
        <w:pStyle w:val="Normal1"/>
        <w:pBdr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pBdr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Odpisy dlhodobého nehmotného majetku a dlhodobého hmotného majetku sú stanovené tak, že</w:t>
      </w:r>
      <w:r>
        <w:rPr>
          <w:rFonts w:cs="Times New Roman" w:ascii="Times New Roman" w:hAnsi="Times New Roman"/>
          <w:i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</w:rPr>
        <w:t>sa vychádza z predpokladanej doby jeho užívania a predpokladaného priebehu jeho opotrebenia. Odpisovať sa začína:</w:t>
      </w:r>
    </w:p>
    <w:p>
      <w:pPr>
        <w:pStyle w:val="Normal1"/>
        <w:pBdr/>
        <w:ind w:left="425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2"/>
          <w:szCs w:val="22"/>
        </w:rPr>
        <w:t xml:space="preserve">☒  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odo </w:t>
      </w:r>
      <w:r>
        <w:rPr>
          <w:rFonts w:cs="Times New Roman" w:ascii="Times New Roman" w:hAnsi="Times New Roman"/>
          <w:color w:val="000000"/>
          <w:sz w:val="24"/>
          <w:szCs w:val="24"/>
        </w:rPr>
        <w:t>dňa jeho zaradenia do používania</w:t>
      </w:r>
    </w:p>
    <w:p>
      <w:pPr>
        <w:pStyle w:val="Normal1"/>
        <w:pBdr/>
        <w:ind w:left="425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2"/>
          <w:szCs w:val="22"/>
        </w:rPr>
        <w:t xml:space="preserve">☐  </w:t>
      </w:r>
      <w:r>
        <w:rPr>
          <w:rFonts w:cs="Times New Roman" w:ascii="Times New Roman" w:hAnsi="Times New Roman"/>
          <w:color w:val="000000"/>
          <w:sz w:val="24"/>
          <w:szCs w:val="24"/>
        </w:rPr>
        <w:t>prvým dňom mesiaca nasledujúceho po uvedení dlhodobého majetku do používania</w:t>
      </w:r>
    </w:p>
    <w:p>
      <w:pPr>
        <w:pStyle w:val="Normal1"/>
        <w:pBdr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Účtovné odpisy sa zaokrúhľujú na celé eurá nahor. Metóda odpisovania sa používa lineárna. </w:t>
      </w:r>
    </w:p>
    <w:p>
      <w:pPr>
        <w:pStyle w:val="Normal1"/>
        <w:pBdr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Účtovná jednotka zaraďuje majetok do odpisových skupín v zmysle zákona č.595/2003 Z.z. o dani z príjmov v z.n.p. Ak účtovná jednotka nemôže zaradiť majetok do 1. - 4. odpisovej skupiny, individuálne prehodnotí odpisový plán konkrétneho majetku podľa špecifických podmienok používania.</w:t>
      </w:r>
      <w:r>
        <w:rPr>
          <w:rFonts w:cs="Times New Roman" w:ascii="Times New Roman" w:hAnsi="Times New Roman"/>
          <w:color w:val="FF0000"/>
          <w:sz w:val="24"/>
          <w:szCs w:val="24"/>
        </w:rPr>
        <w:t xml:space="preserve"> </w:t>
      </w:r>
    </w:p>
    <w:p>
      <w:pPr>
        <w:pStyle w:val="Normal1"/>
        <w:pBdr/>
        <w:spacing w:before="0" w:after="200"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</w:t>
      </w:r>
    </w:p>
    <w:p>
      <w:pPr>
        <w:pStyle w:val="Normal1"/>
        <w:pBdr/>
        <w:spacing w:before="0" w:after="200"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</w:t>
      </w:r>
      <w:r>
        <w:rPr>
          <w:rFonts w:cs="Times New Roman" w:ascii="Times New Roman" w:hAnsi="Times New Roman"/>
          <w:color w:val="000000"/>
          <w:sz w:val="24"/>
          <w:szCs w:val="24"/>
        </w:rPr>
        <w:t>Drobný nehmotný majetok od 1,- Eur do 2 400,- EUR, ktorý podľa rozhodnutia účtovnej jednotky nie je dlhodobým nehmotným majetkom sa účtuje pri obstaraní do nákladov na účet 518 - Ostatné služby.</w:t>
      </w:r>
    </w:p>
    <w:p>
      <w:pPr>
        <w:pStyle w:val="Normal1"/>
        <w:pBdr/>
        <w:spacing w:lineRule="auto" w:line="276" w:before="0" w:after="2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Drobný hmotný majetok od 35,- Eur do 1 700,- EUR, ktorý podľa rozhodnutia účtovnej jednotky nie je dlhodobým hmotným majetkom sa účtuje do nákladov na účet 501-Spotreba materiálu a vedie sa na podsúvahových účtoch 7xx.</w:t>
      </w:r>
    </w:p>
    <w:p>
      <w:pPr>
        <w:pStyle w:val="Normal1"/>
        <w:pBdr/>
        <w:spacing w:lineRule="auto" w:line="276" w:before="0" w:after="2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numPr>
          <w:ilvl w:val="0"/>
          <w:numId w:val="15"/>
        </w:numPr>
        <w:pBdr/>
        <w:spacing w:lineRule="auto" w:line="276" w:before="0" w:after="200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Zásady pre zohľadnenie zníženia hodnoty majetku.</w:t>
      </w:r>
    </w:p>
    <w:p>
      <w:pPr>
        <w:pStyle w:val="Normal1"/>
        <w:pBdr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Prechodné zníženie hodnoty majetku sa vyjadruje 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</w:rPr>
        <w:t>opravnou položkou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. </w:t>
      </w:r>
    </w:p>
    <w:p>
      <w:pPr>
        <w:pStyle w:val="Normal1"/>
        <w:pBdr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Účtovná jednotka  v roku 2019 netvorila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</w:rPr>
        <w:t xml:space="preserve"> opravné položky.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1"/>
        <w:pBdr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cs="Times New Roman" w:ascii="Times New Roman" w:hAnsi="Times New Roman"/>
          <w:color w:val="000000"/>
          <w:sz w:val="24"/>
          <w:szCs w:val="24"/>
          <w:u w:val="single"/>
        </w:rPr>
      </w:r>
    </w:p>
    <w:p>
      <w:pPr>
        <w:pStyle w:val="Normal1"/>
        <w:numPr>
          <w:ilvl w:val="0"/>
          <w:numId w:val="22"/>
        </w:numPr>
        <w:tabs>
          <w:tab w:val="left" w:pos="284" w:leader="none"/>
        </w:tabs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Zásady pre vykazovanie transferov.</w:t>
      </w:r>
    </w:p>
    <w:p>
      <w:pPr>
        <w:pStyle w:val="Normal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>
      <w:pPr>
        <w:pStyle w:val="Normal1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Bežný transfer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1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prijatý od </w:t>
      </w:r>
      <w:r>
        <w:rPr>
          <w:rFonts w:cs="Times New Roman" w:ascii="Times New Roman" w:hAnsi="Times New Roman"/>
          <w:sz w:val="24"/>
          <w:szCs w:val="24"/>
          <w:u w:val="single"/>
        </w:rPr>
        <w:t>cudzích subjektov</w:t>
      </w:r>
      <w:r>
        <w:rPr>
          <w:rFonts w:cs="Times New Roman" w:ascii="Times New Roman" w:hAnsi="Times New Roman"/>
          <w:sz w:val="24"/>
          <w:szCs w:val="24"/>
        </w:rPr>
        <w:t xml:space="preserve"> - sa  zúčtuje do výnosov  vo vecnej a časovej súvislosti s nákladmi</w:t>
      </w:r>
    </w:p>
    <w:p>
      <w:pPr>
        <w:pStyle w:val="Normal1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prijatý od </w:t>
      </w:r>
      <w:r>
        <w:rPr>
          <w:rFonts w:cs="Times New Roman" w:ascii="Times New Roman" w:hAnsi="Times New Roman"/>
          <w:sz w:val="24"/>
          <w:szCs w:val="24"/>
          <w:u w:val="single"/>
        </w:rPr>
        <w:t>zriaďovateľa</w:t>
      </w:r>
      <w:r>
        <w:rPr>
          <w:rFonts w:cs="Times New Roman" w:ascii="Times New Roman" w:hAnsi="Times New Roman"/>
          <w:sz w:val="24"/>
          <w:szCs w:val="24"/>
        </w:rPr>
        <w:t xml:space="preserve"> - sa  zúčtuje do výnosov  vo vecnej a časovej súvislosti s výdavkami</w:t>
      </w:r>
    </w:p>
    <w:p>
      <w:pPr>
        <w:pStyle w:val="Normal1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poskytnutý </w:t>
      </w:r>
      <w:r>
        <w:rPr>
          <w:rFonts w:cs="Times New Roman" w:ascii="Times New Roman" w:hAnsi="Times New Roman"/>
          <w:sz w:val="24"/>
          <w:szCs w:val="24"/>
          <w:u w:val="single"/>
        </w:rPr>
        <w:t>cudzím subjektom</w:t>
      </w:r>
      <w:r>
        <w:rPr>
          <w:rFonts w:cs="Times New Roman" w:ascii="Times New Roman" w:hAnsi="Times New Roman"/>
          <w:sz w:val="24"/>
          <w:szCs w:val="24"/>
        </w:rPr>
        <w:t xml:space="preserve"> - sa  zúčtuje do nákladov po splnení podmienok</w:t>
      </w:r>
    </w:p>
    <w:p>
      <w:pPr>
        <w:pStyle w:val="Normal1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poskytnutý </w:t>
      </w:r>
      <w:r>
        <w:rPr>
          <w:rFonts w:cs="Times New Roman" w:ascii="Times New Roman" w:hAnsi="Times New Roman"/>
          <w:sz w:val="24"/>
          <w:szCs w:val="24"/>
          <w:u w:val="single"/>
        </w:rPr>
        <w:t>vlastným subjektom</w:t>
      </w:r>
      <w:r>
        <w:rPr>
          <w:rFonts w:cs="Times New Roman" w:ascii="Times New Roman" w:hAnsi="Times New Roman"/>
          <w:sz w:val="24"/>
          <w:szCs w:val="24"/>
        </w:rPr>
        <w:t xml:space="preserve"> - sa  zúčtuje do nákladov pri poskytnutí  transferu</w:t>
      </w:r>
    </w:p>
    <w:p>
      <w:pPr>
        <w:pStyle w:val="Normal1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1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1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Kapitálový transfer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1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prijatý od </w:t>
      </w:r>
      <w:r>
        <w:rPr>
          <w:rFonts w:cs="Times New Roman" w:ascii="Times New Roman" w:hAnsi="Times New Roman"/>
          <w:sz w:val="24"/>
          <w:szCs w:val="24"/>
          <w:u w:val="single"/>
        </w:rPr>
        <w:t>cudzích subjektov</w:t>
      </w:r>
      <w:r>
        <w:rPr>
          <w:rFonts w:cs="Times New Roman" w:ascii="Times New Roman" w:hAnsi="Times New Roman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>
      <w:pPr>
        <w:pStyle w:val="Normal1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prijatý od </w:t>
      </w:r>
      <w:r>
        <w:rPr>
          <w:rFonts w:cs="Times New Roman" w:ascii="Times New Roman" w:hAnsi="Times New Roman"/>
          <w:sz w:val="24"/>
          <w:szCs w:val="24"/>
          <w:u w:val="single"/>
        </w:rPr>
        <w:t>zriaďovateľa</w:t>
      </w:r>
      <w:r>
        <w:rPr>
          <w:rFonts w:cs="Times New Roman" w:ascii="Times New Roman" w:hAnsi="Times New Roman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>
      <w:pPr>
        <w:pStyle w:val="Normal1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poskytnutý </w:t>
      </w:r>
      <w:r>
        <w:rPr>
          <w:rFonts w:cs="Times New Roman" w:ascii="Times New Roman" w:hAnsi="Times New Roman"/>
          <w:sz w:val="24"/>
          <w:szCs w:val="24"/>
          <w:u w:val="single"/>
        </w:rPr>
        <w:t>cudzím subjektom</w:t>
      </w:r>
      <w:r>
        <w:rPr>
          <w:rFonts w:cs="Times New Roman" w:ascii="Times New Roman" w:hAnsi="Times New Roman"/>
          <w:sz w:val="24"/>
          <w:szCs w:val="24"/>
        </w:rPr>
        <w:t xml:space="preserve"> - sa  zúčtuje do nákladov po splnení podmienok. </w:t>
      </w:r>
    </w:p>
    <w:p>
      <w:pPr>
        <w:pStyle w:val="Normal1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poskytnutý </w:t>
      </w:r>
      <w:r>
        <w:rPr>
          <w:rFonts w:cs="Times New Roman" w:ascii="Times New Roman" w:hAnsi="Times New Roman"/>
          <w:sz w:val="24"/>
          <w:szCs w:val="24"/>
          <w:u w:val="single"/>
        </w:rPr>
        <w:t>vlastným subjektom</w:t>
      </w:r>
      <w:r>
        <w:rPr>
          <w:rFonts w:cs="Times New Roman" w:ascii="Times New Roman" w:hAnsi="Times New Roman"/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>
      <w:pPr>
        <w:pStyle w:val="Normal1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1"/>
        <w:numPr>
          <w:ilvl w:val="0"/>
          <w:numId w:val="15"/>
        </w:numPr>
        <w:tabs>
          <w:tab w:val="left" w:pos="284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Spôsob prepočtu údajov v cudzích menách na menu euro.</w:t>
      </w:r>
    </w:p>
    <w:p>
      <w:pPr>
        <w:pStyle w:val="Normal1"/>
        <w:pBdr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>
      <w:pPr>
        <w:pStyle w:val="Normal1"/>
        <w:pBdr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Na ocenenie prírastku cudzej meny nakúpenej za euro sa použije kurz, za ktorý bola táto cudzia mena nakúpená.</w:t>
      </w:r>
    </w:p>
    <w:p>
      <w:pPr>
        <w:pStyle w:val="Normal1"/>
        <w:pBdr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>
      <w:pPr>
        <w:pStyle w:val="Normal1"/>
        <w:pBdr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>
      <w:pPr>
        <w:pStyle w:val="Normal1"/>
        <w:pBdr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>
      <w:pPr>
        <w:pStyle w:val="Normal1"/>
        <w:pBdr/>
        <w:spacing w:lineRule="auto" w:line="276" w:before="0" w:after="20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pBdr/>
        <w:spacing w:lineRule="auto" w:line="276" w:before="0" w:after="20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Čl. III</w:t>
      </w:r>
    </w:p>
    <w:p>
      <w:pPr>
        <w:pStyle w:val="Normal1"/>
        <w:pBdr/>
        <w:spacing w:lineRule="auto" w:line="276" w:before="0" w:after="20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Informácie o údajoch na strane aktív súvahy</w:t>
      </w:r>
    </w:p>
    <w:p>
      <w:pPr>
        <w:pStyle w:val="Normal1"/>
        <w:pBdr/>
        <w:spacing w:lineRule="auto" w:line="276" w:before="0" w:after="200"/>
        <w:ind w:left="425" w:hanging="425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1"/>
        <w:pBdr/>
        <w:ind w:left="425" w:hanging="425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A Neobežný majetok</w:t>
      </w:r>
    </w:p>
    <w:p>
      <w:pPr>
        <w:pStyle w:val="Normal1"/>
        <w:numPr>
          <w:ilvl w:val="0"/>
          <w:numId w:val="2"/>
        </w:numPr>
        <w:pBdr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Dlhodobý nehmotný majetok a dlhodobý hmotný majetok </w:t>
      </w:r>
    </w:p>
    <w:p>
      <w:pPr>
        <w:pStyle w:val="Normal1"/>
        <w:numPr>
          <w:ilvl w:val="0"/>
          <w:numId w:val="3"/>
        </w:numPr>
        <w:pBdr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prehľad o pohybe dlhodobého majetku </w:t>
      </w:r>
    </w:p>
    <w:p>
      <w:pPr>
        <w:pStyle w:val="Normal1"/>
        <w:pBdr/>
        <w:ind w:left="284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1"/>
        <w:pBdr/>
        <w:ind w:left="284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Obec v roku 2019 zaradila do užívania dlhodobý majetok :</w:t>
      </w:r>
    </w:p>
    <w:p>
      <w:pPr>
        <w:pStyle w:val="Normal1"/>
        <w:numPr>
          <w:ilvl w:val="0"/>
          <w:numId w:val="0"/>
        </w:numPr>
        <w:pBdr/>
        <w:ind w:left="72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1"/>
        <w:widowControl/>
        <w:numPr>
          <w:ilvl w:val="0"/>
          <w:numId w:val="0"/>
        </w:numPr>
        <w:pBdr/>
        <w:bidi w:val="0"/>
        <w:ind w:left="947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1"/>
        <w:pBdr/>
        <w:ind w:left="360" w:hanging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A</w:t>
      </w:r>
      <w:r>
        <w:rPr>
          <w:rFonts w:cs="Times New Roman" w:ascii="Times New Roman" w:hAnsi="Times New Roman"/>
          <w:b/>
          <w:sz w:val="24"/>
          <w:szCs w:val="24"/>
        </w:rPr>
        <w:t>. Dopravné prostriedky v sume</w:t>
        <w:tab/>
        <w:tab/>
        <w:tab/>
        <w:tab/>
        <w:t xml:space="preserve"> 59 200,00</w:t>
        <w:tab/>
        <w:t>EUR</w:t>
      </w:r>
    </w:p>
    <w:p>
      <w:pPr>
        <w:pStyle w:val="Normal1"/>
        <w:numPr>
          <w:ilvl w:val="0"/>
          <w:numId w:val="24"/>
        </w:numPr>
        <w:pBdr/>
        <w:jc w:val="both"/>
        <w:rPr/>
      </w:pPr>
      <w:r>
        <w:rPr>
          <w:rFonts w:cs="Times New Roman" w:ascii="Times New Roman" w:hAnsi="Times New Roman"/>
          <w:sz w:val="24"/>
          <w:szCs w:val="24"/>
        </w:rPr>
        <w:t>osobný automobil</w:t>
      </w: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ab/>
        <w:tab/>
        <w:t xml:space="preserve"> 59 200,00</w:t>
        <w:tab/>
        <w:t>EUR</w:t>
      </w:r>
    </w:p>
    <w:p>
      <w:pPr>
        <w:pStyle w:val="Normal1"/>
        <w:pBdr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1"/>
        <w:pBdr/>
        <w:ind w:left="284" w:hang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numPr>
          <w:ilvl w:val="0"/>
          <w:numId w:val="3"/>
        </w:numPr>
        <w:pBdr/>
        <w:spacing w:lineRule="auto" w:line="276" w:before="0" w:after="200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spôsob a výška poistenia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dlhodobého nehmotného majetku a dlhodobého hmotného majetku </w:t>
      </w:r>
    </w:p>
    <w:tbl>
      <w:tblPr>
        <w:tblStyle w:val="a4"/>
        <w:tblW w:w="10065" w:type="dxa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395"/>
        <w:gridCol w:w="5669"/>
      </w:tblGrid>
      <w:tr>
        <w:trPr/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>Spôsob poistenia</w:t>
            </w:r>
          </w:p>
        </w:tc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>Výška poistenia</w:t>
            </w:r>
          </w:p>
        </w:tc>
      </w:tr>
      <w:tr>
        <w:trPr/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/>
            </w:pPr>
            <w:r>
              <w:rPr>
                <w:rFonts w:cs="Times New Roman" w:ascii="Times New Roman" w:hAnsi="Times New Roman"/>
              </w:rPr>
              <w:t xml:space="preserve">Poistenie </w:t>
            </w:r>
            <w:r>
              <w:rPr>
                <w:rFonts w:cs="Times New Roman" w:ascii="Times New Roman" w:hAnsi="Times New Roman"/>
              </w:rPr>
              <w:t xml:space="preserve">– </w:t>
            </w:r>
            <w:r>
              <w:rPr>
                <w:rFonts w:cs="Times New Roman" w:ascii="Times New Roman" w:hAnsi="Times New Roman"/>
              </w:rPr>
              <w:t>úrazové</w:t>
            </w:r>
          </w:p>
        </w:tc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104,17</w:t>
            </w:r>
          </w:p>
        </w:tc>
      </w:tr>
      <w:tr>
        <w:trPr/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Poistenie dopravných prostriedkov</w:t>
            </w:r>
          </w:p>
        </w:tc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1 048,19</w:t>
            </w:r>
          </w:p>
        </w:tc>
      </w:tr>
      <w:tr>
        <w:trPr/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/>
            </w:pPr>
            <w:r>
              <w:rPr>
                <w:rFonts w:cs="Times New Roman" w:ascii="Times New Roman" w:hAnsi="Times New Roman"/>
              </w:rPr>
              <w:t xml:space="preserve">Poistenie </w:t>
            </w:r>
            <w:r>
              <w:rPr>
                <w:rFonts w:cs="Times New Roman" w:ascii="Times New Roman" w:hAnsi="Times New Roman"/>
              </w:rPr>
              <w:t>budov</w:t>
            </w:r>
          </w:p>
        </w:tc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1 172,59</w:t>
            </w:r>
          </w:p>
        </w:tc>
      </w:tr>
    </w:tbl>
    <w:p>
      <w:pPr>
        <w:pStyle w:val="Normal1"/>
        <w:pBdr/>
        <w:spacing w:lineRule="auto" w:line="276" w:before="0" w:after="2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numPr>
          <w:ilvl w:val="0"/>
          <w:numId w:val="3"/>
        </w:numPr>
        <w:pBdr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zriadenie záložného práva </w:t>
      </w:r>
      <w:r>
        <w:rPr>
          <w:rFonts w:cs="Times New Roman" w:ascii="Times New Roman" w:hAnsi="Times New Roman"/>
          <w:color w:val="000000"/>
          <w:sz w:val="24"/>
          <w:szCs w:val="24"/>
        </w:rPr>
        <w:t>na dlhodobý nehmotný majetok a dlhodobý hmotný majetok alebo obmedzenie práva nakladať s dlhodobým majetkom</w:t>
      </w:r>
    </w:p>
    <w:p>
      <w:pPr>
        <w:pStyle w:val="Normal1"/>
        <w:pBdr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Obec nemá zriadené záložné právo na dlhodobý nehmotný majetok a dlhodobý hmotný majetok alebo obmedzenie práva nakladať s dlhodobým majetkom</w:t>
      </w:r>
    </w:p>
    <w:p>
      <w:pPr>
        <w:pStyle w:val="Normal1"/>
        <w:pBdr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numPr>
          <w:ilvl w:val="0"/>
          <w:numId w:val="3"/>
        </w:numPr>
        <w:pBdr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Style w:val="a5"/>
        <w:tblW w:w="9889" w:type="dxa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361"/>
        <w:gridCol w:w="2835"/>
        <w:gridCol w:w="2693"/>
      </w:tblGrid>
      <w:tr>
        <w:trPr/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 xml:space="preserve">Majetok, </w:t>
            </w:r>
          </w:p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ku ktorému</w:t>
            </w:r>
            <w:r>
              <w:rPr>
                <w:rFonts w:cs="Times New Roman" w:ascii="Times New Roman" w:hAnsi="Times New Roman"/>
                <w:b/>
                <w:color w:val="000000"/>
              </w:rPr>
              <w:t xml:space="preserve"> má</w:t>
            </w:r>
            <w:r>
              <w:rPr>
                <w:rFonts w:cs="Times New Roman" w:ascii="Times New Roman" w:hAnsi="Times New Roman"/>
                <w:color w:val="000000"/>
              </w:rPr>
              <w:t xml:space="preserve"> účtovná jednotka vlastnícke právo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/>
            </w:pPr>
            <w:r>
              <w:rPr>
                <w:rFonts w:cs="Times New Roman" w:ascii="Times New Roman" w:hAnsi="Times New Roman"/>
                <w:b/>
                <w:color w:val="000000"/>
              </w:rPr>
              <w:t>Suma  k 31.12.201</w:t>
            </w:r>
            <w:r>
              <w:rPr>
                <w:rFonts w:cs="Times New Roman" w:ascii="Times New Roman" w:hAnsi="Times New Roman"/>
                <w:b/>
                <w:color w:val="000000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/>
            </w:pPr>
            <w:r>
              <w:rPr>
                <w:rFonts w:cs="Times New Roman" w:ascii="Times New Roman" w:hAnsi="Times New Roman"/>
                <w:b/>
                <w:color w:val="000000"/>
              </w:rPr>
              <w:t>Suma k 31.12.201</w:t>
            </w:r>
            <w:r>
              <w:rPr>
                <w:rFonts w:cs="Times New Roman" w:ascii="Times New Roman" w:hAnsi="Times New Roman"/>
                <w:b/>
                <w:color w:val="000000"/>
              </w:rPr>
              <w:t>9</w:t>
            </w:r>
          </w:p>
        </w:tc>
      </w:tr>
      <w:tr>
        <w:trPr/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/>
            </w:pPr>
            <w:r>
              <w:rPr/>
              <w:t>Softvér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/>
              <w:t>0,00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/>
              <w:t>8 144,00</w:t>
            </w:r>
          </w:p>
        </w:tc>
      </w:tr>
      <w:tr>
        <w:trPr/>
        <w:tc>
          <w:tcPr>
            <w:tcW w:w="436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Pozemky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92 487,58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76 562,68</w:t>
            </w:r>
          </w:p>
        </w:tc>
      </w:tr>
      <w:tr>
        <w:trPr/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Budovy, stavby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2 654 613,94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2 654 613,94</w:t>
            </w:r>
          </w:p>
        </w:tc>
      </w:tr>
      <w:tr>
        <w:trPr/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Stroje, prístroje, zariadenia, inventár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90 699,84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90 699,84</w:t>
            </w:r>
          </w:p>
        </w:tc>
      </w:tr>
      <w:tr>
        <w:trPr/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Dopravné prostriedky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106 281,89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71 690,00</w:t>
            </w:r>
          </w:p>
        </w:tc>
      </w:tr>
    </w:tbl>
    <w:p>
      <w:pPr>
        <w:pStyle w:val="Normal1"/>
        <w:pBdr/>
        <w:spacing w:lineRule="auto" w:line="276" w:before="0" w:after="20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1"/>
        <w:numPr>
          <w:ilvl w:val="0"/>
          <w:numId w:val="3"/>
        </w:numPr>
        <w:pBdr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opis a hodnota majetku</w:t>
      </w:r>
      <w:r>
        <w:rPr>
          <w:rFonts w:cs="Times New Roman" w:ascii="Times New Roman" w:hAnsi="Times New Roman"/>
          <w:color w:val="000000"/>
          <w:sz w:val="24"/>
          <w:szCs w:val="24"/>
        </w:rPr>
        <w:t>, ku ktorému účtovná jednotka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 nemá vlastnícke právo</w:t>
      </w:r>
    </w:p>
    <w:p>
      <w:pPr>
        <w:pStyle w:val="Normal1"/>
        <w:pBdr/>
        <w:ind w:left="284" w:hang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Style w:val="a6"/>
        <w:tblW w:w="10206" w:type="dxa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220"/>
        <w:gridCol w:w="4985"/>
      </w:tblGrid>
      <w:tr>
        <w:trPr/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color w:val="000000"/>
              </w:rPr>
              <w:t xml:space="preserve">Majetok, </w:t>
            </w:r>
          </w:p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ku ktorému </w:t>
            </w:r>
            <w:r>
              <w:rPr>
                <w:rFonts w:cs="Times New Roman" w:ascii="Times New Roman" w:hAnsi="Times New Roman"/>
                <w:b/>
                <w:color w:val="000000"/>
              </w:rPr>
              <w:t>nemá</w:t>
            </w:r>
            <w:r>
              <w:rPr>
                <w:rFonts w:cs="Times New Roman" w:ascii="Times New Roman" w:hAnsi="Times New Roman"/>
                <w:color w:val="000000"/>
              </w:rPr>
              <w:t xml:space="preserve"> účtovná jednotka vlastnícke právo</w:t>
            </w:r>
          </w:p>
        </w:tc>
        <w:tc>
          <w:tcPr>
            <w:tcW w:w="4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 xml:space="preserve">Suma </w:t>
            </w:r>
          </w:p>
        </w:tc>
      </w:tr>
      <w:tr>
        <w:trPr/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Majetok, ktorý využíva účtovná jednotka na základe zmluvy</w:t>
            </w:r>
          </w:p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</w:rPr>
              <w:t>o výpožičke</w:t>
            </w:r>
            <w:r>
              <w:rPr>
                <w:rFonts w:cs="Times New Roman" w:ascii="Times New Roman" w:hAnsi="Times New Roman"/>
                <w:b/>
                <w:color w:val="000000"/>
              </w:rPr>
              <w:t xml:space="preserve"> č.KRHZ-KE-833/2016</w:t>
            </w:r>
          </w:p>
        </w:tc>
        <w:tc>
          <w:tcPr>
            <w:tcW w:w="4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</w:tr>
      <w:tr>
        <w:trPr/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Hasičský automobil – cisternová automobilová striekačka malá pre obecné hasičské zbory</w:t>
            </w:r>
          </w:p>
        </w:tc>
        <w:tc>
          <w:tcPr>
            <w:tcW w:w="4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>114 813,60 €</w:t>
            </w:r>
          </w:p>
        </w:tc>
      </w:tr>
    </w:tbl>
    <w:p>
      <w:pPr>
        <w:pStyle w:val="Normal1"/>
        <w:pBdr/>
        <w:spacing w:lineRule="auto" w:line="276" w:before="0" w:after="2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numPr>
          <w:ilvl w:val="0"/>
          <w:numId w:val="3"/>
        </w:numPr>
        <w:pBdr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opis 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opravných položiek </w:t>
      </w:r>
      <w:r>
        <w:rPr>
          <w:rFonts w:cs="Times New Roman" w:ascii="Times New Roman" w:hAnsi="Times New Roman"/>
          <w:color w:val="000000"/>
          <w:sz w:val="24"/>
          <w:szCs w:val="24"/>
        </w:rPr>
        <w:t>k dlhodobému nehmotnému majetku a dlhodobému hmotnému majetku.</w:t>
      </w:r>
    </w:p>
    <w:p>
      <w:pPr>
        <w:pStyle w:val="Normal1"/>
        <w:pBdr/>
        <w:spacing w:lineRule="auto" w:line="276" w:before="0" w:after="2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Style w:val="a7"/>
        <w:tblW w:w="10206" w:type="dxa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186"/>
        <w:gridCol w:w="2084"/>
        <w:gridCol w:w="4936"/>
      </w:tblGrid>
      <w:tr>
        <w:trPr/>
        <w:tc>
          <w:tcPr>
            <w:tcW w:w="3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>Dôvod zvýšenie, zníženia a zrušenia OP</w:t>
            </w:r>
          </w:p>
        </w:tc>
      </w:tr>
      <w:tr>
        <w:trPr/>
        <w:tc>
          <w:tcPr>
            <w:tcW w:w="3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ČOV</w:t>
            </w:r>
          </w:p>
        </w:tc>
        <w:tc>
          <w:tcPr>
            <w:tcW w:w="2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47 783,05</w:t>
            </w:r>
          </w:p>
        </w:tc>
        <w:tc>
          <w:tcPr>
            <w:tcW w:w="4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Dlhodobo nedokončený a neužívaní hmotný majetok</w:t>
            </w:r>
          </w:p>
        </w:tc>
      </w:tr>
      <w:tr>
        <w:trPr/>
        <w:tc>
          <w:tcPr>
            <w:tcW w:w="3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Kanalizácia</w:t>
            </w:r>
          </w:p>
        </w:tc>
        <w:tc>
          <w:tcPr>
            <w:tcW w:w="2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43 632,80</w:t>
            </w:r>
          </w:p>
        </w:tc>
        <w:tc>
          <w:tcPr>
            <w:tcW w:w="4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Dlhodobo nedokončený a neužívaný hmotný majetok</w:t>
            </w:r>
          </w:p>
        </w:tc>
      </w:tr>
    </w:tbl>
    <w:p>
      <w:pPr>
        <w:pStyle w:val="Normal1"/>
        <w:pBdr/>
        <w:spacing w:lineRule="auto" w:line="276" w:before="0" w:after="2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numPr>
          <w:ilvl w:val="0"/>
          <w:numId w:val="2"/>
        </w:numPr>
        <w:pBdr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Dlhodobý finančný majetok </w:t>
      </w:r>
    </w:p>
    <w:p>
      <w:pPr>
        <w:pStyle w:val="Normal1"/>
        <w:numPr>
          <w:ilvl w:val="0"/>
          <w:numId w:val="4"/>
        </w:numPr>
        <w:pBdr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prehľad o pohybe dlhodobého finančného majetku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1"/>
        <w:pBdr/>
        <w:ind w:left="284" w:hang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Obec nemá náplň pre danú položku.</w:t>
      </w:r>
    </w:p>
    <w:p>
      <w:pPr>
        <w:pStyle w:val="Normal1"/>
        <w:pBdr/>
        <w:ind w:left="284" w:hang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numPr>
          <w:ilvl w:val="0"/>
          <w:numId w:val="2"/>
        </w:numPr>
        <w:pBdr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Majetkové podiely účtovnej jednotky v iných spoločnostiach </w:t>
      </w:r>
    </w:p>
    <w:p>
      <w:pPr>
        <w:pStyle w:val="Normal1"/>
        <w:pBdr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Informácia o spoločnostiach, v ktorých má účtovná jednotka majetkový podiel (riadky 025 až 026 súvahy): </w:t>
      </w:r>
    </w:p>
    <w:p>
      <w:pPr>
        <w:pStyle w:val="Normal1"/>
        <w:pBdr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  EUR.</w:t>
      </w:r>
    </w:p>
    <w:tbl>
      <w:tblPr>
        <w:tblStyle w:val="a8"/>
        <w:tblW w:w="10318" w:type="dxa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86"/>
        <w:gridCol w:w="685"/>
        <w:gridCol w:w="1190"/>
        <w:gridCol w:w="1135"/>
        <w:gridCol w:w="1072"/>
        <w:gridCol w:w="1253"/>
        <w:gridCol w:w="1190"/>
        <w:gridCol w:w="1071"/>
        <w:gridCol w:w="1136"/>
      </w:tblGrid>
      <w:tr>
        <w:trPr/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Názov spoločnosti</w:t>
            </w:r>
          </w:p>
        </w:tc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Právna forma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 xml:space="preserve">Základné imanie (ZI) spoločnosti v peňažných jednotkách </w:t>
            </w:r>
          </w:p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Podiel ÚJ</w:t>
            </w:r>
          </w:p>
          <w:p>
            <w:pPr>
              <w:pStyle w:val="Normal1"/>
              <w:pBdr/>
              <w:jc w:val="center"/>
              <w:rPr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na základnom imaní (ZI) spoločnosti</w:t>
            </w:r>
          </w:p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v %</w:t>
            </w: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 xml:space="preserve">Podiel </w:t>
            </w:r>
          </w:p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ÚJ na hlasovacích právach</w:t>
            </w:r>
          </w:p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v %</w:t>
            </w:r>
          </w:p>
        </w:tc>
        <w:tc>
          <w:tcPr>
            <w:tcW w:w="1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 xml:space="preserve">Hodnota vlastného imania spoločnosti </w:t>
            </w:r>
          </w:p>
          <w:p>
            <w:pPr>
              <w:pStyle w:val="Normal1"/>
              <w:pBdr/>
              <w:jc w:val="center"/>
              <w:rPr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k 31.12.201</w:t>
            </w: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Hodnota vlastného imania</w:t>
            </w:r>
          </w:p>
          <w:p>
            <w:pPr>
              <w:pStyle w:val="Normal1"/>
              <w:pBdr/>
              <w:jc w:val="center"/>
              <w:rPr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spoločnosti</w:t>
            </w:r>
          </w:p>
          <w:p>
            <w:pPr>
              <w:pStyle w:val="Normal1"/>
              <w:pBdr/>
              <w:jc w:val="center"/>
              <w:rPr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k 31.12.</w:t>
            </w:r>
            <w:r>
              <w:rPr>
                <w:rFonts w:cs="Times New Roman" w:ascii="Times New Roman" w:hAnsi="Times New Roman"/>
                <w:sz w:val="16"/>
                <w:szCs w:val="16"/>
              </w:rPr>
              <w:t>201</w:t>
            </w:r>
            <w:r>
              <w:rPr>
                <w:rFonts w:cs="Times New Roman"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Účtovná hodnota vykázaná v súvahe k </w:t>
            </w:r>
          </w:p>
          <w:p>
            <w:pPr>
              <w:pStyle w:val="Normal1"/>
              <w:pBdr/>
              <w:jc w:val="center"/>
              <w:rPr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31.12.20</w:t>
            </w: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Účtovná hodnota vykázaná v súvahe k </w:t>
            </w:r>
          </w:p>
          <w:p>
            <w:pPr>
              <w:pStyle w:val="Normal1"/>
              <w:pBdr/>
              <w:jc w:val="center"/>
              <w:rPr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31.12.</w:t>
            </w:r>
            <w:r>
              <w:rPr>
                <w:rFonts w:cs="Times New Roman" w:ascii="Times New Roman" w:hAnsi="Times New Roman"/>
                <w:sz w:val="16"/>
                <w:szCs w:val="16"/>
              </w:rPr>
              <w:t>201</w:t>
            </w:r>
            <w:r>
              <w:rPr>
                <w:rFonts w:cs="Times New Roman" w:ascii="Times New Roman" w:hAnsi="Times New Roman"/>
                <w:sz w:val="16"/>
                <w:szCs w:val="16"/>
              </w:rPr>
              <w:t>9</w:t>
            </w:r>
          </w:p>
        </w:tc>
      </w:tr>
      <w:tr>
        <w:trPr/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 xml:space="preserve">Služby Obce Poráč </w:t>
            </w:r>
          </w:p>
        </w:tc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6 970,72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6 970,72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6970,72</w:t>
            </w:r>
          </w:p>
        </w:tc>
        <w:tc>
          <w:tcPr>
            <w:tcW w:w="1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6 970,72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6 970,72</w:t>
            </w:r>
          </w:p>
        </w:tc>
      </w:tr>
      <w:tr>
        <w:trPr/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</w:tr>
      <w:tr>
        <w:trPr/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16"/>
                <w:szCs w:val="16"/>
              </w:rPr>
              <w:t>6 970,72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1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16"/>
                <w:szCs w:val="16"/>
              </w:rPr>
              <w:t>6 970,72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16"/>
                <w:szCs w:val="16"/>
              </w:rPr>
              <w:t>6 970,72</w:t>
            </w:r>
          </w:p>
        </w:tc>
        <w:tc>
          <w:tcPr>
            <w:tcW w:w="1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16"/>
                <w:szCs w:val="16"/>
              </w:rPr>
              <w:t>6 970,72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16"/>
                <w:szCs w:val="16"/>
              </w:rPr>
              <w:t>6 970,72</w:t>
            </w:r>
          </w:p>
        </w:tc>
      </w:tr>
    </w:tbl>
    <w:p>
      <w:pPr>
        <w:pStyle w:val="Normal1"/>
        <w:pBdr/>
        <w:spacing w:lineRule="auto" w:line="276" w:before="0" w:after="2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numPr>
          <w:ilvl w:val="0"/>
          <w:numId w:val="2"/>
        </w:numPr>
        <w:pBdr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Dlhové cenné papiere a realizovateľné cenné papiere, dlhodobé pôžičky a ostatný dlhodobý finančný majetok </w:t>
      </w:r>
    </w:p>
    <w:p>
      <w:pPr>
        <w:pStyle w:val="Normal1"/>
        <w:pBdr/>
        <w:ind w:left="284" w:hang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numPr>
          <w:ilvl w:val="0"/>
          <w:numId w:val="6"/>
        </w:numPr>
        <w:pBdr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Style w:val="a9"/>
        <w:tblW w:w="10260" w:type="dxa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99"/>
      </w:tblGrid>
      <w:tr>
        <w:trPr/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Mena</w:t>
            </w:r>
          </w:p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Účtovná hodnota vykázaná v súvahe účtovnej jednotky </w:t>
            </w:r>
          </w:p>
          <w:p>
            <w:pPr>
              <w:pStyle w:val="Normal1"/>
              <w:pBdr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k 31.12.201</w:t>
            </w:r>
            <w:r>
              <w:rPr>
                <w:rFonts w:cs="Times New Roman" w:ascii="Times New Roman" w:hAnsi="Times New Roman"/>
                <w:color w:val="000000"/>
              </w:rPr>
              <w:t>8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Účtovná hodnota vykázaná v súvahe účtovnej jednotky </w:t>
            </w:r>
          </w:p>
          <w:p>
            <w:pPr>
              <w:pStyle w:val="Normal1"/>
              <w:pBdr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k 31.12.</w:t>
            </w:r>
            <w:r>
              <w:rPr>
                <w:rFonts w:cs="Times New Roman" w:ascii="Times New Roman" w:hAnsi="Times New Roman"/>
              </w:rPr>
              <w:t>201</w:t>
            </w:r>
            <w:r>
              <w:rPr>
                <w:rFonts w:cs="Times New Roman" w:ascii="Times New Roman" w:hAnsi="Times New Roman"/>
              </w:rPr>
              <w:t>9</w:t>
            </w:r>
          </w:p>
        </w:tc>
      </w:tr>
      <w:tr>
        <w:trPr/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Podtatranská vodárenská spoločnosť, a.s.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kmeňová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EUR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0,28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151 147,26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151 147,26</w:t>
            </w:r>
          </w:p>
        </w:tc>
      </w:tr>
      <w:tr>
        <w:trPr/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>Spolu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>151 147,26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>151 147,26</w:t>
            </w:r>
          </w:p>
        </w:tc>
      </w:tr>
    </w:tbl>
    <w:p>
      <w:pPr>
        <w:pStyle w:val="Normal1"/>
        <w:pBdr/>
        <w:spacing w:lineRule="auto" w:line="276" w:before="0" w:after="2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numPr>
          <w:ilvl w:val="0"/>
          <w:numId w:val="5"/>
        </w:numPr>
        <w:pBdr/>
        <w:spacing w:lineRule="auto" w:line="360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Pohľadávky</w:t>
      </w:r>
    </w:p>
    <w:p>
      <w:pPr>
        <w:pStyle w:val="Normal1"/>
        <w:numPr>
          <w:ilvl w:val="0"/>
          <w:numId w:val="7"/>
        </w:numPr>
        <w:pBdr/>
        <w:spacing w:lineRule="auto" w:line="360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opis významných pohľadávok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podľa jednotlivých položiek súvahy </w:t>
      </w:r>
    </w:p>
    <w:tbl>
      <w:tblPr>
        <w:tblStyle w:val="aa"/>
        <w:tblW w:w="10135" w:type="dxa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897"/>
        <w:gridCol w:w="1135"/>
        <w:gridCol w:w="2268"/>
        <w:gridCol w:w="2834"/>
      </w:tblGrid>
      <w:tr>
        <w:trPr/>
        <w:tc>
          <w:tcPr>
            <w:tcW w:w="3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>Pohľadávky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b/>
                <w:b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>Pohľadávky</w:t>
            </w:r>
          </w:p>
          <w:p>
            <w:pPr>
              <w:pStyle w:val="Normal1"/>
              <w:pBdr/>
              <w:jc w:val="center"/>
              <w:rPr/>
            </w:pPr>
            <w:r>
              <w:rPr>
                <w:rFonts w:cs="Times New Roman" w:ascii="Times New Roman" w:hAnsi="Times New Roman"/>
                <w:b/>
                <w:color w:val="000000"/>
              </w:rPr>
              <w:t>31.12.201</w:t>
            </w:r>
            <w:r>
              <w:rPr>
                <w:rFonts w:cs="Times New Roman" w:ascii="Times New Roman" w:hAnsi="Times New Roman"/>
                <w:b/>
                <w:color w:val="000000"/>
              </w:rPr>
              <w:t>8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b/>
                <w:b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>Pohľadávky</w:t>
            </w:r>
          </w:p>
          <w:p>
            <w:pPr>
              <w:pStyle w:val="Normal1"/>
              <w:pBdr/>
              <w:jc w:val="center"/>
              <w:rPr/>
            </w:pPr>
            <w:r>
              <w:rPr>
                <w:rFonts w:cs="Times New Roman" w:ascii="Times New Roman" w:hAnsi="Times New Roman"/>
                <w:b/>
                <w:color w:val="000000"/>
              </w:rPr>
              <w:t>31.12.201</w:t>
            </w:r>
            <w:r>
              <w:rPr>
                <w:rFonts w:cs="Times New Roman" w:ascii="Times New Roman" w:hAnsi="Times New Roman"/>
                <w:b/>
                <w:color w:val="000000"/>
              </w:rPr>
              <w:t>9</w:t>
            </w:r>
          </w:p>
        </w:tc>
      </w:tr>
      <w:tr>
        <w:trPr/>
        <w:tc>
          <w:tcPr>
            <w:tcW w:w="3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Pohľadávky z nedaňových príjmov obcí</w:t>
            </w:r>
          </w:p>
          <w:p>
            <w:pPr>
              <w:pStyle w:val="Normal1"/>
              <w:numPr>
                <w:ilvl w:val="0"/>
                <w:numId w:val="26"/>
              </w:numPr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 </w:t>
            </w:r>
            <w:r>
              <w:rPr>
                <w:rFonts w:cs="Times New Roman" w:ascii="Times New Roman" w:hAnsi="Times New Roman"/>
                <w:color w:val="000000"/>
              </w:rPr>
              <w:t>voda</w:t>
            </w:r>
          </w:p>
          <w:p>
            <w:pPr>
              <w:pStyle w:val="Normal1"/>
              <w:numPr>
                <w:ilvl w:val="0"/>
                <w:numId w:val="26"/>
              </w:numPr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 </w:t>
            </w:r>
            <w:r>
              <w:rPr>
                <w:rFonts w:cs="Times New Roman" w:ascii="Times New Roman" w:hAnsi="Times New Roman"/>
                <w:color w:val="000000"/>
              </w:rPr>
              <w:t>TKO</w:t>
            </w:r>
          </w:p>
          <w:p>
            <w:pPr>
              <w:pStyle w:val="Normal1"/>
              <w:numPr>
                <w:ilvl w:val="0"/>
                <w:numId w:val="26"/>
              </w:numPr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 </w:t>
            </w:r>
            <w:r>
              <w:rPr>
                <w:rFonts w:cs="Times New Roman" w:ascii="Times New Roman" w:hAnsi="Times New Roman"/>
                <w:color w:val="000000"/>
              </w:rPr>
              <w:t>Popolček-SABAR</w:t>
            </w:r>
          </w:p>
          <w:p>
            <w:pPr>
              <w:pStyle w:val="Normal1"/>
              <w:numPr>
                <w:ilvl w:val="0"/>
                <w:numId w:val="26"/>
              </w:numPr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 </w:t>
            </w:r>
            <w:r>
              <w:rPr>
                <w:rFonts w:cs="Times New Roman" w:ascii="Times New Roman" w:hAnsi="Times New Roman"/>
                <w:color w:val="000000"/>
              </w:rPr>
              <w:t>Nájomné-TUTTO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068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12 083,34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9 577,60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652,00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1 112,89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746,85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12 011,27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9 558,05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634,20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1 441,32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497,90</w:t>
            </w:r>
          </w:p>
        </w:tc>
      </w:tr>
      <w:tr>
        <w:trPr/>
        <w:tc>
          <w:tcPr>
            <w:tcW w:w="3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Pohľadávky z daňových príjmov obcí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069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2 073,05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3 839,99</w:t>
            </w:r>
          </w:p>
        </w:tc>
      </w:tr>
      <w:tr>
        <w:trPr/>
        <w:tc>
          <w:tcPr>
            <w:tcW w:w="3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 xml:space="preserve">Spolu 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b/>
                <w:color w:val="000000"/>
              </w:rPr>
              <w:t>14 156,39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b/>
                <w:color w:val="000000"/>
              </w:rPr>
              <w:t>15 851,26</w:t>
            </w:r>
          </w:p>
        </w:tc>
      </w:tr>
    </w:tbl>
    <w:p>
      <w:pPr>
        <w:pStyle w:val="Normal1"/>
        <w:pBdr/>
        <w:spacing w:lineRule="auto" w:line="276" w:before="0" w:after="2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numPr>
          <w:ilvl w:val="0"/>
          <w:numId w:val="7"/>
        </w:numPr>
        <w:pBdr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pohľadávky podľa 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>doby splatnosti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(riadky 048 a 060 súvahy) </w:t>
      </w:r>
    </w:p>
    <w:p>
      <w:pPr>
        <w:pStyle w:val="Normal1"/>
        <w:numPr>
          <w:ilvl w:val="0"/>
          <w:numId w:val="16"/>
        </w:numPr>
        <w:pBdr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pohľadávky do jedného roka</w:t>
        <w:tab/>
        <w:tab/>
        <w:t xml:space="preserve">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555555"/>
          <w:spacing w:val="0"/>
          <w:sz w:val="24"/>
          <w:szCs w:val="24"/>
        </w:rPr>
        <w:t>15 851,26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</w:rPr>
        <w:tab/>
        <w:t>eur</w:t>
      </w:r>
    </w:p>
    <w:p>
      <w:pPr>
        <w:pStyle w:val="Normal1"/>
        <w:numPr>
          <w:ilvl w:val="0"/>
          <w:numId w:val="0"/>
        </w:numPr>
        <w:pBdr/>
        <w:ind w:left="678" w:hang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/>
      </w:r>
    </w:p>
    <w:p>
      <w:pPr>
        <w:pStyle w:val="Normal1"/>
        <w:pBdr/>
        <w:ind w:left="284" w:hang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1"/>
        <w:numPr>
          <w:ilvl w:val="0"/>
          <w:numId w:val="5"/>
        </w:numPr>
        <w:pBdr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Finančný majetok </w:t>
      </w:r>
    </w:p>
    <w:p>
      <w:pPr>
        <w:pStyle w:val="Normal1"/>
        <w:numPr>
          <w:ilvl w:val="0"/>
          <w:numId w:val="8"/>
        </w:numPr>
        <w:pBdr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opis významných zložiek 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>krátkodobého finančného majetku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1"/>
        <w:pBdr/>
        <w:ind w:left="10080" w:hang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Style w:val="ab"/>
        <w:tblW w:w="10348" w:type="dxa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961"/>
        <w:gridCol w:w="2693"/>
        <w:gridCol w:w="2694"/>
      </w:tblGrid>
      <w:tr>
        <w:trPr/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>Krátkodobý  finančný majetok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>Zostatok k 31.12.2018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/>
            </w:pPr>
            <w:r>
              <w:rPr>
                <w:rFonts w:cs="Times New Roman" w:ascii="Times New Roman" w:hAnsi="Times New Roman"/>
                <w:b/>
                <w:color w:val="000000"/>
              </w:rPr>
              <w:t>Zostatok k 31.12.</w:t>
            </w:r>
            <w:r>
              <w:rPr>
                <w:rFonts w:cs="Times New Roman" w:ascii="Times New Roman" w:hAnsi="Times New Roman"/>
                <w:b/>
              </w:rPr>
              <w:t>201</w:t>
            </w:r>
            <w:r>
              <w:rPr>
                <w:rFonts w:cs="Times New Roman" w:ascii="Times New Roman" w:hAnsi="Times New Roman"/>
                <w:b/>
              </w:rPr>
              <w:t>9</w:t>
            </w:r>
          </w:p>
        </w:tc>
      </w:tr>
      <w:tr>
        <w:trPr/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Pokladnica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328,77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930,36</w:t>
            </w:r>
          </w:p>
        </w:tc>
      </w:tr>
      <w:tr>
        <w:trPr/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Ceniny</w:t>
            </w:r>
          </w:p>
          <w:p>
            <w:pPr>
              <w:pStyle w:val="Normal1"/>
              <w:numPr>
                <w:ilvl w:val="0"/>
                <w:numId w:val="27"/>
              </w:numPr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 </w:t>
            </w:r>
            <w:r>
              <w:rPr>
                <w:rFonts w:cs="Times New Roman" w:ascii="Times New Roman" w:hAnsi="Times New Roman"/>
                <w:color w:val="000000"/>
              </w:rPr>
              <w:t>stravné lístky</w:t>
            </w:r>
          </w:p>
          <w:p>
            <w:pPr>
              <w:pStyle w:val="Normal1"/>
              <w:numPr>
                <w:ilvl w:val="0"/>
                <w:numId w:val="27"/>
              </w:numPr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 </w:t>
            </w:r>
            <w:r>
              <w:rPr>
                <w:rFonts w:cs="Times New Roman" w:ascii="Times New Roman" w:hAnsi="Times New Roman"/>
                <w:color w:val="000000"/>
              </w:rPr>
              <w:t>poštové ceniny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203,10</w:t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201,60</w:t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1,50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712,60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700,00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12,60</w:t>
            </w:r>
          </w:p>
        </w:tc>
      </w:tr>
      <w:tr>
        <w:trPr/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Bankové účty</w:t>
            </w:r>
          </w:p>
          <w:p>
            <w:pPr>
              <w:pStyle w:val="Normal1"/>
              <w:numPr>
                <w:ilvl w:val="0"/>
                <w:numId w:val="28"/>
              </w:numPr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 </w:t>
            </w:r>
            <w:r>
              <w:rPr>
                <w:rFonts w:cs="Times New Roman" w:ascii="Times New Roman" w:hAnsi="Times New Roman"/>
                <w:color w:val="000000"/>
              </w:rPr>
              <w:t>bežný účet</w:t>
            </w:r>
          </w:p>
          <w:p>
            <w:pPr>
              <w:pStyle w:val="Normal1"/>
              <w:numPr>
                <w:ilvl w:val="0"/>
                <w:numId w:val="28"/>
              </w:numPr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 </w:t>
            </w:r>
            <w:r>
              <w:rPr>
                <w:rFonts w:cs="Times New Roman" w:ascii="Times New Roman" w:hAnsi="Times New Roman"/>
                <w:color w:val="000000"/>
              </w:rPr>
              <w:t>rezervný fond-analyticky</w:t>
            </w:r>
          </w:p>
          <w:p>
            <w:pPr>
              <w:pStyle w:val="Normal1"/>
              <w:numPr>
                <w:ilvl w:val="0"/>
                <w:numId w:val="28"/>
              </w:numPr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 </w:t>
            </w:r>
            <w:r>
              <w:rPr>
                <w:rFonts w:cs="Times New Roman" w:ascii="Times New Roman" w:hAnsi="Times New Roman"/>
                <w:color w:val="000000"/>
              </w:rPr>
              <w:t>účet SF-analyticky</w:t>
            </w:r>
          </w:p>
          <w:p>
            <w:pPr>
              <w:pStyle w:val="Normal1"/>
              <w:numPr>
                <w:ilvl w:val="0"/>
                <w:numId w:val="28"/>
              </w:numPr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 </w:t>
            </w:r>
            <w:r>
              <w:rPr>
                <w:rFonts w:cs="Times New Roman" w:ascii="Times New Roman" w:hAnsi="Times New Roman"/>
                <w:color w:val="000000"/>
              </w:rPr>
              <w:t>účet ZŠ+MŠ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4 223,40</w:t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3 931,82</w:t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0,00</w:t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228,26</w:t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63,32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48 720,30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9 176,21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4 260,59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185,11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95,34</w:t>
            </w:r>
          </w:p>
        </w:tc>
      </w:tr>
    </w:tbl>
    <w:p>
      <w:pPr>
        <w:pStyle w:val="Normal1"/>
        <w:pBdr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numPr>
          <w:ilvl w:val="0"/>
          <w:numId w:val="5"/>
        </w:numPr>
        <w:pBdr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Časové rozlíšenie </w:t>
      </w:r>
    </w:p>
    <w:p>
      <w:pPr>
        <w:pStyle w:val="Normal1"/>
        <w:pBdr/>
        <w:ind w:left="284" w:hang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pBdr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Významné položky časového rozlíšenia 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>nákladov budúcich období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a 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>príjmov budúcich období.</w:t>
      </w:r>
    </w:p>
    <w:p>
      <w:pPr>
        <w:pStyle w:val="Normal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Na účte výnosy budúcich období je účtované rozpúšťanie dotácií v časovej súvislosti. </w:t>
      </w:r>
    </w:p>
    <w:p>
      <w:pPr>
        <w:pStyle w:val="Normal1"/>
        <w:pBdr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  <w:tab/>
        <w:tab/>
        <w:tab/>
        <w:t xml:space="preserve">                                                  </w:t>
        <w:tab/>
        <w:tab/>
        <w:tab/>
        <w:t xml:space="preserve">                                           </w:t>
      </w:r>
      <w:r>
        <w:rPr>
          <w:rFonts w:cs="Times New Roman" w:ascii="Times New Roman" w:hAnsi="Times New Roman"/>
          <w:sz w:val="24"/>
          <w:szCs w:val="24"/>
        </w:rPr>
        <w:t>v eur</w:t>
      </w:r>
    </w:p>
    <w:tbl>
      <w:tblPr>
        <w:tblW w:w="10146" w:type="dxa"/>
        <w:jc w:val="left"/>
        <w:tblInd w:w="-5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0" w:type="dxa"/>
          <w:bottom w:w="0" w:type="dxa"/>
          <w:right w:w="108" w:type="dxa"/>
        </w:tblCellMar>
        <w:tblLook w:val="0000"/>
      </w:tblPr>
      <w:tblGrid>
        <w:gridCol w:w="3330"/>
        <w:gridCol w:w="3403"/>
        <w:gridCol w:w="3413"/>
      </w:tblGrid>
      <w:tr>
        <w:trPr/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Názov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</w:tcPr>
          <w:p>
            <w:pPr>
              <w:pStyle w:val="Normal1"/>
              <w:pBdr/>
              <w:jc w:val="center"/>
              <w:rPr/>
            </w:pPr>
            <w:r>
              <w:rPr>
                <w:rFonts w:cs="Times New Roman" w:ascii="Times New Roman" w:hAnsi="Times New Roman"/>
                <w:b/>
              </w:rPr>
              <w:t>Stav k 31.12.201</w:t>
            </w:r>
            <w:r>
              <w:rPr>
                <w:rFonts w:cs="Times New Roman" w:ascii="Times New Roman" w:hAnsi="Times New Roman"/>
                <w:b/>
              </w:rPr>
              <w:t>8</w:t>
            </w:r>
          </w:p>
        </w:tc>
        <w:tc>
          <w:tcPr>
            <w:tcW w:w="3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</w:tcPr>
          <w:p>
            <w:pPr>
              <w:pStyle w:val="Normal1"/>
              <w:pBdr/>
              <w:jc w:val="center"/>
              <w:rPr/>
            </w:pPr>
            <w:r>
              <w:rPr>
                <w:rFonts w:cs="Times New Roman" w:ascii="Times New Roman" w:hAnsi="Times New Roman"/>
                <w:b/>
              </w:rPr>
              <w:t>Stav k 31.12. 201</w:t>
            </w:r>
            <w:r>
              <w:rPr>
                <w:rFonts w:cs="Times New Roman" w:ascii="Times New Roman" w:hAnsi="Times New Roman"/>
                <w:b/>
              </w:rPr>
              <w:t>9</w:t>
            </w:r>
          </w:p>
        </w:tc>
      </w:tr>
      <w:tr>
        <w:trPr>
          <w:trHeight w:val="1477" w:hRule="atLeast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</w:tcPr>
          <w:p>
            <w:pPr>
              <w:pStyle w:val="Normal1"/>
              <w:pBdr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Výnosy budúcich období </w:t>
            </w:r>
          </w:p>
          <w:p>
            <w:pPr>
              <w:pStyle w:val="Normal1"/>
              <w:pBdr/>
              <w:rPr/>
            </w:pPr>
            <w:r>
              <w:rPr>
                <w:rFonts w:cs="Times New Roman" w:ascii="Times New Roman" w:hAnsi="Times New Roman"/>
              </w:rPr>
              <w:t>V roku 201</w:t>
            </w:r>
            <w:r>
              <w:rPr>
                <w:rFonts w:cs="Times New Roman" w:ascii="Times New Roman" w:hAnsi="Times New Roman"/>
              </w:rPr>
              <w:t>9</w:t>
            </w:r>
            <w:r>
              <w:rPr>
                <w:rFonts w:cs="Times New Roman" w:ascii="Times New Roman" w:hAnsi="Times New Roman"/>
              </w:rPr>
              <w:t xml:space="preserve"> boli </w:t>
            </w:r>
            <w:r>
              <w:rPr>
                <w:rFonts w:cs="Times New Roman" w:ascii="Times New Roman" w:hAnsi="Times New Roman"/>
              </w:rPr>
              <w:t>zaradené</w:t>
            </w:r>
            <w:r>
              <w:rPr>
                <w:rFonts w:cs="Times New Roman" w:ascii="Times New Roman" w:hAnsi="Times New Roman"/>
              </w:rPr>
              <w:t xml:space="preserve"> dotácie:</w:t>
            </w:r>
          </w:p>
          <w:p>
            <w:pPr>
              <w:pStyle w:val="Normal1"/>
              <w:numPr>
                <w:ilvl w:val="0"/>
                <w:numId w:val="30"/>
              </w:numPr>
              <w:pBdr/>
              <w:rPr/>
            </w:pPr>
            <w:r>
              <w:rPr>
                <w:rFonts w:cs="Times New Roman" w:ascii="Times New Roman" w:hAnsi="Times New Roman"/>
              </w:rPr>
              <w:t> </w:t>
            </w:r>
            <w:r>
              <w:rPr>
                <w:rFonts w:cs="Times New Roman" w:ascii="Times New Roman" w:hAnsi="Times New Roman"/>
              </w:rPr>
              <w:t>rekonštrukcia komunikácie</w:t>
            </w:r>
          </w:p>
          <w:p>
            <w:pPr>
              <w:pStyle w:val="Normal1"/>
              <w:numPr>
                <w:ilvl w:val="0"/>
                <w:numId w:val="30"/>
              </w:numPr>
              <w:pBdr/>
              <w:rPr/>
            </w:pPr>
            <w:r>
              <w:rPr>
                <w:rFonts w:cs="Times New Roman" w:ascii="Times New Roman" w:hAnsi="Times New Roman"/>
              </w:rPr>
              <w:t> </w:t>
            </w:r>
            <w:r>
              <w:rPr>
                <w:rFonts w:cs="Times New Roman" w:ascii="Times New Roman" w:hAnsi="Times New Roman"/>
              </w:rPr>
              <w:t>baníci na konci sveta</w:t>
            </w:r>
          </w:p>
          <w:p>
            <w:pPr>
              <w:pStyle w:val="Normal1"/>
              <w:numPr>
                <w:ilvl w:val="0"/>
                <w:numId w:val="30"/>
              </w:numPr>
              <w:pBdr/>
              <w:rPr/>
            </w:pPr>
            <w:r>
              <w:rPr>
                <w:rFonts w:cs="Times New Roman" w:ascii="Times New Roman" w:hAnsi="Times New Roman"/>
              </w:rPr>
              <w:t>kanalizácia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</w:rPr>
              <w:t>1 370 230,03</w:t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</w:rPr>
            </w:pPr>
            <w:r>
              <w:rPr/>
            </w:r>
          </w:p>
        </w:tc>
        <w:tc>
          <w:tcPr>
            <w:tcW w:w="3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</w:rPr>
              <w:t>1 530 013,70</w:t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</w:rPr>
            </w:pPr>
            <w:r>
              <w:rPr/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</w:rPr>
              <w:t>100 000,00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</w:rPr>
              <w:t>8 400,00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</w:rPr>
              <w:t>65 000,00</w:t>
            </w:r>
          </w:p>
        </w:tc>
      </w:tr>
      <w:tr>
        <w:trPr>
          <w:trHeight w:val="360" w:hRule="atLeast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</w:tcPr>
          <w:p>
            <w:pPr>
              <w:pStyle w:val="Normal1"/>
              <w:pBdr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Náklady budúcich období</w:t>
            </w:r>
          </w:p>
          <w:p>
            <w:pPr>
              <w:pStyle w:val="Normal1"/>
              <w:numPr>
                <w:ilvl w:val="0"/>
                <w:numId w:val="29"/>
              </w:numPr>
              <w:pBdr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 </w:t>
            </w:r>
            <w:r>
              <w:rPr>
                <w:rFonts w:cs="Times New Roman" w:ascii="Times New Roman" w:hAnsi="Times New Roman"/>
              </w:rPr>
              <w:t>poistné</w:t>
            </w:r>
          </w:p>
          <w:p>
            <w:pPr>
              <w:pStyle w:val="Normal1"/>
              <w:numPr>
                <w:ilvl w:val="0"/>
                <w:numId w:val="29"/>
              </w:numPr>
              <w:pBdr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členské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</w:rPr>
              <w:t>1 027,77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</w:rPr>
              <w:t>868,45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</w:rPr>
              <w:t>159,32</w:t>
            </w:r>
          </w:p>
        </w:tc>
        <w:tc>
          <w:tcPr>
            <w:tcW w:w="3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</w:rPr>
              <w:t>318,15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</w:rPr>
              <w:t>250,88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</w:rPr>
              <w:t>67,27</w:t>
            </w:r>
          </w:p>
        </w:tc>
      </w:tr>
    </w:tbl>
    <w:p>
      <w:pPr>
        <w:pStyle w:val="Normal1"/>
        <w:pBdr/>
        <w:ind w:left="426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1"/>
        <w:pBdr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pBdr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pBdr/>
        <w:jc w:val="center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Čl. IV</w:t>
      </w:r>
    </w:p>
    <w:p>
      <w:pPr>
        <w:pStyle w:val="Normal1"/>
        <w:pBdr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pBdr/>
        <w:jc w:val="center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Informácie o údajoch na strane pasív súvahy</w:t>
      </w:r>
    </w:p>
    <w:p>
      <w:pPr>
        <w:pStyle w:val="Normal1"/>
        <w:pBdr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pBdr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A  Vlastné imanie </w:t>
      </w:r>
      <w:r>
        <w:rPr>
          <w:rFonts w:cs="Times New Roman" w:ascii="Times New Roman" w:hAnsi="Times New Roman"/>
          <w:color w:val="000000"/>
          <w:sz w:val="24"/>
          <w:szCs w:val="24"/>
        </w:rPr>
        <w:t>- tabuľka č.5</w:t>
      </w:r>
    </w:p>
    <w:p>
      <w:pPr>
        <w:pStyle w:val="Normal1"/>
        <w:pBdr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pBdr/>
        <w:ind w:left="42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Prehľad o pohybe vlastného imania v priebehu účtovného obdobia je uvedený v nasledujúcej tabuľke:</w:t>
      </w:r>
    </w:p>
    <w:p>
      <w:pPr>
        <w:pStyle w:val="Normal1"/>
        <w:pBdr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ab/>
        <w:tab/>
        <w:tab/>
        <w:tab/>
        <w:tab/>
        <w:tab/>
      </w:r>
    </w:p>
    <w:tbl>
      <w:tblPr>
        <w:tblStyle w:val="a9"/>
        <w:tblW w:w="8927" w:type="dxa"/>
        <w:jc w:val="left"/>
        <w:tblInd w:w="3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0" w:type="dxa"/>
          <w:bottom w:w="0" w:type="dxa"/>
          <w:right w:w="108" w:type="dxa"/>
        </w:tblCellMar>
        <w:tblLook w:val="0000"/>
      </w:tblPr>
      <w:tblGrid>
        <w:gridCol w:w="2620"/>
        <w:gridCol w:w="1844"/>
        <w:gridCol w:w="1276"/>
        <w:gridCol w:w="1134"/>
        <w:gridCol w:w="2053"/>
      </w:tblGrid>
      <w:tr>
        <w:trPr/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Názov položky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Stav k 1. 1. 2018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Zvýšenie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Zníženie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</w:tcPr>
          <w:p>
            <w:pPr>
              <w:pStyle w:val="Normal1"/>
              <w:pBdr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Stav k 31. 12. 201</w:t>
            </w: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9</w:t>
            </w:r>
          </w:p>
        </w:tc>
      </w:tr>
      <w:tr>
        <w:trPr/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</w:tcPr>
          <w:p>
            <w:pPr>
              <w:pStyle w:val="Normal1"/>
              <w:pBdr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Nevysporiadaný VH minulých rokov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  <w:p>
            <w:pPr>
              <w:pStyle w:val="Normal1"/>
              <w:pBdr/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1 313 453,47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  <w:p>
            <w:pPr>
              <w:pStyle w:val="Normal1"/>
              <w:pBdr/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13 841,93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1"/>
              <w:pBdr/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  <w:p>
            <w:pPr>
              <w:pStyle w:val="Normal1"/>
              <w:pBdr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1 327 294,40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>
        <w:trPr/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</w:tcPr>
          <w:p>
            <w:pPr>
              <w:pStyle w:val="Normal1"/>
              <w:pBdr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VH za účtovné obdobie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</w:tcPr>
          <w:p>
            <w:pPr>
              <w:pStyle w:val="Normal1"/>
              <w:pBdr/>
              <w:ind w:left="678" w:hanging="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-2 657,86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</w:tcPr>
          <w:p>
            <w:pPr>
              <w:pStyle w:val="Normal1"/>
              <w:pBdr/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34 588,70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</w:tcPr>
          <w:p>
            <w:pPr>
              <w:pStyle w:val="Normal1"/>
              <w:pBdr/>
              <w:ind w:left="678" w:hanging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31 930,84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</w:tr>
    </w:tbl>
    <w:p>
      <w:pPr>
        <w:pStyle w:val="Normal1"/>
        <w:pBdr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pBdr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pBdr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pBdr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1"/>
        <w:pBdr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B  Záväzky</w:t>
      </w:r>
    </w:p>
    <w:p>
      <w:pPr>
        <w:pStyle w:val="Normal1"/>
        <w:numPr>
          <w:ilvl w:val="0"/>
          <w:numId w:val="10"/>
        </w:numPr>
        <w:pBdr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Rezervy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- tabuľka č.6-7 </w:t>
      </w:r>
    </w:p>
    <w:p>
      <w:pPr>
        <w:pStyle w:val="Normal1"/>
        <w:pBdr/>
        <w:ind w:left="284" w:hang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pBdr/>
        <w:ind w:left="426" w:hanging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Predpokladaný rok použitia rezerv a opis významných položiek rezerv</w:t>
      </w:r>
    </w:p>
    <w:p>
      <w:pPr>
        <w:pStyle w:val="Normal1"/>
        <w:pBdr/>
        <w:ind w:left="426" w:hanging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Style w:val="ae"/>
        <w:tblW w:w="10206" w:type="dxa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499"/>
        <w:gridCol w:w="5706"/>
      </w:tblGrid>
      <w:tr>
        <w:trPr/>
        <w:tc>
          <w:tcPr>
            <w:tcW w:w="4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 xml:space="preserve">Názov položky            </w:t>
            </w:r>
          </w:p>
        </w:tc>
        <w:tc>
          <w:tcPr>
            <w:tcW w:w="5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 xml:space="preserve">Predpokladaný rok použitia </w:t>
            </w:r>
          </w:p>
        </w:tc>
      </w:tr>
      <w:tr>
        <w:trPr/>
        <w:tc>
          <w:tcPr>
            <w:tcW w:w="4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Rezerva na nevyfakturované inv.dodávky</w:t>
            </w:r>
          </w:p>
        </w:tc>
        <w:tc>
          <w:tcPr>
            <w:tcW w:w="5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0,00</w:t>
            </w:r>
          </w:p>
        </w:tc>
      </w:tr>
    </w:tbl>
    <w:p>
      <w:pPr>
        <w:pStyle w:val="Normal1"/>
        <w:pBdr/>
        <w:ind w:left="284" w:hang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numPr>
          <w:ilvl w:val="0"/>
          <w:numId w:val="10"/>
        </w:numPr>
        <w:pBdr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Záväzky podľa doby splatnosti </w:t>
      </w:r>
    </w:p>
    <w:p>
      <w:pPr>
        <w:pStyle w:val="Normal1"/>
        <w:numPr>
          <w:ilvl w:val="0"/>
          <w:numId w:val="12"/>
        </w:numPr>
        <w:pBdr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záväzky podľa 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>doby splatnosti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(riadky 140 a 151 súvahy) </w:t>
      </w:r>
    </w:p>
    <w:p>
      <w:pPr>
        <w:pStyle w:val="Normal1"/>
        <w:pBdr/>
        <w:ind w:left="284" w:hanging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- záväzky v lehote splatnosti /do 1 roka/</w:t>
        <w:tab/>
        <w:t xml:space="preserve"> -</w:t>
        <w:tab/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11 637,28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</w:rPr>
        <w:tab/>
        <w:t>EUR</w:t>
      </w:r>
    </w:p>
    <w:p>
      <w:pPr>
        <w:pStyle w:val="Normal1"/>
        <w:pBdr/>
        <w:ind w:left="284" w:hanging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- záväzky zo soc. fondu /od 1 do 5 rokov/</w:t>
        <w:tab/>
        <w:t xml:space="preserve"> -</w:t>
        <w:tab/>
        <w:t xml:space="preserve">     </w:t>
      </w:r>
      <w:r>
        <w:rPr>
          <w:rFonts w:cs="Times New Roman" w:ascii="Times New Roman" w:hAnsi="Times New Roman"/>
          <w:color w:val="000000"/>
          <w:sz w:val="24"/>
          <w:szCs w:val="24"/>
        </w:rPr>
        <w:t>185,11</w:t>
      </w:r>
      <w:r>
        <w:rPr>
          <w:rFonts w:cs="Times New Roman" w:ascii="Times New Roman" w:hAnsi="Times New Roman"/>
          <w:color w:val="000000"/>
          <w:sz w:val="24"/>
          <w:szCs w:val="24"/>
        </w:rPr>
        <w:tab/>
        <w:t>EUR</w:t>
      </w:r>
    </w:p>
    <w:p>
      <w:pPr>
        <w:pStyle w:val="Normal1"/>
        <w:pBdr/>
        <w:ind w:left="284" w:hang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</w:t>
      </w:r>
    </w:p>
    <w:p>
      <w:pPr>
        <w:pStyle w:val="Normal1"/>
        <w:numPr>
          <w:ilvl w:val="0"/>
          <w:numId w:val="12"/>
        </w:numPr>
        <w:pBdr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popis významných položiek záväzkov </w:t>
      </w:r>
    </w:p>
    <w:tbl>
      <w:tblPr>
        <w:tblStyle w:val="af"/>
        <w:tblW w:w="8291" w:type="dxa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322"/>
        <w:gridCol w:w="1984"/>
        <w:gridCol w:w="1985"/>
      </w:tblGrid>
      <w:tr>
        <w:trPr/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 xml:space="preserve">Záväzky         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/>
            </w:pPr>
            <w:r>
              <w:rPr>
                <w:rFonts w:cs="Times New Roman" w:ascii="Times New Roman" w:hAnsi="Times New Roman"/>
                <w:b/>
                <w:color w:val="000000"/>
              </w:rPr>
              <w:t>Zostatok k 31.12.</w:t>
            </w:r>
            <w:r>
              <w:rPr>
                <w:rFonts w:cs="Times New Roman" w:ascii="Times New Roman" w:hAnsi="Times New Roman"/>
                <w:b/>
              </w:rPr>
              <w:t>201</w:t>
            </w:r>
            <w:r>
              <w:rPr>
                <w:rFonts w:cs="Times New Roman" w:ascii="Times New Roman" w:hAnsi="Times New Roman"/>
                <w:b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/>
            </w:pPr>
            <w:r>
              <w:rPr>
                <w:rFonts w:cs="Times New Roman" w:ascii="Times New Roman" w:hAnsi="Times New Roman"/>
                <w:b/>
                <w:color w:val="000000"/>
              </w:rPr>
              <w:t>Zostatok k 31.12.</w:t>
            </w:r>
            <w:r>
              <w:rPr>
                <w:rFonts w:cs="Times New Roman" w:ascii="Times New Roman" w:hAnsi="Times New Roman"/>
                <w:b/>
              </w:rPr>
              <w:t>201</w:t>
            </w:r>
            <w:r>
              <w:rPr>
                <w:rFonts w:cs="Times New Roman" w:ascii="Times New Roman" w:hAnsi="Times New Roman"/>
                <w:b/>
              </w:rPr>
              <w:t>9</w:t>
            </w:r>
          </w:p>
        </w:tc>
      </w:tr>
      <w:tr>
        <w:trPr/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 xml:space="preserve">Dlhodobé záväzky z toho: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</w:r>
          </w:p>
        </w:tc>
      </w:tr>
      <w:tr>
        <w:trPr/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11"/>
              </w:numPr>
              <w:pBdr/>
              <w:ind w:left="318" w:hanging="14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záväzky zo sociálne ho fondu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228,26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185,11</w:t>
            </w:r>
          </w:p>
        </w:tc>
      </w:tr>
      <w:tr>
        <w:trPr/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 xml:space="preserve">Krátkodobé záväzky z toho: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</w:tr>
      <w:tr>
        <w:trPr/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11"/>
              </w:numPr>
              <w:pBdr/>
              <w:ind w:left="318" w:hanging="14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záväzky voči dodávateľom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1 407,06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964,01</w:t>
            </w:r>
          </w:p>
        </w:tc>
      </w:tr>
      <w:tr>
        <w:trPr/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11"/>
              </w:numPr>
              <w:pBdr/>
              <w:ind w:left="318" w:hanging="14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záväzky voči zamestnancom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5 186,54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5192,73</w:t>
            </w:r>
          </w:p>
        </w:tc>
      </w:tr>
      <w:tr>
        <w:trPr/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11"/>
              </w:numPr>
              <w:pBdr/>
              <w:ind w:left="318" w:hanging="14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záväzky voči poisťovniam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3 486,12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3 687,38</w:t>
            </w:r>
          </w:p>
        </w:tc>
      </w:tr>
      <w:tr>
        <w:trPr/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11"/>
              </w:numPr>
              <w:pBdr/>
              <w:ind w:left="318" w:hanging="14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záväzky voči daňovému úradu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658,44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775,89</w:t>
            </w:r>
          </w:p>
        </w:tc>
      </w:tr>
      <w:tr>
        <w:trPr/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11"/>
              </w:numPr>
              <w:pBdr/>
              <w:ind w:left="318" w:hanging="14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záväzky voči štátnemu rozpočtu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718,12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13 731,27</w:t>
            </w:r>
          </w:p>
        </w:tc>
      </w:tr>
      <w:tr>
        <w:trPr/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11"/>
              </w:numPr>
              <w:pBdr/>
              <w:ind w:left="318" w:hanging="14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ostatné záväzky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567,27</w:t>
            </w:r>
          </w:p>
        </w:tc>
      </w:tr>
    </w:tbl>
    <w:p>
      <w:pPr>
        <w:pStyle w:val="Normal1"/>
        <w:pBdr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1"/>
        <w:pBdr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Tvorba a čerpanie sociálneho fondu v priebehu účtovného obdobia sú znázornené v nasledujúcom prehľade:</w:t>
      </w:r>
    </w:p>
    <w:p>
      <w:pPr>
        <w:pStyle w:val="Normal1"/>
        <w:pBdr/>
        <w:ind w:left="426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ab/>
      </w:r>
    </w:p>
    <w:tbl>
      <w:tblPr>
        <w:tblW w:w="4748" w:type="dxa"/>
        <w:jc w:val="left"/>
        <w:tblInd w:w="-5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0" w:type="dxa"/>
          <w:bottom w:w="0" w:type="dxa"/>
          <w:right w:w="108" w:type="dxa"/>
        </w:tblCellMar>
        <w:tblLook w:val="0000"/>
      </w:tblPr>
      <w:tblGrid>
        <w:gridCol w:w="2763"/>
        <w:gridCol w:w="1984"/>
      </w:tblGrid>
      <w:tr>
        <w:trPr/>
        <w:tc>
          <w:tcPr>
            <w:tcW w:w="2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Názov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rok 2018</w:t>
            </w:r>
          </w:p>
        </w:tc>
      </w:tr>
      <w:tr>
        <w:trPr/>
        <w:tc>
          <w:tcPr>
            <w:tcW w:w="2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</w:tcPr>
          <w:p>
            <w:pPr>
              <w:pStyle w:val="Normal1"/>
              <w:pBdr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Stav k 1. januáru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b/>
              </w:rPr>
              <w:t>228,26</w:t>
            </w:r>
          </w:p>
        </w:tc>
      </w:tr>
      <w:tr>
        <w:trPr/>
        <w:tc>
          <w:tcPr>
            <w:tcW w:w="2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</w:tcPr>
          <w:p>
            <w:pPr>
              <w:pStyle w:val="Normal1"/>
              <w:pBdr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Tvorba na ťarchu nákladov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</w:rPr>
              <w:t>861,55</w:t>
            </w:r>
          </w:p>
        </w:tc>
      </w:tr>
      <w:tr>
        <w:trPr/>
        <w:tc>
          <w:tcPr>
            <w:tcW w:w="2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</w:tcPr>
          <w:p>
            <w:pPr>
              <w:pStyle w:val="Normal1"/>
              <w:pBdr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Tvorba z iných zdrojov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</w:tr>
      <w:tr>
        <w:trPr/>
        <w:tc>
          <w:tcPr>
            <w:tcW w:w="2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</w:tcPr>
          <w:p>
            <w:pPr>
              <w:pStyle w:val="Normal1"/>
              <w:pBdr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Čerpanie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</w:rPr>
              <w:t>904,70</w:t>
            </w:r>
          </w:p>
        </w:tc>
      </w:tr>
      <w:tr>
        <w:trPr/>
        <w:tc>
          <w:tcPr>
            <w:tcW w:w="2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Stav k 31. decembru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b/>
              </w:rPr>
              <w:t>185,11</w:t>
            </w:r>
          </w:p>
        </w:tc>
      </w:tr>
    </w:tbl>
    <w:p>
      <w:pPr>
        <w:pStyle w:val="Normal1"/>
        <w:pBdr/>
        <w:ind w:left="426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1"/>
        <w:pBdr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1"/>
        <w:pBdr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Časť sociálneho fondu sa podľa zákona o sociálnom fonde tvorí povinne na ťarchu nákladov a časť sa môže vytvárať z ďalších zdrojov. Sociálny fond sa podľa zákona o sociálnom fonde čerpá na sociálne, zdravotné, rekreačné a iné potreby zamestnancov. Obec tvorí SF vo výške 1,05 % z HM.</w:t>
      </w:r>
    </w:p>
    <w:p>
      <w:pPr>
        <w:pStyle w:val="Normal1"/>
        <w:pBdr/>
        <w:spacing w:lineRule="auto" w:line="276" w:before="0" w:after="200"/>
        <w:ind w:left="284" w:hang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numPr>
          <w:ilvl w:val="0"/>
          <w:numId w:val="10"/>
        </w:numPr>
        <w:pBdr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Bankové úvery a ostatné prijaté návratné finančné výpomoci </w:t>
      </w:r>
    </w:p>
    <w:p>
      <w:pPr>
        <w:pStyle w:val="Normal1"/>
        <w:numPr>
          <w:ilvl w:val="0"/>
          <w:numId w:val="17"/>
        </w:numPr>
        <w:pBdr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dlhodobé bankové úvery a krátkodobé bankové úvery - tabuľka č.9</w:t>
      </w:r>
    </w:p>
    <w:p>
      <w:pPr>
        <w:pStyle w:val="Normal1"/>
        <w:pBdr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Style w:val="af0"/>
        <w:tblW w:w="9568" w:type="dxa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904"/>
        <w:gridCol w:w="1985"/>
        <w:gridCol w:w="2268"/>
        <w:gridCol w:w="2410"/>
      </w:tblGrid>
      <w:tr>
        <w:trPr/>
        <w:tc>
          <w:tcPr>
            <w:tcW w:w="2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 xml:space="preserve">Druh bankového úveru </w:t>
            </w:r>
          </w:p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 xml:space="preserve">podľa splatnosti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 xml:space="preserve">Popis zabezpečenia </w:t>
            </w:r>
          </w:p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b/>
                <w:b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 xml:space="preserve">Suma </w:t>
            </w:r>
          </w:p>
          <w:p>
            <w:pPr>
              <w:pStyle w:val="Normal1"/>
              <w:pBdr/>
              <w:jc w:val="center"/>
              <w:rPr/>
            </w:pPr>
            <w:r>
              <w:rPr>
                <w:rFonts w:cs="Times New Roman" w:ascii="Times New Roman" w:hAnsi="Times New Roman"/>
                <w:b/>
                <w:color w:val="000000"/>
              </w:rPr>
              <w:t>k 31.12.201</w:t>
            </w:r>
            <w:r>
              <w:rPr>
                <w:rFonts w:cs="Times New Roman" w:ascii="Times New Roman" w:hAnsi="Times New Roman"/>
                <w:b/>
                <w:color w:val="000000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b/>
                <w:b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 xml:space="preserve">Suma </w:t>
            </w:r>
          </w:p>
          <w:p>
            <w:pPr>
              <w:pStyle w:val="Normal1"/>
              <w:pBdr/>
              <w:jc w:val="center"/>
              <w:rPr/>
            </w:pPr>
            <w:r>
              <w:rPr>
                <w:rFonts w:cs="Times New Roman" w:ascii="Times New Roman" w:hAnsi="Times New Roman"/>
                <w:b/>
                <w:color w:val="000000"/>
              </w:rPr>
              <w:t>k 31.12.201</w:t>
            </w:r>
            <w:r>
              <w:rPr>
                <w:rFonts w:cs="Times New Roman" w:ascii="Times New Roman" w:hAnsi="Times New Roman"/>
                <w:b/>
                <w:color w:val="000000"/>
              </w:rPr>
              <w:t>9</w:t>
            </w:r>
          </w:p>
        </w:tc>
      </w:tr>
      <w:tr>
        <w:trPr/>
        <w:tc>
          <w:tcPr>
            <w:tcW w:w="2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Dlhodobý investičný úver</w:t>
            </w:r>
          </w:p>
          <w:p>
            <w:pPr>
              <w:pStyle w:val="Normal1"/>
              <w:numPr>
                <w:ilvl w:val="0"/>
                <w:numId w:val="31"/>
              </w:numPr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navýšenie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blankozmenka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99 440,10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39 488,06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100 000,00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559,90</w:t>
            </w:r>
          </w:p>
        </w:tc>
      </w:tr>
      <w:tr>
        <w:trPr/>
        <w:tc>
          <w:tcPr>
            <w:tcW w:w="2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Krátkodobý úver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prefinancovanie NFP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65 000,00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0,00</w:t>
            </w:r>
          </w:p>
        </w:tc>
      </w:tr>
    </w:tbl>
    <w:p>
      <w:pPr>
        <w:pStyle w:val="Normal1"/>
        <w:pBdr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pBdr/>
        <w:spacing w:lineRule="auto" w:line="276" w:before="0" w:after="200"/>
        <w:ind w:left="284" w:hang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pBdr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pBdr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Čl. V</w:t>
      </w:r>
    </w:p>
    <w:p>
      <w:pPr>
        <w:pStyle w:val="Normal1"/>
        <w:pBdr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Informácie o výnosoch a nákladoch </w:t>
      </w:r>
    </w:p>
    <w:p>
      <w:pPr>
        <w:pStyle w:val="Normal1"/>
        <w:pBdr/>
        <w:ind w:left="360" w:hanging="0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1"/>
        <w:numPr>
          <w:ilvl w:val="0"/>
          <w:numId w:val="20"/>
        </w:numPr>
        <w:pBdr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Výnosy - popis a výška významných položiek výnosov</w:t>
      </w:r>
    </w:p>
    <w:tbl>
      <w:tblPr>
        <w:tblStyle w:val="af2"/>
        <w:tblW w:w="9709" w:type="dxa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739"/>
        <w:gridCol w:w="1985"/>
        <w:gridCol w:w="1985"/>
      </w:tblGrid>
      <w:tr>
        <w:trPr/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>Suma k 31.12.2018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>Suma k 31.12.</w:t>
            </w:r>
            <w:r>
              <w:rPr>
                <w:rFonts w:cs="Times New Roman" w:ascii="Times New Roman" w:hAnsi="Times New Roman"/>
                <w:b/>
              </w:rPr>
              <w:t>2017</w:t>
            </w:r>
          </w:p>
        </w:tc>
      </w:tr>
      <w:tr>
        <w:trPr/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19"/>
              </w:numPr>
              <w:pBdr/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 xml:space="preserve"> </w:t>
            </w:r>
            <w:r>
              <w:rPr>
                <w:rFonts w:cs="Times New Roman" w:ascii="Times New Roman" w:hAnsi="Times New Roman"/>
                <w:b/>
                <w:color w:val="000000"/>
              </w:rPr>
              <w:t xml:space="preserve">tržby za vlastné výkony  a tovar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</w:tr>
      <w:tr>
        <w:trPr/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601,602 - Tržby z predaja výrobkov a služieb</w:t>
            </w:r>
          </w:p>
          <w:p>
            <w:pPr>
              <w:pStyle w:val="Normal1"/>
              <w:numPr>
                <w:ilvl w:val="0"/>
                <w:numId w:val="31"/>
              </w:numPr>
              <w:pBdr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</w:rPr>
              <w:t>voda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arial" w:hAnsi="arial"/>
                <w:b w:val="false"/>
                <w:i w:val="false"/>
                <w:caps w:val="false"/>
                <w:smallCaps w:val="false"/>
                <w:color w:val="555555"/>
                <w:spacing w:val="0"/>
                <w:sz w:val="17"/>
              </w:rPr>
              <w:t>14 684,19</w:t>
            </w:r>
            <w:r>
              <w:rPr>
                <w:rFonts w:cs="Times New Roman" w:ascii="Times New Roman" w:hAnsi="Times New Roman"/>
                <w:color w:val="000000"/>
              </w:rPr>
              <w:t xml:space="preserve"> 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arial" w:hAnsi="arial"/>
                <w:b w:val="false"/>
                <w:i w:val="false"/>
                <w:caps w:val="false"/>
                <w:smallCaps w:val="false"/>
                <w:color w:val="555555"/>
                <w:spacing w:val="0"/>
                <w:sz w:val="17"/>
              </w:rPr>
              <w:t>14 476,79</w:t>
            </w:r>
            <w:r>
              <w:rPr>
                <w:rFonts w:cs="Times New Roman" w:ascii="Times New Roman" w:hAnsi="Times New Roman"/>
                <w:color w:val="00000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/>
            </w:r>
          </w:p>
        </w:tc>
      </w:tr>
      <w:tr>
        <w:trPr/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19"/>
              </w:numPr>
              <w:pBdr/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 xml:space="preserve"> </w:t>
            </w:r>
            <w:r>
              <w:rPr>
                <w:rFonts w:cs="Times New Roman" w:ascii="Times New Roman" w:hAnsi="Times New Roman"/>
                <w:b/>
                <w:color w:val="000000"/>
              </w:rPr>
              <w:t>daňové a colné výnosy a výnosy z poplatkov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</w:tr>
      <w:tr>
        <w:trPr/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632 - Daňové výnosy samosprávy</w:t>
            </w:r>
          </w:p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-podielové dane</w:t>
            </w:r>
          </w:p>
          <w:p>
            <w:pPr>
              <w:pStyle w:val="Normal1"/>
              <w:pBdr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</w:rPr>
              <w:t>-DzN+pes</w:t>
            </w:r>
          </w:p>
          <w:p>
            <w:pPr>
              <w:pStyle w:val="Normal1"/>
              <w:pBdr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</w:rPr>
              <w:t>-</w:t>
            </w:r>
            <w:r>
              <w:rPr>
                <w:rFonts w:cs="Times New Roman" w:ascii="Times New Roman" w:hAnsi="Times New Roman"/>
                <w:color w:val="000000"/>
              </w:rPr>
              <w:t>daň z ubytovania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arial" w:hAnsi="arial"/>
                <w:b w:val="false"/>
                <w:i w:val="false"/>
                <w:caps w:val="false"/>
                <w:smallCaps w:val="false"/>
                <w:color w:val="555555"/>
                <w:spacing w:val="0"/>
                <w:sz w:val="17"/>
              </w:rPr>
              <w:t>330 874,45</w:t>
            </w:r>
            <w:r>
              <w:rPr>
                <w:rFonts w:cs="Times New Roman" w:ascii="Times New Roman" w:hAnsi="Times New Roman"/>
                <w:color w:val="000000"/>
              </w:rPr>
              <w:t xml:space="preserve"> </w:t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319 802,67</w:t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11 071,78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362 41204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346 484,10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11 091,34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4 836,60</w:t>
            </w:r>
          </w:p>
        </w:tc>
      </w:tr>
      <w:tr>
        <w:trPr/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633 - Výnosy z poplatkov </w:t>
            </w:r>
          </w:p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-TKO</w:t>
            </w:r>
          </w:p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-správne poplatky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7 895,09</w:t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6 100,59</w:t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1 794,50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8 740,49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6 736,34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12 004,15</w:t>
            </w:r>
          </w:p>
        </w:tc>
      </w:tr>
      <w:tr>
        <w:trPr/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19"/>
              </w:numPr>
              <w:pBdr/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 xml:space="preserve"> </w:t>
            </w:r>
            <w:r>
              <w:rPr>
                <w:rFonts w:cs="Times New Roman" w:ascii="Times New Roman" w:hAnsi="Times New Roman"/>
                <w:b/>
                <w:color w:val="000000"/>
              </w:rPr>
              <w:t>finančné výnosy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</w:tr>
      <w:tr>
        <w:trPr/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662 - Úroky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0,00</w:t>
            </w:r>
          </w:p>
        </w:tc>
      </w:tr>
      <w:tr>
        <w:trPr/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668 - Ostatné finančné výnosy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0,00</w:t>
            </w:r>
          </w:p>
        </w:tc>
      </w:tr>
      <w:tr>
        <w:trPr/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19"/>
              </w:numPr>
              <w:pBdr/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>mimoriadne výnosy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</w:tr>
      <w:tr>
        <w:trPr/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672 - Náhrady škôd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0,00</w:t>
            </w:r>
          </w:p>
        </w:tc>
      </w:tr>
      <w:tr>
        <w:trPr/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19"/>
              </w:numPr>
              <w:pBdr/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 xml:space="preserve"> </w:t>
            </w:r>
            <w:r>
              <w:rPr>
                <w:rFonts w:cs="Times New Roman" w:ascii="Times New Roman" w:hAnsi="Times New Roman"/>
                <w:b/>
                <w:color w:val="000000"/>
              </w:rPr>
              <w:t xml:space="preserve">výnosy z transferov a rozpočtových príjmov v obciach, VÚC   a v RO a PO zriadených obcou alebo VÚC                    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</w:tr>
      <w:tr>
        <w:trPr/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693 - Výnosy samosprávy z bežných transferov zo ŠR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36 002,85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39 029,09</w:t>
            </w:r>
          </w:p>
        </w:tc>
      </w:tr>
      <w:tr>
        <w:trPr/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694 - Výnosy samosprávy z kapitálových transferov zo ŠR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10 093,00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55 072,48</w:t>
            </w:r>
          </w:p>
        </w:tc>
      </w:tr>
      <w:tr>
        <w:trPr/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695 - Výnosy samosprávy z bežných transferov od EÚ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0,00</w:t>
            </w:r>
          </w:p>
        </w:tc>
      </w:tr>
      <w:tr>
        <w:trPr/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696 - Výnosy samosprávy z kapitálových transferov od EÚ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0,00</w:t>
            </w:r>
          </w:p>
        </w:tc>
      </w:tr>
      <w:tr>
        <w:trPr/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697 - Výnosy samosprávy z BT od  subjektov mimo verejnej správy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750,00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700,00</w:t>
            </w:r>
          </w:p>
        </w:tc>
      </w:tr>
      <w:tr>
        <w:trPr/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698 - Výnosy samosprávy z KT od  subjektov mimo verejnej správy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3 000,00</w:t>
            </w:r>
          </w:p>
        </w:tc>
      </w:tr>
      <w:tr>
        <w:trPr/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699 - Výnosy samosprávy  z odvodu rozpočtových príjmov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14 219,93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32 481,64</w:t>
            </w:r>
          </w:p>
        </w:tc>
      </w:tr>
      <w:tr>
        <w:trPr/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19"/>
              </w:numPr>
              <w:pBdr/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 xml:space="preserve"> </w:t>
            </w:r>
            <w:r>
              <w:rPr>
                <w:rFonts w:cs="Times New Roman" w:ascii="Times New Roman" w:hAnsi="Times New Roman"/>
                <w:b/>
                <w:color w:val="000000"/>
              </w:rPr>
              <w:t>ostatné výnosy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</w:tr>
      <w:tr>
        <w:trPr/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641 – Predaj majetku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544,00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0,00</w:t>
            </w:r>
          </w:p>
        </w:tc>
      </w:tr>
      <w:tr>
        <w:trPr/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644 - Zmluvné pokuty, penále a úroky z omeškania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0,00</w:t>
            </w:r>
          </w:p>
        </w:tc>
      </w:tr>
      <w:tr>
        <w:trPr/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645 - Ostatné pokuty, penále a úroky z omeškania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0,00</w:t>
            </w:r>
          </w:p>
        </w:tc>
      </w:tr>
      <w:tr>
        <w:trPr/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648 - Ostatné výnos</w:t>
            </w:r>
          </w:p>
          <w:p>
            <w:pPr>
              <w:pStyle w:val="Normal1"/>
              <w:numPr>
                <w:ilvl w:val="0"/>
                <w:numId w:val="31"/>
              </w:numPr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vývoz popolčeka</w:t>
            </w:r>
          </w:p>
          <w:p>
            <w:pPr>
              <w:pStyle w:val="Normal1"/>
              <w:numPr>
                <w:ilvl w:val="0"/>
                <w:numId w:val="31"/>
              </w:numPr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nájom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9 277,65</w:t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2 666,49</w:t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4 168,72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8 994,49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2 486,38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6 245,61</w:t>
            </w:r>
          </w:p>
        </w:tc>
      </w:tr>
    </w:tbl>
    <w:p>
      <w:pPr>
        <w:pStyle w:val="Normal1"/>
        <w:pBdr/>
        <w:ind w:left="284" w:hang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pBdr/>
        <w:ind w:hang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numPr>
          <w:ilvl w:val="0"/>
          <w:numId w:val="20"/>
        </w:numPr>
        <w:pBdr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Náklady - popis a výška významných položiek nákladov</w:t>
      </w:r>
    </w:p>
    <w:tbl>
      <w:tblPr>
        <w:tblStyle w:val="af3"/>
        <w:tblW w:w="9709" w:type="dxa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739"/>
        <w:gridCol w:w="1985"/>
        <w:gridCol w:w="1985"/>
      </w:tblGrid>
      <w:tr>
        <w:trPr>
          <w:trHeight w:val="160" w:hRule="atLeast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/>
            </w:pPr>
            <w:r>
              <w:rPr>
                <w:rFonts w:cs="Times New Roman" w:ascii="Times New Roman" w:hAnsi="Times New Roman"/>
                <w:b/>
                <w:color w:val="000000"/>
              </w:rPr>
              <w:t>Suma k 31.12.201</w:t>
            </w:r>
            <w:r>
              <w:rPr>
                <w:rFonts w:cs="Times New Roman" w:ascii="Times New Roman" w:hAnsi="Times New Roman"/>
                <w:b/>
                <w:color w:val="000000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/>
            </w:pPr>
            <w:r>
              <w:rPr>
                <w:rFonts w:cs="Times New Roman" w:ascii="Times New Roman" w:hAnsi="Times New Roman"/>
                <w:b/>
                <w:color w:val="000000"/>
              </w:rPr>
              <w:t>Suma k 31.12.</w:t>
            </w:r>
            <w:r>
              <w:rPr>
                <w:rFonts w:cs="Times New Roman" w:ascii="Times New Roman" w:hAnsi="Times New Roman"/>
                <w:b/>
              </w:rPr>
              <w:t>201</w:t>
            </w:r>
            <w:r>
              <w:rPr>
                <w:rFonts w:cs="Times New Roman" w:ascii="Times New Roman" w:hAnsi="Times New Roman"/>
                <w:b/>
              </w:rPr>
              <w:t>9</w:t>
            </w:r>
          </w:p>
        </w:tc>
      </w:tr>
      <w:tr>
        <w:trPr>
          <w:trHeight w:val="160" w:hRule="atLeast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21"/>
              </w:numPr>
              <w:pBdr/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 xml:space="preserve"> </w:t>
            </w:r>
            <w:r>
              <w:rPr>
                <w:rFonts w:cs="Times New Roman" w:ascii="Times New Roman" w:hAnsi="Times New Roman"/>
                <w:b/>
                <w:color w:val="000000"/>
              </w:rPr>
              <w:t>spotrebované nákupy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</w:tr>
      <w:tr>
        <w:trPr>
          <w:trHeight w:val="160" w:hRule="atLeast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501 – Spotreba materiálu</w:t>
            </w:r>
          </w:p>
          <w:p>
            <w:pPr>
              <w:pStyle w:val="Normal1"/>
              <w:numPr>
                <w:ilvl w:val="0"/>
                <w:numId w:val="32"/>
              </w:numPr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phm</w:t>
            </w:r>
          </w:p>
          <w:p>
            <w:pPr>
              <w:pStyle w:val="Normal1"/>
              <w:numPr>
                <w:ilvl w:val="0"/>
                <w:numId w:val="32"/>
              </w:numPr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zbierky, časopisy</w:t>
            </w:r>
          </w:p>
          <w:p>
            <w:pPr>
              <w:pStyle w:val="Normal1"/>
              <w:numPr>
                <w:ilvl w:val="0"/>
                <w:numId w:val="32"/>
              </w:numPr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kancelárske potreby</w:t>
            </w:r>
          </w:p>
          <w:p>
            <w:pPr>
              <w:pStyle w:val="Normal1"/>
              <w:numPr>
                <w:ilvl w:val="0"/>
                <w:numId w:val="32"/>
              </w:numPr>
              <w:pBdr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</w:rPr>
              <w:t>ZŠ+MŠ</w:t>
            </w:r>
          </w:p>
          <w:p>
            <w:pPr>
              <w:pStyle w:val="Normal1"/>
              <w:numPr>
                <w:ilvl w:val="0"/>
                <w:numId w:val="32"/>
              </w:numPr>
              <w:pBdr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</w:rPr>
              <w:t>PO</w:t>
            </w:r>
          </w:p>
          <w:p>
            <w:pPr>
              <w:pStyle w:val="Normal1"/>
              <w:numPr>
                <w:ilvl w:val="0"/>
                <w:numId w:val="32"/>
              </w:numPr>
              <w:pBdr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</w:rPr>
              <w:t>stavebný materiál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18 909,03</w:t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4 740,36</w:t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1 449,47</w:t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2 910,83</w:t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2 195,60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24 052,36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5 731,82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1 227,14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2 87,80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1 083,85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2 027,92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3 438,84</w:t>
            </w:r>
          </w:p>
        </w:tc>
      </w:tr>
      <w:tr>
        <w:trPr>
          <w:trHeight w:val="160" w:hRule="atLeast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</w:rPr>
              <w:t>502 - Spotreba energie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13 390,90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16 030,60</w:t>
            </w:r>
          </w:p>
        </w:tc>
      </w:tr>
      <w:tr>
        <w:trPr>
          <w:trHeight w:val="160" w:hRule="atLeast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21"/>
              </w:numPr>
              <w:pBdr/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 xml:space="preserve"> </w:t>
            </w:r>
            <w:r>
              <w:rPr>
                <w:rFonts w:cs="Times New Roman" w:ascii="Times New Roman" w:hAnsi="Times New Roman"/>
                <w:b/>
                <w:color w:val="000000"/>
              </w:rPr>
              <w:t>služby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</w:tr>
      <w:tr>
        <w:trPr>
          <w:trHeight w:val="160" w:hRule="atLeast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</w:rPr>
              <w:t>511 - Opravy a udržiavanie</w:t>
            </w:r>
          </w:p>
          <w:p>
            <w:pPr>
              <w:pStyle w:val="Normal1"/>
              <w:numPr>
                <w:ilvl w:val="0"/>
                <w:numId w:val="16"/>
              </w:numPr>
              <w:pBdr/>
              <w:spacing w:lineRule="auto" w:line="240" w:before="0"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oprava budov</w:t>
            </w:r>
          </w:p>
          <w:p>
            <w:pPr>
              <w:pStyle w:val="Normal1"/>
              <w:numPr>
                <w:ilvl w:val="0"/>
                <w:numId w:val="16"/>
              </w:numPr>
              <w:pBdr/>
              <w:spacing w:lineRule="auto" w:line="240" w:before="0"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dopravných prostriedkov</w:t>
            </w:r>
          </w:p>
          <w:p>
            <w:pPr>
              <w:pStyle w:val="Normal1"/>
              <w:numPr>
                <w:ilvl w:val="0"/>
                <w:numId w:val="16"/>
              </w:numPr>
              <w:pBdr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</w:rPr>
              <w:t>komunikácií</w:t>
            </w:r>
          </w:p>
          <w:p>
            <w:pPr>
              <w:pStyle w:val="Normal1"/>
              <w:numPr>
                <w:ilvl w:val="0"/>
                <w:numId w:val="16"/>
              </w:numPr>
              <w:pBdr/>
              <w:spacing w:lineRule="auto" w:line="240" w:before="0"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stroje,prístroje</w:t>
            </w:r>
          </w:p>
          <w:p>
            <w:pPr>
              <w:pStyle w:val="Normal1"/>
              <w:numPr>
                <w:ilvl w:val="0"/>
                <w:numId w:val="16"/>
              </w:numPr>
              <w:pBdr/>
              <w:spacing w:lineRule="auto" w:line="240" w:before="0"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ihrisko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24 395,91</w:t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/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2 175,00</w:t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5 679,63</w:t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6 662,01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3 661,09</w:t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395,12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26 232,50</w:t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/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8 99872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3 916,80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9 967,40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2 363,61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985,97</w:t>
            </w:r>
          </w:p>
        </w:tc>
      </w:tr>
      <w:tr>
        <w:trPr>
          <w:trHeight w:val="160" w:hRule="atLeast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512 - Cestovné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340,27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285,64</w:t>
            </w:r>
          </w:p>
        </w:tc>
      </w:tr>
      <w:tr>
        <w:trPr>
          <w:trHeight w:val="160" w:hRule="atLeast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</w:rPr>
              <w:t xml:space="preserve">513 - Náklady na reprezentáciu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1 671,18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3 450,53</w:t>
            </w:r>
          </w:p>
        </w:tc>
      </w:tr>
      <w:tr>
        <w:trPr>
          <w:trHeight w:val="160" w:hRule="atLeast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518 - Ostatné služby</w:t>
            </w:r>
          </w:p>
          <w:p>
            <w:pPr>
              <w:pStyle w:val="Normal1"/>
              <w:numPr>
                <w:ilvl w:val="0"/>
                <w:numId w:val="33"/>
              </w:numPr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TKO</w:t>
            </w:r>
          </w:p>
          <w:p>
            <w:pPr>
              <w:pStyle w:val="Normal1"/>
              <w:numPr>
                <w:ilvl w:val="0"/>
                <w:numId w:val="33"/>
              </w:numPr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telefón</w:t>
            </w:r>
          </w:p>
          <w:p>
            <w:pPr>
              <w:pStyle w:val="Normal1"/>
              <w:numPr>
                <w:ilvl w:val="0"/>
                <w:numId w:val="33"/>
              </w:numPr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účtovníctvo</w:t>
            </w:r>
          </w:p>
          <w:p>
            <w:pPr>
              <w:pStyle w:val="Normal1"/>
              <w:numPr>
                <w:ilvl w:val="0"/>
                <w:numId w:val="33"/>
              </w:numPr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audit</w:t>
            </w:r>
          </w:p>
          <w:p>
            <w:pPr>
              <w:pStyle w:val="Normal1"/>
              <w:numPr>
                <w:ilvl w:val="0"/>
                <w:numId w:val="33"/>
              </w:numPr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verejné obstáravanie</w:t>
            </w:r>
          </w:p>
          <w:p>
            <w:pPr>
              <w:pStyle w:val="Normal1"/>
              <w:numPr>
                <w:ilvl w:val="0"/>
                <w:numId w:val="33"/>
              </w:numPr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kultúrne služby</w:t>
            </w:r>
          </w:p>
          <w:p>
            <w:pPr>
              <w:pStyle w:val="Normal1"/>
              <w:numPr>
                <w:ilvl w:val="0"/>
                <w:numId w:val="33"/>
              </w:numPr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príspevok na stravu dôchodcom</w:t>
            </w:r>
          </w:p>
          <w:p>
            <w:pPr>
              <w:pStyle w:val="Normal1"/>
              <w:numPr>
                <w:ilvl w:val="0"/>
                <w:numId w:val="33"/>
              </w:numPr>
              <w:pBdr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</w:rPr>
              <w:t>poštovné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51 036,95</w:t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12 329,08</w:t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2 170,78</w:t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5 400,00</w:t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1000,00</w:t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3 680,00</w:t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9 009,77</w:t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1 686,00</w:t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44 803,88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12 059,73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2 390,60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5 400,00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750,00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3 210,00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6 251,86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3 051,39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1 160,59</w:t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21"/>
              </w:numPr>
              <w:pBdr/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 xml:space="preserve"> </w:t>
            </w:r>
            <w:r>
              <w:rPr>
                <w:rFonts w:cs="Times New Roman" w:ascii="Times New Roman" w:hAnsi="Times New Roman"/>
                <w:b/>
                <w:color w:val="000000"/>
              </w:rPr>
              <w:t>osobné náklady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</w:tr>
      <w:tr>
        <w:trPr>
          <w:trHeight w:val="160" w:hRule="atLeast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521 - Mzdové náklady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84 095,04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100 108,11</w:t>
            </w:r>
          </w:p>
        </w:tc>
      </w:tr>
      <w:tr>
        <w:trPr>
          <w:trHeight w:val="160" w:hRule="atLeast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524 - Zákonné sociálne náklady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28 143,07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34 548,49</w:t>
            </w:r>
          </w:p>
        </w:tc>
      </w:tr>
      <w:tr>
        <w:trPr>
          <w:trHeight w:val="160" w:hRule="atLeast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527 - Zákonné sociálne náklady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4 518,49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5 174,18</w:t>
            </w:r>
          </w:p>
        </w:tc>
      </w:tr>
      <w:tr>
        <w:trPr>
          <w:trHeight w:val="160" w:hRule="atLeast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21"/>
              </w:numPr>
              <w:pBdr/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 xml:space="preserve"> </w:t>
            </w:r>
            <w:r>
              <w:rPr>
                <w:rFonts w:cs="Times New Roman" w:ascii="Times New Roman" w:hAnsi="Times New Roman"/>
                <w:b/>
                <w:color w:val="000000"/>
              </w:rPr>
              <w:t>dane a poplatky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</w:tr>
      <w:tr>
        <w:trPr>
          <w:trHeight w:val="160" w:hRule="atLeast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538 - Ostatné dane a poplatky</w:t>
            </w:r>
          </w:p>
          <w:p>
            <w:pPr>
              <w:pStyle w:val="Normal1"/>
              <w:numPr>
                <w:ilvl w:val="0"/>
                <w:numId w:val="34"/>
              </w:numPr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poplatky TKO</w:t>
            </w:r>
          </w:p>
          <w:p>
            <w:pPr>
              <w:pStyle w:val="Normal1"/>
              <w:numPr>
                <w:ilvl w:val="0"/>
                <w:numId w:val="34"/>
              </w:numPr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Vodohospodársky podnik</w:t>
            </w:r>
          </w:p>
          <w:p>
            <w:pPr>
              <w:pStyle w:val="Normal1"/>
              <w:numPr>
                <w:ilvl w:val="0"/>
                <w:numId w:val="34"/>
              </w:numPr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RTVS</w:t>
            </w:r>
          </w:p>
          <w:p>
            <w:pPr>
              <w:pStyle w:val="Normal1"/>
              <w:numPr>
                <w:ilvl w:val="0"/>
                <w:numId w:val="34"/>
              </w:numPr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kolky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1 817,28</w:t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323,20</w:t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1 352,30</w:t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56,88</w:t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84,90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1 021,09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719,03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1 352,30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224,16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27,90</w:t>
            </w:r>
          </w:p>
        </w:tc>
      </w:tr>
      <w:tr>
        <w:trPr>
          <w:trHeight w:val="160" w:hRule="atLeast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21"/>
              </w:numPr>
              <w:pBdr/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 xml:space="preserve"> </w:t>
            </w:r>
            <w:r>
              <w:rPr>
                <w:rFonts w:cs="Times New Roman" w:ascii="Times New Roman" w:hAnsi="Times New Roman"/>
                <w:b/>
                <w:color w:val="000000"/>
              </w:rPr>
              <w:t xml:space="preserve">odpisy, rezervy a opravné položky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</w:tr>
      <w:tr>
        <w:trPr>
          <w:trHeight w:val="273" w:hRule="atLeast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</w:rPr>
              <w:t>551 - Odpisy  DNM a DHM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66 434,44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80 884,00</w:t>
            </w:r>
          </w:p>
        </w:tc>
      </w:tr>
      <w:tr>
        <w:trPr>
          <w:trHeight w:val="240" w:hRule="atLeast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21"/>
              </w:numPr>
              <w:pBdr/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>finančné náklady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</w:tr>
      <w:tr>
        <w:trPr>
          <w:trHeight w:val="240" w:hRule="atLeast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562 – Úroky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1 603,82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3 306,84</w:t>
            </w:r>
          </w:p>
        </w:tc>
      </w:tr>
      <w:tr>
        <w:trPr>
          <w:trHeight w:val="313" w:hRule="atLeast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568 - Ostatné finančné náklady</w:t>
            </w:r>
          </w:p>
          <w:p>
            <w:pPr>
              <w:pStyle w:val="Normal1"/>
              <w:numPr>
                <w:ilvl w:val="0"/>
                <w:numId w:val="35"/>
              </w:numPr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poistenie DP</w:t>
            </w:r>
          </w:p>
          <w:p>
            <w:pPr>
              <w:pStyle w:val="Normal1"/>
              <w:numPr>
                <w:ilvl w:val="0"/>
                <w:numId w:val="35"/>
              </w:numPr>
              <w:pBdr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</w:rPr>
              <w:t>poistenie zamestnancov</w:t>
            </w:r>
          </w:p>
          <w:p>
            <w:pPr>
              <w:pStyle w:val="Normal1"/>
              <w:numPr>
                <w:ilvl w:val="0"/>
                <w:numId w:val="35"/>
              </w:numPr>
              <w:pBdr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</w:rPr>
              <w:t>poistenie budov</w:t>
            </w:r>
          </w:p>
          <w:p>
            <w:pPr>
              <w:pStyle w:val="Normal1"/>
              <w:numPr>
                <w:ilvl w:val="0"/>
                <w:numId w:val="35"/>
              </w:numPr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bankové poplatky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4 766,90</w:t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2 248,31</w:t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1 082,78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1 172,59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807,44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4 325,60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1 481,11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104,52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1 172,59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640,02</w:t>
            </w:r>
          </w:p>
        </w:tc>
      </w:tr>
      <w:tr>
        <w:trPr>
          <w:trHeight w:val="240" w:hRule="atLeast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21"/>
              </w:numPr>
              <w:pBdr/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 xml:space="preserve"> </w:t>
            </w:r>
            <w:r>
              <w:rPr>
                <w:rFonts w:cs="Times New Roman" w:ascii="Times New Roman" w:hAnsi="Times New Roman"/>
                <w:b/>
                <w:color w:val="000000"/>
              </w:rPr>
              <w:t>mimoriadne náklady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</w:tr>
      <w:tr>
        <w:trPr>
          <w:trHeight w:val="240" w:hRule="atLeast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572 - Škody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21"/>
              </w:numPr>
              <w:pBdr/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 xml:space="preserve"> </w:t>
            </w:r>
            <w:r>
              <w:rPr>
                <w:rFonts w:cs="Times New Roman" w:ascii="Times New Roman" w:hAnsi="Times New Roman"/>
                <w:b/>
                <w:color w:val="000000"/>
              </w:rPr>
              <w:t>náklady na transfery a náklady z odvodov príjmov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</w:tr>
      <w:tr>
        <w:trPr>
          <w:trHeight w:val="802" w:hRule="atLeast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13"/>
              </w:numPr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 Náklady na transfery ZŠ+MŠ</w:t>
            </w:r>
          </w:p>
          <w:p>
            <w:pPr>
              <w:pStyle w:val="Normal1"/>
              <w:pBdr/>
              <w:ind w:left="720" w:hanging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 podielové dane/originálne kompetencie/</w:t>
            </w:r>
          </w:p>
          <w:p>
            <w:pPr>
              <w:pStyle w:val="Normal1"/>
              <w:pBdr/>
              <w:ind w:left="720" w:hanging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 vlastné prostriedky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ind w:left="720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104 219,93</w:t>
            </w:r>
          </w:p>
          <w:p>
            <w:pPr>
              <w:pStyle w:val="Normal1"/>
              <w:pBdr/>
              <w:ind w:left="720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95 000,00</w:t>
            </w:r>
          </w:p>
          <w:p>
            <w:pPr>
              <w:pStyle w:val="Normal1"/>
              <w:pBdr/>
              <w:ind w:left="720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14 219,93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122 415,53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102 603,00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19 812,53</w:t>
            </w:r>
          </w:p>
        </w:tc>
      </w:tr>
      <w:tr>
        <w:trPr>
          <w:trHeight w:val="760" w:hRule="atLeast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585 - Náklady na transfery  ostatným subjektov VS - bežný transfer</w:t>
            </w:r>
          </w:p>
          <w:p>
            <w:pPr>
              <w:pStyle w:val="Normal1"/>
              <w:numPr>
                <w:ilvl w:val="0"/>
                <w:numId w:val="36"/>
              </w:numPr>
              <w:pBdr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</w:rPr>
              <w:t>Spoločné úradovne</w:t>
            </w:r>
          </w:p>
          <w:p>
            <w:pPr>
              <w:pStyle w:val="Normal1"/>
              <w:numPr>
                <w:ilvl w:val="0"/>
                <w:numId w:val="36"/>
              </w:numPr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Ostatné subjekty/DIMITROS,TJ BANÍK.../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ind w:left="720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9 899,68</w:t>
            </w:r>
          </w:p>
          <w:p>
            <w:pPr>
              <w:pStyle w:val="Normal1"/>
              <w:pBdr/>
              <w:ind w:left="720" w:hanging="0"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2 </w:t>
            </w:r>
            <w:r>
              <w:rPr>
                <w:rFonts w:cs="Times New Roman" w:ascii="Times New Roman" w:hAnsi="Times New Roman"/>
                <w:color w:val="000000"/>
              </w:rPr>
              <w:t>349,68</w:t>
            </w:r>
          </w:p>
          <w:p>
            <w:pPr>
              <w:pStyle w:val="Normal1"/>
              <w:pBdr/>
              <w:ind w:left="720" w:hanging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7 550,00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11 561,77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2 336,77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9 225,00</w:t>
            </w:r>
          </w:p>
        </w:tc>
      </w:tr>
      <w:tr>
        <w:trPr>
          <w:trHeight w:val="331" w:hRule="atLeast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586 - Náklady na transfery  subjektom mimo VS - bežný transfer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801,00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600,00</w:t>
            </w:r>
          </w:p>
        </w:tc>
      </w:tr>
      <w:tr>
        <w:trPr>
          <w:trHeight w:val="351" w:hRule="atLeast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587 - Náklady na ostatné transfery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67,83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0,00</w:t>
            </w:r>
          </w:p>
        </w:tc>
      </w:tr>
      <w:tr>
        <w:trPr>
          <w:trHeight w:val="271" w:hRule="atLeast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588 - Náklady z odvodu príjmov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0,00</w:t>
            </w:r>
          </w:p>
        </w:tc>
      </w:tr>
      <w:tr>
        <w:trPr>
          <w:trHeight w:val="275" w:hRule="atLeast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589 - Náklady z budúceho odvodu príjmov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numPr>
                <w:ilvl w:val="0"/>
                <w:numId w:val="18"/>
              </w:numPr>
              <w:pBdr/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>ostatné náklady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</w:tr>
      <w:tr>
        <w:trPr>
          <w:trHeight w:val="240" w:hRule="atLeast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541 - ZC predaného DNM a DHM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910,44</w:t>
            </w:r>
          </w:p>
        </w:tc>
      </w:tr>
      <w:tr>
        <w:trPr>
          <w:trHeight w:val="240" w:hRule="atLeast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544 - Zmluvné pokuty, penále a úroky z omeškania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545 - Ostatné pokuty, penále a úroky z omeškania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0,00</w:t>
            </w:r>
          </w:p>
        </w:tc>
      </w:tr>
      <w:tr>
        <w:trPr>
          <w:trHeight w:val="335" w:hRule="atLeast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546 - Odpis pohľadávky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770,32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0,00</w:t>
            </w:r>
          </w:p>
        </w:tc>
      </w:tr>
      <w:tr>
        <w:trPr>
          <w:trHeight w:val="500" w:hRule="atLeast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548 - Ostatné náklady na prevádzkovú činnosť</w:t>
            </w:r>
          </w:p>
          <w:p>
            <w:pPr>
              <w:pStyle w:val="Normal1"/>
              <w:numPr>
                <w:ilvl w:val="0"/>
                <w:numId w:val="16"/>
              </w:numPr>
              <w:pBdr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členské príspevky</w:t>
            </w:r>
          </w:p>
          <w:p>
            <w:pPr>
              <w:pStyle w:val="Normal1"/>
              <w:numPr>
                <w:ilvl w:val="0"/>
                <w:numId w:val="16"/>
              </w:numPr>
              <w:pBdr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pracovné oblečenie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4 995,68</w:t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3 094,92</w:t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1 735,93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7 017,58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4 914,95</w:t>
            </w:r>
          </w:p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1 571,13</w:t>
            </w:r>
          </w:p>
        </w:tc>
      </w:tr>
      <w:tr>
        <w:trPr>
          <w:trHeight w:val="279" w:hRule="atLeast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549 - Manká a škody</w:t>
            </w:r>
          </w:p>
          <w:p>
            <w:pPr>
              <w:pStyle w:val="Normal1"/>
              <w:pBdr/>
              <w:ind w:left="678"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0,00</w:t>
            </w:r>
          </w:p>
        </w:tc>
      </w:tr>
      <w:tr>
        <w:trPr>
          <w:trHeight w:val="520" w:hRule="atLeast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 xml:space="preserve">              </w:t>
            </w:r>
            <w:r>
              <w:rPr>
                <w:rFonts w:cs="Times New Roman" w:ascii="Times New Roman" w:hAnsi="Times New Roman"/>
                <w:b/>
                <w:color w:val="000000"/>
              </w:rPr>
              <w:t>dane z príjmov</w:t>
            </w:r>
          </w:p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591 - Splatná daň z príjmov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0,00</w:t>
            </w:r>
          </w:p>
        </w:tc>
      </w:tr>
    </w:tbl>
    <w:p>
      <w:pPr>
        <w:pStyle w:val="Normal1"/>
        <w:pBdr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pBdr/>
        <w:spacing w:lineRule="auto" w: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pBdr/>
        <w:spacing w:lineRule="auto" w: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pBdr/>
        <w:jc w:val="center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Čl. VI</w:t>
      </w:r>
    </w:p>
    <w:p>
      <w:pPr>
        <w:pStyle w:val="Normal1"/>
        <w:pBdr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Informácie o spriaznených osobách a o ekonomických vzťahoch </w:t>
      </w:r>
    </w:p>
    <w:p>
      <w:pPr>
        <w:pStyle w:val="Normal1"/>
        <w:pBdr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účtovnej jednotky a spriaznených osôb</w:t>
      </w:r>
    </w:p>
    <w:p>
      <w:pPr>
        <w:pStyle w:val="Normal1"/>
        <w:pBdr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 </w:t>
      </w:r>
    </w:p>
    <w:p>
      <w:pPr>
        <w:pStyle w:val="Normal1"/>
        <w:numPr>
          <w:ilvl w:val="0"/>
          <w:numId w:val="9"/>
        </w:numPr>
        <w:pBdr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Informácie o spriaznených osobách </w:t>
      </w:r>
    </w:p>
    <w:p>
      <w:pPr>
        <w:pStyle w:val="Normal1"/>
        <w:pBdr/>
        <w:spacing w:lineRule="auto" w:line="360"/>
        <w:ind w:left="284" w:hang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Style w:val="af4"/>
        <w:tblW w:w="9568" w:type="dxa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621"/>
        <w:gridCol w:w="3118"/>
        <w:gridCol w:w="3829"/>
      </w:tblGrid>
      <w:tr>
        <w:trPr/>
        <w:tc>
          <w:tcPr>
            <w:tcW w:w="2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>Spriaznená osoba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>Druh obchodu/</w:t>
            </w:r>
          </w:p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>druh transakcie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Hodnotové vyjadrenie obchodu/transakcie </w:t>
            </w:r>
          </w:p>
          <w:p>
            <w:pPr>
              <w:pStyle w:val="Normal1"/>
              <w:pBdr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alebo percentuálne vyjadrenie obchodu/transakcie  k celkovému objemu obchodov/transakcií  realizovaných ÚJ</w:t>
            </w:r>
          </w:p>
        </w:tc>
      </w:tr>
      <w:tr>
        <w:trPr/>
        <w:tc>
          <w:tcPr>
            <w:tcW w:w="2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Základná škola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Poskytnutý transfer na bežné výdavky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102 603,00</w:t>
            </w:r>
          </w:p>
        </w:tc>
      </w:tr>
      <w:tr>
        <w:trPr/>
        <w:tc>
          <w:tcPr>
            <w:tcW w:w="2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Služby obce Poráč s.r.o.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 xml:space="preserve">Vklad do ZI 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  <w:p>
            <w:pPr>
              <w:pStyle w:val="Normal1"/>
              <w:pBdr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6 970,72</w:t>
            </w:r>
          </w:p>
        </w:tc>
      </w:tr>
    </w:tbl>
    <w:p>
      <w:pPr>
        <w:pStyle w:val="Normal1"/>
        <w:pBdr/>
        <w:spacing w:lineRule="auto" w: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pBdr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pBdr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Čl. IX</w:t>
      </w:r>
    </w:p>
    <w:p>
      <w:pPr>
        <w:pStyle w:val="Normal1"/>
        <w:pBdr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Informácie o rozpočte a hodnotenie plnenia rozpočtu </w:t>
      </w:r>
    </w:p>
    <w:p>
      <w:pPr>
        <w:pStyle w:val="Normal1"/>
        <w:pBdr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Informácie o rozpočte a hodnotenie plnenia rozpočtu - </w:t>
      </w:r>
      <w:r>
        <w:rPr>
          <w:rFonts w:cs="Times New Roman" w:ascii="Times New Roman" w:hAnsi="Times New Roman"/>
          <w:color w:val="000000"/>
          <w:sz w:val="24"/>
          <w:szCs w:val="24"/>
        </w:rPr>
        <w:t>tabuľka č.12-14</w:t>
      </w:r>
    </w:p>
    <w:p>
      <w:pPr>
        <w:pStyle w:val="Normal1"/>
        <w:pBdr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cs="Times New Roman" w:ascii="Times New Roman" w:hAnsi="Times New Roman"/>
          <w:color w:val="FF0000"/>
          <w:sz w:val="24"/>
          <w:szCs w:val="24"/>
        </w:rPr>
      </w:r>
    </w:p>
    <w:p>
      <w:pPr>
        <w:pStyle w:val="Normal1"/>
        <w:pBdr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Rozpočet obce bol schválený obecným  zastupiteľstvom dňa </w:t>
      </w:r>
      <w:r>
        <w:rPr>
          <w:rFonts w:cs="Times New Roman" w:ascii="Times New Roman" w:hAnsi="Times New Roman"/>
          <w:sz w:val="24"/>
          <w:szCs w:val="24"/>
        </w:rPr>
        <w:t>28</w:t>
      </w:r>
      <w:r>
        <w:rPr>
          <w:rFonts w:cs="Times New Roman" w:ascii="Times New Roman" w:hAnsi="Times New Roman"/>
          <w:sz w:val="24"/>
          <w:szCs w:val="24"/>
        </w:rPr>
        <w:t>.12.201</w:t>
      </w:r>
      <w:r>
        <w:rPr>
          <w:rFonts w:cs="Times New Roman" w:ascii="Times New Roman" w:hAnsi="Times New Roman"/>
          <w:sz w:val="24"/>
          <w:szCs w:val="24"/>
        </w:rPr>
        <w:t>8</w:t>
      </w:r>
      <w:r>
        <w:rPr>
          <w:rFonts w:cs="Times New Roman" w:ascii="Times New Roman" w:hAnsi="Times New Roman"/>
          <w:sz w:val="24"/>
          <w:szCs w:val="24"/>
        </w:rPr>
        <w:t xml:space="preserve">  uznesením č. </w:t>
      </w:r>
      <w:r>
        <w:rPr>
          <w:rFonts w:cs="Times New Roman" w:ascii="Times New Roman" w:hAnsi="Times New Roman"/>
          <w:sz w:val="24"/>
          <w:szCs w:val="24"/>
        </w:rPr>
        <w:t>13/1/2018</w:t>
      </w:r>
    </w:p>
    <w:p>
      <w:pPr>
        <w:pStyle w:val="Normal1"/>
        <w:pBdr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1"/>
        <w:pBdr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Výška dlhu</w:t>
      </w:r>
      <w:r>
        <w:rPr>
          <w:rFonts w:cs="Times New Roman" w:ascii="Times New Roman" w:hAnsi="Times New Roman"/>
          <w:sz w:val="24"/>
          <w:szCs w:val="24"/>
        </w:rPr>
        <w:t xml:space="preserve"> podľa § 17 ods. 7 zákona č.583/2004 Z.z. o rozpočtových pravidlách územnej samosprávy a o zmene a doplnení niektorých zákonov v z.n.p. za bežné účtovné obdobie a bezprostredne predchádzajúce účtovné obdobie - tabuľka č.15.</w:t>
      </w:r>
    </w:p>
    <w:p>
      <w:pPr>
        <w:pStyle w:val="Normal1"/>
        <w:pBdr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pBdr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Čl. X</w:t>
      </w:r>
    </w:p>
    <w:p>
      <w:pPr>
        <w:pStyle w:val="Normal1"/>
        <w:pBdr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Informácie o skutočnostiach, ktoré nastali po dni, ku ktorému sa zostavuje účtovná závierka </w:t>
      </w:r>
    </w:p>
    <w:p>
      <w:pPr>
        <w:pStyle w:val="Normal1"/>
        <w:pBdr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do dňa zostavenia účtovnej závierky</w:t>
      </w:r>
    </w:p>
    <w:p>
      <w:pPr>
        <w:pStyle w:val="Normal1"/>
        <w:pBdr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1"/>
        <w:pBdr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Po 31. decembri </w:t>
      </w:r>
      <w:r>
        <w:rPr>
          <w:rFonts w:cs="Times New Roman" w:ascii="Times New Roman" w:hAnsi="Times New Roman"/>
          <w:sz w:val="24"/>
          <w:szCs w:val="24"/>
        </w:rPr>
        <w:t>201</w:t>
      </w:r>
      <w:r>
        <w:rPr>
          <w:rFonts w:cs="Times New Roman" w:ascii="Times New Roman" w:hAnsi="Times New Roman"/>
          <w:sz w:val="24"/>
          <w:szCs w:val="24"/>
        </w:rPr>
        <w:t>9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nenastali také udalosti, ktoré by si vyžadovali zverejnenie alebo vykázanie v účtovnej závierke za rok </w:t>
      </w:r>
      <w:r>
        <w:rPr>
          <w:rFonts w:cs="Times New Roman" w:ascii="Times New Roman" w:hAnsi="Times New Roman"/>
          <w:sz w:val="24"/>
          <w:szCs w:val="24"/>
        </w:rPr>
        <w:t>201</w:t>
      </w:r>
      <w:r>
        <w:rPr>
          <w:rFonts w:cs="Times New Roman" w:ascii="Times New Roman" w:hAnsi="Times New Roman"/>
          <w:sz w:val="24"/>
          <w:szCs w:val="24"/>
        </w:rPr>
        <w:t>9</w:t>
      </w:r>
      <w:r>
        <w:rPr>
          <w:rFonts w:cs="Times New Roman" w:ascii="Times New Roman" w:hAnsi="Times New Roman"/>
          <w:color w:val="000000"/>
          <w:sz w:val="24"/>
          <w:szCs w:val="24"/>
        </w:rPr>
        <w:t>.</w:t>
      </w:r>
    </w:p>
    <w:p>
      <w:pPr>
        <w:pStyle w:val="Normal1"/>
        <w:pBdr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cs="Times New Roman" w:ascii="Times New Roman" w:hAnsi="Times New Roman"/>
          <w:color w:val="000000"/>
          <w:sz w:val="24"/>
          <w:szCs w:val="24"/>
          <w:u w:val="single"/>
        </w:rPr>
      </w:r>
    </w:p>
    <w:p>
      <w:pPr>
        <w:pStyle w:val="Normal1"/>
        <w:pBdr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cs="Times New Roman" w:ascii="Times New Roman" w:hAnsi="Times New Roman"/>
          <w:color w:val="000000"/>
          <w:sz w:val="24"/>
          <w:szCs w:val="24"/>
          <w:u w:val="single"/>
        </w:rPr>
      </w:r>
    </w:p>
    <w:p>
      <w:pPr>
        <w:pStyle w:val="Normal1"/>
        <w:pBdr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V Poráči dňa 2</w:t>
      </w:r>
      <w:r>
        <w:rPr>
          <w:rFonts w:cs="Times New Roman" w:ascii="Times New Roman" w:hAnsi="Times New Roman"/>
          <w:color w:val="000000"/>
          <w:sz w:val="24"/>
          <w:szCs w:val="24"/>
        </w:rPr>
        <w:t>7</w:t>
      </w:r>
      <w:r>
        <w:rPr>
          <w:rFonts w:cs="Times New Roman" w:ascii="Times New Roman" w:hAnsi="Times New Roman"/>
          <w:color w:val="000000"/>
          <w:sz w:val="24"/>
          <w:szCs w:val="24"/>
        </w:rPr>
        <w:t>.03.201</w:t>
      </w:r>
      <w:r>
        <w:rPr>
          <w:rFonts w:cs="Times New Roman" w:ascii="Times New Roman" w:hAnsi="Times New Roman"/>
          <w:color w:val="000000"/>
          <w:sz w:val="24"/>
          <w:szCs w:val="24"/>
        </w:rPr>
        <w:t>9</w:t>
      </w:r>
    </w:p>
    <w:p>
      <w:pPr>
        <w:pStyle w:val="Normal1"/>
        <w:pBdr/>
        <w:spacing w:lineRule="auto" w:line="360" w:before="0" w:after="200"/>
        <w:jc w:val="both"/>
        <w:rPr>
          <w:color w:val="000000"/>
        </w:rPr>
      </w:pPr>
      <w:r>
        <w:rPr>
          <w:color w:val="000000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567" w:header="709" w:top="851" w:footer="709" w:bottom="851" w:gutter="0"/>
      <w:pgNumType w:start="1" w:fmt="decimal"/>
      <w:formProt w:val="false"/>
      <w:textDirection w:val="lrTb"/>
      <w:docGrid w:type="default" w:linePitch="24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eorgia">
    <w:charset w:val="ee"/>
    <w:family w:val="roman"/>
    <w:pitch w:val="variable"/>
  </w:font>
  <w:font w:name="Times New Roman">
    <w:charset w:val="01"/>
    <w:family w:val="roman"/>
    <w:pitch w:val="variable"/>
  </w:font>
  <w:font w:name="arial">
    <w:charset w:val="ee"/>
    <w:family w:val="auto"/>
    <w:pitch w:val="default"/>
  </w:font>
  <w:font w:name="Courier New">
    <w:charset w:val="01"/>
    <w:family w:val="modern"/>
    <w:pitch w:val="fixed"/>
  </w:font>
  <w:font w:name="Noto Sans Symbols">
    <w:charset w:val="01"/>
    <w:family w:val="auto"/>
    <w:pitch w:val="default"/>
  </w:font>
  <w:font w:name="OpenSymbol">
    <w:altName w:val="Arial Unicode MS"/>
    <w:charset w:val="01"/>
    <w:family w:val="auto"/>
    <w:pitch w:val="default"/>
  </w:font>
  <w:font w:name="Wingdings">
    <w:charset w:val="02"/>
    <w:family w:val="auto"/>
    <w:pitch w:val="default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pBdr/>
      <w:tabs>
        <w:tab w:val="center" w:pos="4536" w:leader="none"/>
        <w:tab w:val="right" w:pos="9072" w:leader="none"/>
      </w:tabs>
      <w:spacing w:lineRule="auto" w:line="276" w:before="0" w:after="200"/>
      <w:jc w:val="both"/>
      <w:rPr/>
    </w:pPr>
    <w:r>
      <w:rPr>
        <w:color w:val="000000"/>
      </w:rPr>
      <w:fldChar w:fldCharType="begin"/>
    </w:r>
    <w:r>
      <w:instrText> PAGE </w:instrText>
    </w:r>
    <w:r>
      <w:fldChar w:fldCharType="separate"/>
    </w:r>
    <w:r>
      <w:t>10</w:t>
    </w:r>
    <w:r>
      <w:fldChar w:fldCharType="end"/>
    </w:r>
  </w:p>
  <w:p>
    <w:pPr>
      <w:pStyle w:val="Normal1"/>
      <w:pBdr/>
      <w:tabs>
        <w:tab w:val="center" w:pos="4536" w:leader="none"/>
        <w:tab w:val="right" w:pos="9072" w:leader="none"/>
      </w:tabs>
      <w:spacing w:lineRule="auto" w:line="276" w:before="0" w:after="200"/>
      <w:ind w:right="360" w:hanging="0"/>
      <w:jc w:val="both"/>
      <w:rPr>
        <w:color w:val="000000"/>
      </w:rPr>
    </w:pPr>
    <w:r>
      <w:rPr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pBdr/>
      <w:tabs>
        <w:tab w:val="left" w:pos="708" w:leader="none"/>
      </w:tabs>
      <w:spacing w:lineRule="auto" w:line="276" w:before="0" w:after="200"/>
      <w:ind w:right="-82" w:hanging="0"/>
      <w:jc w:val="center"/>
      <w:rPr>
        <w:color w:val="000000"/>
        <w:sz w:val="40"/>
        <w:szCs w:val="40"/>
      </w:rPr>
    </w:pPr>
    <w:r>
      <w:rPr>
        <w:b/>
        <w:color w:val="000000"/>
        <w:sz w:val="40"/>
        <w:szCs w:val="40"/>
      </w:rPr>
      <w:t>Obec PORÁČ,  053 23   Poráč 61</w:t>
    </w:r>
  </w:p>
  <w:p>
    <w:pPr>
      <w:pStyle w:val="Normal1"/>
      <w:pBdr>
        <w:bottom w:val="single" w:sz="4" w:space="1" w:color="000001"/>
      </w:pBdr>
      <w:tabs>
        <w:tab w:val="center" w:pos="4536" w:leader="none"/>
        <w:tab w:val="right" w:pos="9072" w:leader="none"/>
      </w:tabs>
      <w:spacing w:lineRule="auto" w:line="276" w:before="0" w:after="200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Poznámky individuálnej účtovnej závierky zostavenej k 31. decembru </w:t>
    </w:r>
    <w:r>
      <w:rPr>
        <w:sz w:val="24"/>
        <w:szCs w:val="24"/>
      </w:rPr>
      <w:t>2019</w:t>
    </w:r>
  </w:p>
  <w:p>
    <w:pPr>
      <w:pStyle w:val="Normal1"/>
      <w:pBdr/>
      <w:tabs>
        <w:tab w:val="center" w:pos="4536" w:leader="none"/>
        <w:tab w:val="right" w:pos="9072" w:leader="none"/>
      </w:tabs>
      <w:spacing w:lineRule="auto" w:line="276" w:before="0" w:after="200"/>
      <w:jc w:val="both"/>
      <w:rPr>
        <w:color w:val="000000"/>
      </w:rPr>
    </w:pPr>
    <w:r>
      <w:rPr>
        <w:color w:val="00000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  <w:position w:val="0"/>
        <w:sz w:val="24"/>
        <w:sz w:val="24"/>
        <w:b w:val="false"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  <w:position w:val="0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  <w:position w:val="0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  <w:position w:val="0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  <w:position w:val="0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  <w:position w:val="0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  <w:position w:val="0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  <w:position w:val="0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  <w:position w:val="0"/>
        <w:sz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  <w:position w:val="0"/>
        <w:sz w:val="24"/>
        <w:sz w:val="24"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  <w:position w:val="0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  <w:position w:val="0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  <w:position w:val="0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  <w:position w:val="0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  <w:position w:val="0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  <w:position w:val="0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  <w:position w:val="0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  <w:position w:val="0"/>
        <w:sz w:val="20"/>
      </w:r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  <w:position w:val="0"/>
        <w:sz w:val="24"/>
        <w:sz w:val="24"/>
        <w:b w:val="false"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  <w:position w:val="0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  <w:position w:val="0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  <w:position w:val="0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  <w:position w:val="0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  <w:position w:val="0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  <w:position w:val="0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  <w:position w:val="0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  <w:position w:val="0"/>
        <w:sz w:val="20"/>
      </w:rPr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  <w:position w:val="0"/>
        <w:sz w:val="24"/>
        <w:sz w:val="24"/>
        <w:b w:val="false"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  <w:position w:val="0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  <w:position w:val="0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  <w:position w:val="0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  <w:position w:val="0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  <w:position w:val="0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  <w:position w:val="0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  <w:position w:val="0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  <w:position w:val="0"/>
        <w:sz w:val="20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  <w:position w:val="0"/>
        <w:sz w:val="24"/>
        <w:sz w:val="24"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  <w:position w:val="0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  <w:position w:val="0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  <w:position w:val="0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  <w:position w:val="0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  <w:position w:val="0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  <w:position w:val="0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  <w:position w:val="0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  <w:position w:val="0"/>
        <w:sz w:val="20"/>
      </w:r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  <w:position w:val="0"/>
        <w:sz w:val="24"/>
        <w:sz w:val="24"/>
        <w:b w:val="false"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  <w:position w:val="0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  <w:position w:val="0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  <w:position w:val="0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  <w:position w:val="0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  <w:position w:val="0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  <w:position w:val="0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  <w:position w:val="0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  <w:position w:val="0"/>
        <w:sz w:val="20"/>
      </w:rPr>
    </w:lvl>
  </w:abstractNum>
  <w:abstractNum w:abstractNumId="7">
    <w:lvl w:ilvl="0">
      <w:start w:val="1"/>
      <w:numFmt w:val="lowerLetter"/>
      <w:lvlText w:val="%1)"/>
      <w:lvlJc w:val="left"/>
      <w:pPr>
        <w:ind w:left="360" w:hanging="360"/>
      </w:pPr>
      <w:rPr>
        <w:vertAlign w:val="baseline"/>
        <w:position w:val="0"/>
        <w:sz w:val="24"/>
        <w:sz w:val="24"/>
        <w:b w:val="false"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  <w:position w:val="0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  <w:position w:val="0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  <w:position w:val="0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  <w:position w:val="0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  <w:position w:val="0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  <w:position w:val="0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  <w:position w:val="0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  <w:position w:val="0"/>
        <w:sz w:val="20"/>
      </w:rPr>
    </w:lvl>
  </w:abstractNum>
  <w:abstractNum w:abstractNumId="8"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  <w:position w:val="0"/>
        <w:sz w:val="24"/>
        <w:sz w:val="24"/>
        <w:b w:val="false"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  <w:position w:val="0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  <w:position w:val="0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  <w:position w:val="0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  <w:position w:val="0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  <w:position w:val="0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  <w:position w:val="0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  <w:position w:val="0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  <w:position w:val="0"/>
        <w:sz w:val="20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  <w:position w:val="0"/>
        <w:sz w:val="24"/>
        <w:sz w:val="24"/>
        <w:b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  <w:position w:val="0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  <w:position w:val="0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  <w:position w:val="0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  <w:position w:val="0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  <w:position w:val="0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  <w:position w:val="0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  <w:position w:val="0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  <w:position w:val="0"/>
        <w:sz w:val="20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  <w:position w:val="0"/>
        <w:sz w:val="24"/>
        <w:sz w:val="24"/>
        <w:b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  <w:position w:val="0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  <w:position w:val="0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  <w:position w:val="0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  <w:position w:val="0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  <w:position w:val="0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  <w:position w:val="0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  <w:position w:val="0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  <w:position w:val="0"/>
        <w:sz w:val="20"/>
      </w:rPr>
    </w:lvl>
  </w:abstractNum>
  <w:abstractNum w:abstractNumId="11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vertAlign w:val="baseline"/>
        <w:position w:val="0"/>
        <w:sz w:val="20"/>
        <w:rFonts w:cs="Times New Roman"/>
        <w:color w:val="FF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vertAlign w:val="baseline"/>
        <w:position w:val="0"/>
        <w:sz w:val="20"/>
        <w:rFonts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  <w:vertAlign w:val="baseline"/>
        <w:position w:val="0"/>
        <w:sz w:val="20"/>
        <w:rFonts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  <w:vertAlign w:val="baseline"/>
        <w:position w:val="0"/>
        <w:sz w:val="20"/>
        <w:rFonts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vertAlign w:val="baseline"/>
        <w:position w:val="0"/>
        <w:sz w:val="20"/>
        <w:rFonts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  <w:vertAlign w:val="baseline"/>
        <w:position w:val="0"/>
        <w:sz w:val="20"/>
        <w:rFonts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  <w:vertAlign w:val="baseline"/>
        <w:position w:val="0"/>
        <w:sz w:val="20"/>
        <w:rFonts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vertAlign w:val="baseline"/>
        <w:position w:val="0"/>
        <w:sz w:val="20"/>
        <w:rFonts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  <w:vertAlign w:val="baseline"/>
        <w:position w:val="0"/>
        <w:sz w:val="20"/>
        <w:rFonts w:cs="Noto Sans Symbols"/>
      </w:rPr>
    </w:lvl>
  </w:abstractNum>
  <w:abstractNum w:abstractNumId="12"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  <w:position w:val="0"/>
        <w:sz w:val="24"/>
        <w:sz w:val="24"/>
        <w:b w:val="false"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  <w:position w:val="0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  <w:position w:val="0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  <w:position w:val="0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  <w:position w:val="0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  <w:position w:val="0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  <w:position w:val="0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  <w:position w:val="0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  <w:position w:val="0"/>
        <w:sz w:val="20"/>
      </w:rPr>
    </w:lvl>
  </w:abstractNum>
  <w:abstractNum w:abstractNumId="13">
    <w:lvl w:ilvl="0">
      <w:start w:val="584"/>
      <w:numFmt w:val="decimal"/>
      <w:lvlText w:val="%1"/>
      <w:lvlJc w:val="left"/>
      <w:pPr>
        <w:ind w:left="720" w:hanging="360"/>
      </w:pPr>
      <w:rPr>
        <w:vertAlign w:val="baseline"/>
        <w:position w:val="0"/>
        <w:sz w:val="20"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  <w:position w:val="0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  <w:position w:val="0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  <w:position w:val="0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  <w:position w:val="0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  <w:position w:val="0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  <w:position w:val="0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  <w:position w:val="0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  <w:position w:val="0"/>
        <w:sz w:val="20"/>
      </w:rPr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  <w:position w:val="0"/>
        <w:sz w:val="24"/>
        <w:sz w:val="24"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  <w:position w:val="0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  <w:position w:val="0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  <w:position w:val="0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  <w:position w:val="0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  <w:position w:val="0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  <w:position w:val="0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  <w:position w:val="0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  <w:position w:val="0"/>
        <w:sz w:val="20"/>
      </w:rPr>
    </w:lvl>
  </w:abstractNum>
  <w:abstractNum w:abstractNumId="15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  <w:position w:val="0"/>
        <w:sz w:val="24"/>
        <w:sz w:val="24"/>
        <w:b/>
        <w:szCs w:val="24"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  <w:position w:val="0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  <w:position w:val="0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  <w:position w:val="0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  <w:position w:val="0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  <w:position w:val="0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  <w:position w:val="0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  <w:position w:val="0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  <w:position w:val="0"/>
        <w:sz w:val="20"/>
      </w:rPr>
    </w:lvl>
  </w:abstractNum>
  <w:abstractNum w:abstractNumId="16">
    <w:lvl w:ilvl="0">
      <w:start w:val="1"/>
      <w:numFmt w:val="bullet"/>
      <w:lvlText w:val="-"/>
      <w:lvlJc w:val="left"/>
      <w:pPr>
        <w:ind w:left="678" w:hanging="360"/>
      </w:pPr>
      <w:rPr>
        <w:rFonts w:ascii="Times New Roman" w:hAnsi="Times New Roman" w:cs="Times New Roman" w:hint="default"/>
        <w:vertAlign w:val="baseline"/>
        <w:position w:val="0"/>
        <w:sz w:val="24"/>
        <w:sz w:val="24"/>
        <w:rFonts w:cs="Times New Roman"/>
      </w:rPr>
    </w:lvl>
    <w:lvl w:ilvl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  <w:vertAlign w:val="baseline"/>
        <w:position w:val="0"/>
        <w:sz w:val="20"/>
        <w:rFonts w:cs="Courier New"/>
      </w:rPr>
    </w:lvl>
    <w:lvl w:ilvl="2">
      <w:start w:val="1"/>
      <w:numFmt w:val="bullet"/>
      <w:lvlText w:val="▪"/>
      <w:lvlJc w:val="left"/>
      <w:pPr>
        <w:ind w:left="2118" w:hanging="360"/>
      </w:pPr>
      <w:rPr>
        <w:rFonts w:ascii="Noto Sans Symbols" w:hAnsi="Noto Sans Symbols" w:cs="Noto Sans Symbols" w:hint="default"/>
        <w:vertAlign w:val="baseline"/>
        <w:position w:val="0"/>
        <w:sz w:val="20"/>
        <w:rFonts w:cs="Noto Sans Symbols"/>
      </w:rPr>
    </w:lvl>
    <w:lvl w:ilvl="3">
      <w:start w:val="1"/>
      <w:numFmt w:val="bullet"/>
      <w:lvlText w:val="●"/>
      <w:lvlJc w:val="left"/>
      <w:pPr>
        <w:ind w:left="2838" w:hanging="360"/>
      </w:pPr>
      <w:rPr>
        <w:rFonts w:ascii="Noto Sans Symbols" w:hAnsi="Noto Sans Symbols" w:cs="Noto Sans Symbols" w:hint="default"/>
        <w:vertAlign w:val="baseline"/>
        <w:position w:val="0"/>
        <w:sz w:val="20"/>
        <w:rFonts w:cs="Noto Sans Symbols"/>
      </w:rPr>
    </w:lvl>
    <w:lvl w:ilvl="4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  <w:vertAlign w:val="baseline"/>
        <w:position w:val="0"/>
        <w:sz w:val="20"/>
        <w:rFonts w:cs="Courier New"/>
      </w:rPr>
    </w:lvl>
    <w:lvl w:ilvl="5">
      <w:start w:val="1"/>
      <w:numFmt w:val="bullet"/>
      <w:lvlText w:val="▪"/>
      <w:lvlJc w:val="left"/>
      <w:pPr>
        <w:ind w:left="4278" w:hanging="360"/>
      </w:pPr>
      <w:rPr>
        <w:rFonts w:ascii="Noto Sans Symbols" w:hAnsi="Noto Sans Symbols" w:cs="Noto Sans Symbols" w:hint="default"/>
        <w:vertAlign w:val="baseline"/>
        <w:position w:val="0"/>
        <w:sz w:val="20"/>
        <w:rFonts w:cs="Noto Sans Symbols"/>
      </w:rPr>
    </w:lvl>
    <w:lvl w:ilvl="6">
      <w:start w:val="1"/>
      <w:numFmt w:val="bullet"/>
      <w:lvlText w:val="●"/>
      <w:lvlJc w:val="left"/>
      <w:pPr>
        <w:ind w:left="4998" w:hanging="360"/>
      </w:pPr>
      <w:rPr>
        <w:rFonts w:ascii="Noto Sans Symbols" w:hAnsi="Noto Sans Symbols" w:cs="Noto Sans Symbols" w:hint="default"/>
        <w:vertAlign w:val="baseline"/>
        <w:position w:val="0"/>
        <w:sz w:val="20"/>
        <w:rFonts w:cs="Noto Sans Symbols"/>
      </w:rPr>
    </w:lvl>
    <w:lvl w:ilvl="7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  <w:vertAlign w:val="baseline"/>
        <w:position w:val="0"/>
        <w:sz w:val="20"/>
        <w:rFonts w:cs="Courier New"/>
      </w:rPr>
    </w:lvl>
    <w:lvl w:ilvl="8">
      <w:start w:val="1"/>
      <w:numFmt w:val="bullet"/>
      <w:lvlText w:val="▪"/>
      <w:lvlJc w:val="left"/>
      <w:pPr>
        <w:ind w:left="6438" w:hanging="360"/>
      </w:pPr>
      <w:rPr>
        <w:rFonts w:ascii="Noto Sans Symbols" w:hAnsi="Noto Sans Symbols" w:cs="Noto Sans Symbols" w:hint="default"/>
        <w:vertAlign w:val="baseline"/>
        <w:position w:val="0"/>
        <w:sz w:val="20"/>
        <w:rFonts w:cs="Noto Sans Symbols"/>
      </w:rPr>
    </w:lvl>
  </w:abstractNum>
  <w:abstractNum w:abstractNumId="17"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  <w:position w:val="0"/>
        <w:sz w:val="24"/>
        <w:sz w:val="24"/>
        <w:b w:val="false"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  <w:position w:val="0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  <w:position w:val="0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  <w:position w:val="0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  <w:position w:val="0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  <w:position w:val="0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  <w:position w:val="0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  <w:position w:val="0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  <w:position w:val="0"/>
        <w:sz w:val="20"/>
      </w:rPr>
    </w:lvl>
  </w:abstractNum>
  <w:abstractNum w:abstractNumId="18">
    <w:lvl w:ilvl="0">
      <w:start w:val="586"/>
      <w:numFmt w:val="decimal"/>
      <w:lvlText w:val="%1"/>
      <w:lvlJc w:val="left"/>
      <w:pPr>
        <w:ind w:left="720" w:hanging="360"/>
      </w:pPr>
      <w:rPr>
        <w:vertAlign w:val="baseline"/>
        <w:position w:val="0"/>
        <w:sz w:val="20"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  <w:position w:val="0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  <w:position w:val="0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  <w:position w:val="0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  <w:position w:val="0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  <w:position w:val="0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  <w:position w:val="0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  <w:position w:val="0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  <w:position w:val="0"/>
        <w:sz w:val="20"/>
      </w:rPr>
    </w:lvl>
  </w:abstractNum>
  <w:abstractNum w:abstractNumId="19"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  <w:position w:val="0"/>
        <w:sz w:val="20"/>
        <w:b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  <w:position w:val="0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  <w:position w:val="0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  <w:position w:val="0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  <w:position w:val="0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  <w:position w:val="0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  <w:position w:val="0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  <w:position w:val="0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  <w:position w:val="0"/>
        <w:sz w:val="20"/>
      </w:rPr>
    </w:lvl>
  </w:abstractNum>
  <w:abstractNum w:abstractNumId="20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  <w:position w:val="0"/>
        <w:sz w:val="24"/>
        <w:sz w:val="24"/>
        <w:b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  <w:position w:val="0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  <w:position w:val="0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  <w:position w:val="0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  <w:position w:val="0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  <w:position w:val="0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  <w:position w:val="0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  <w:position w:val="0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  <w:position w:val="0"/>
        <w:sz w:val="20"/>
      </w:rPr>
    </w:lvl>
  </w:abstractNum>
  <w:abstractNum w:abstractNumId="21"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  <w:position w:val="0"/>
        <w:sz w:val="20"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  <w:position w:val="0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  <w:position w:val="0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  <w:position w:val="0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  <w:position w:val="0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  <w:position w:val="0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  <w:position w:val="0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  <w:position w:val="0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  <w:position w:val="0"/>
        <w:sz w:val="20"/>
      </w:rPr>
    </w:lvl>
  </w:abstractNum>
  <w:abstractNum w:abstractNumId="22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  <w:szCs w:val="24"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lvl w:ilvl="0">
      <w:start w:val="1"/>
      <w:numFmt w:val="bullet"/>
      <w:lvlText w:val="-"/>
      <w:lvlJc w:val="left"/>
      <w:pPr>
        <w:ind w:left="678" w:hanging="360"/>
      </w:pPr>
      <w:rPr>
        <w:rFonts w:ascii="OpenSymbol" w:hAnsi="OpenSymbol" w:cs="Open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39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l"/>
      <w:lvlJc w:val="left"/>
      <w:pPr>
        <w:ind w:left="21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l"/>
      <w:lvlJc w:val="left"/>
      <w:pPr>
        <w:ind w:left="2838" w:hanging="360"/>
      </w:pPr>
      <w:rPr>
        <w:rFonts w:ascii="Wingdings" w:hAnsi="Wingdings" w:cs="Wingdings" w:hint="default"/>
      </w:rPr>
    </w:lvl>
    <w:lvl w:ilvl="4">
      <w:start w:val="1"/>
      <w:numFmt w:val="bullet"/>
      <w:lvlText w:val="o"/>
      <w:lvlJc w:val="left"/>
      <w:pPr>
        <w:ind w:left="355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l"/>
      <w:lvlJc w:val="left"/>
      <w:pPr>
        <w:ind w:left="42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l"/>
      <w:lvlJc w:val="left"/>
      <w:pPr>
        <w:ind w:left="4998" w:hanging="360"/>
      </w:pPr>
      <w:rPr>
        <w:rFonts w:ascii="Wingdings" w:hAnsi="Wingdings" w:cs="Wingdings" w:hint="default"/>
      </w:rPr>
    </w:lvl>
    <w:lvl w:ilvl="7">
      <w:start w:val="1"/>
      <w:numFmt w:val="bullet"/>
      <w:lvlText w:val="o"/>
      <w:lvlJc w:val="left"/>
      <w:pPr>
        <w:ind w:left="571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l"/>
      <w:lvlJc w:val="left"/>
      <w:pPr>
        <w:ind w:left="6438" w:hanging="360"/>
      </w:pPr>
      <w:rPr>
        <w:rFonts w:ascii="Wingdings" w:hAnsi="Wingdings" w:cs="Wingdings" w:hint="default"/>
      </w:rPr>
    </w:lvl>
  </w:abstractNum>
  <w:abstractNum w:abstractNumId="24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rFonts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rFonts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rFonts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rFonts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rFonts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rFonts w:cs="Times New Roman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2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lvl w:ilvl="0">
      <w:start w:val="1"/>
      <w:numFmt w:val="bullet"/>
      <w:lvlText w:val="-"/>
      <w:lvlJc w:val="left"/>
      <w:pPr>
        <w:ind w:left="774" w:hanging="360"/>
      </w:pPr>
      <w:rPr>
        <w:rFonts w:ascii="Times New Roman" w:hAnsi="Times New Roman" w:cs="Times New Roman" w:hint="default"/>
        <w:rFonts w:cs="Times New Roman"/>
      </w:rPr>
    </w:lvl>
    <w:lvl w:ilvl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21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7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534" w:hanging="360"/>
      </w:pPr>
      <w:rPr>
        <w:rFonts w:ascii="Wingdings" w:hAnsi="Wingdings" w:cs="Wingdings" w:hint="default"/>
      </w:rPr>
    </w:lvl>
  </w:abstractNum>
  <w:abstractNum w:abstractNumId="37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w="http://schemas.openxmlformats.org/wordprocessingml/2006/main">
  <w:zoom w:percent="140"/>
  <w:defaultTabStop w:val="720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6218e"/>
    <w:pPr>
      <w:widowControl/>
      <w:bidi w:val="0"/>
      <w:jc w:val="left"/>
    </w:pPr>
    <w:rPr>
      <w:rFonts w:ascii="Calibri" w:hAnsi="Calibri" w:eastAsia="Calibri" w:cs="Calibri"/>
      <w:color w:val="auto"/>
      <w:sz w:val="20"/>
      <w:szCs w:val="20"/>
      <w:lang w:val="sk-SK" w:eastAsia="sk-SK" w:bidi="ar-SA"/>
    </w:rPr>
  </w:style>
  <w:style w:type="paragraph" w:styleId="Nadpis1">
    <w:name w:val="Heading 1"/>
    <w:qFormat/>
    <w:rsid w:val="00d318e2"/>
    <w:pPr>
      <w:keepNext/>
      <w:keepLines/>
      <w:widowControl w:val="false"/>
      <w:spacing w:before="480" w:after="120"/>
      <w:outlineLvl w:val="0"/>
    </w:pPr>
    <w:rPr>
      <w:rFonts w:ascii="Calibri" w:hAnsi="Calibri" w:eastAsia="Calibri" w:cs="Calibri"/>
      <w:b/>
      <w:color w:val="auto"/>
      <w:sz w:val="48"/>
      <w:szCs w:val="48"/>
      <w:lang w:val="sk-SK" w:eastAsia="sk-SK" w:bidi="ar-SA"/>
    </w:rPr>
  </w:style>
  <w:style w:type="paragraph" w:styleId="Nadpis2">
    <w:name w:val="Heading 2"/>
    <w:qFormat/>
    <w:rsid w:val="00d318e2"/>
    <w:pPr>
      <w:keepNext/>
      <w:keepLines/>
      <w:widowControl w:val="false"/>
      <w:spacing w:before="360" w:after="80"/>
      <w:outlineLvl w:val="1"/>
    </w:pPr>
    <w:rPr>
      <w:rFonts w:ascii="Calibri" w:hAnsi="Calibri" w:eastAsia="Calibri" w:cs="Calibri"/>
      <w:b/>
      <w:color w:val="auto"/>
      <w:sz w:val="36"/>
      <w:szCs w:val="36"/>
      <w:lang w:val="sk-SK" w:eastAsia="sk-SK" w:bidi="ar-SA"/>
    </w:rPr>
  </w:style>
  <w:style w:type="paragraph" w:styleId="Nadpis3">
    <w:name w:val="Heading 3"/>
    <w:qFormat/>
    <w:rsid w:val="00d318e2"/>
    <w:pPr>
      <w:keepNext/>
      <w:keepLines/>
      <w:widowControl w:val="false"/>
      <w:spacing w:before="280" w:after="80"/>
      <w:outlineLvl w:val="2"/>
    </w:pPr>
    <w:rPr>
      <w:rFonts w:ascii="Calibri" w:hAnsi="Calibri" w:eastAsia="Calibri" w:cs="Calibri"/>
      <w:b/>
      <w:color w:val="auto"/>
      <w:sz w:val="28"/>
      <w:szCs w:val="28"/>
      <w:lang w:val="sk-SK" w:eastAsia="sk-SK" w:bidi="ar-SA"/>
    </w:rPr>
  </w:style>
  <w:style w:type="paragraph" w:styleId="Nadpis4">
    <w:name w:val="Heading 4"/>
    <w:qFormat/>
    <w:rsid w:val="00d318e2"/>
    <w:pPr>
      <w:keepNext/>
      <w:keepLines/>
      <w:widowControl w:val="false"/>
      <w:spacing w:before="240" w:after="40"/>
      <w:outlineLvl w:val="3"/>
    </w:pPr>
    <w:rPr>
      <w:rFonts w:ascii="Calibri" w:hAnsi="Calibri" w:eastAsia="Calibri" w:cs="Calibri"/>
      <w:b/>
      <w:color w:val="auto"/>
      <w:sz w:val="24"/>
      <w:szCs w:val="24"/>
      <w:lang w:val="sk-SK" w:eastAsia="sk-SK" w:bidi="ar-SA"/>
    </w:rPr>
  </w:style>
  <w:style w:type="paragraph" w:styleId="Nadpis5">
    <w:name w:val="Heading 5"/>
    <w:qFormat/>
    <w:rsid w:val="00d318e2"/>
    <w:pPr>
      <w:keepNext/>
      <w:keepLines/>
      <w:widowControl w:val="false"/>
      <w:spacing w:before="220" w:after="40"/>
      <w:outlineLvl w:val="4"/>
    </w:pPr>
    <w:rPr>
      <w:rFonts w:ascii="Calibri" w:hAnsi="Calibri" w:eastAsia="Calibri" w:cs="Calibri"/>
      <w:b/>
      <w:color w:val="auto"/>
      <w:sz w:val="22"/>
      <w:szCs w:val="22"/>
      <w:lang w:val="sk-SK" w:eastAsia="sk-SK" w:bidi="ar-SA"/>
    </w:rPr>
  </w:style>
  <w:style w:type="paragraph" w:styleId="Nadpis6">
    <w:name w:val="Heading 6"/>
    <w:qFormat/>
    <w:rsid w:val="00d318e2"/>
    <w:pPr>
      <w:keepNext/>
      <w:keepLines/>
      <w:widowControl w:val="false"/>
      <w:spacing w:before="200" w:after="40"/>
      <w:outlineLvl w:val="5"/>
    </w:pPr>
    <w:rPr>
      <w:rFonts w:ascii="Calibri" w:hAnsi="Calibri" w:eastAsia="Calibri" w:cs="Calibri"/>
      <w:b/>
      <w:color w:val="auto"/>
      <w:sz w:val="20"/>
      <w:szCs w:val="20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ascii="Times New Roman" w:hAnsi="Times New Roman"/>
      <w:b w:val="false"/>
      <w:position w:val="0"/>
      <w:sz w:val="24"/>
      <w:sz w:val="24"/>
      <w:vertAlign w:val="baseline"/>
    </w:rPr>
  </w:style>
  <w:style w:type="character" w:styleId="ListLabel2">
    <w:name w:val="ListLabel 2"/>
    <w:qFormat/>
    <w:rPr>
      <w:position w:val="0"/>
      <w:sz w:val="20"/>
      <w:vertAlign w:val="baseline"/>
    </w:rPr>
  </w:style>
  <w:style w:type="character" w:styleId="ListLabel3">
    <w:name w:val="ListLabel 3"/>
    <w:qFormat/>
    <w:rPr>
      <w:position w:val="0"/>
      <w:sz w:val="20"/>
      <w:vertAlign w:val="baseline"/>
    </w:rPr>
  </w:style>
  <w:style w:type="character" w:styleId="ListLabel4">
    <w:name w:val="ListLabel 4"/>
    <w:qFormat/>
    <w:rPr>
      <w:position w:val="0"/>
      <w:sz w:val="20"/>
      <w:vertAlign w:val="baseline"/>
    </w:rPr>
  </w:style>
  <w:style w:type="character" w:styleId="ListLabel5">
    <w:name w:val="ListLabel 5"/>
    <w:qFormat/>
    <w:rPr>
      <w:position w:val="0"/>
      <w:sz w:val="20"/>
      <w:vertAlign w:val="baseline"/>
    </w:rPr>
  </w:style>
  <w:style w:type="character" w:styleId="ListLabel6">
    <w:name w:val="ListLabel 6"/>
    <w:qFormat/>
    <w:rPr>
      <w:position w:val="0"/>
      <w:sz w:val="20"/>
      <w:vertAlign w:val="baseline"/>
    </w:rPr>
  </w:style>
  <w:style w:type="character" w:styleId="ListLabel7">
    <w:name w:val="ListLabel 7"/>
    <w:qFormat/>
    <w:rPr>
      <w:position w:val="0"/>
      <w:sz w:val="20"/>
      <w:vertAlign w:val="baseline"/>
    </w:rPr>
  </w:style>
  <w:style w:type="character" w:styleId="ListLabel8">
    <w:name w:val="ListLabel 8"/>
    <w:qFormat/>
    <w:rPr>
      <w:position w:val="0"/>
      <w:sz w:val="20"/>
      <w:vertAlign w:val="baseline"/>
    </w:rPr>
  </w:style>
  <w:style w:type="character" w:styleId="ListLabel9">
    <w:name w:val="ListLabel 9"/>
    <w:qFormat/>
    <w:rPr>
      <w:position w:val="0"/>
      <w:sz w:val="20"/>
      <w:vertAlign w:val="baseline"/>
    </w:rPr>
  </w:style>
  <w:style w:type="character" w:styleId="ListLabel10">
    <w:name w:val="ListLabel 10"/>
    <w:qFormat/>
    <w:rPr>
      <w:rFonts w:ascii="Times New Roman" w:hAnsi="Times New Roman"/>
      <w:position w:val="0"/>
      <w:sz w:val="24"/>
      <w:sz w:val="24"/>
      <w:vertAlign w:val="baseline"/>
    </w:rPr>
  </w:style>
  <w:style w:type="character" w:styleId="ListLabel11">
    <w:name w:val="ListLabel 11"/>
    <w:qFormat/>
    <w:rPr>
      <w:position w:val="0"/>
      <w:sz w:val="20"/>
      <w:vertAlign w:val="baseline"/>
    </w:rPr>
  </w:style>
  <w:style w:type="character" w:styleId="ListLabel12">
    <w:name w:val="ListLabel 12"/>
    <w:qFormat/>
    <w:rPr>
      <w:position w:val="0"/>
      <w:sz w:val="20"/>
      <w:vertAlign w:val="baseline"/>
    </w:rPr>
  </w:style>
  <w:style w:type="character" w:styleId="ListLabel13">
    <w:name w:val="ListLabel 13"/>
    <w:qFormat/>
    <w:rPr>
      <w:position w:val="0"/>
      <w:sz w:val="20"/>
      <w:vertAlign w:val="baseline"/>
    </w:rPr>
  </w:style>
  <w:style w:type="character" w:styleId="ListLabel14">
    <w:name w:val="ListLabel 14"/>
    <w:qFormat/>
    <w:rPr>
      <w:position w:val="0"/>
      <w:sz w:val="20"/>
      <w:vertAlign w:val="baseline"/>
    </w:rPr>
  </w:style>
  <w:style w:type="character" w:styleId="ListLabel15">
    <w:name w:val="ListLabel 15"/>
    <w:qFormat/>
    <w:rPr>
      <w:position w:val="0"/>
      <w:sz w:val="20"/>
      <w:vertAlign w:val="baseline"/>
    </w:rPr>
  </w:style>
  <w:style w:type="character" w:styleId="ListLabel16">
    <w:name w:val="ListLabel 16"/>
    <w:qFormat/>
    <w:rPr>
      <w:position w:val="0"/>
      <w:sz w:val="20"/>
      <w:vertAlign w:val="baseline"/>
    </w:rPr>
  </w:style>
  <w:style w:type="character" w:styleId="ListLabel17">
    <w:name w:val="ListLabel 17"/>
    <w:qFormat/>
    <w:rPr>
      <w:position w:val="0"/>
      <w:sz w:val="20"/>
      <w:vertAlign w:val="baseline"/>
    </w:rPr>
  </w:style>
  <w:style w:type="character" w:styleId="ListLabel18">
    <w:name w:val="ListLabel 18"/>
    <w:qFormat/>
    <w:rPr>
      <w:position w:val="0"/>
      <w:sz w:val="20"/>
      <w:vertAlign w:val="baseline"/>
    </w:rPr>
  </w:style>
  <w:style w:type="character" w:styleId="ListLabel19">
    <w:name w:val="ListLabel 19"/>
    <w:qFormat/>
    <w:rPr>
      <w:rFonts w:ascii="Times New Roman" w:hAnsi="Times New Roman"/>
      <w:b w:val="false"/>
      <w:position w:val="0"/>
      <w:sz w:val="24"/>
      <w:sz w:val="24"/>
      <w:vertAlign w:val="baseline"/>
    </w:rPr>
  </w:style>
  <w:style w:type="character" w:styleId="ListLabel20">
    <w:name w:val="ListLabel 20"/>
    <w:qFormat/>
    <w:rPr>
      <w:position w:val="0"/>
      <w:sz w:val="20"/>
      <w:vertAlign w:val="baseline"/>
    </w:rPr>
  </w:style>
  <w:style w:type="character" w:styleId="ListLabel21">
    <w:name w:val="ListLabel 21"/>
    <w:qFormat/>
    <w:rPr>
      <w:position w:val="0"/>
      <w:sz w:val="20"/>
      <w:vertAlign w:val="baseline"/>
    </w:rPr>
  </w:style>
  <w:style w:type="character" w:styleId="ListLabel22">
    <w:name w:val="ListLabel 22"/>
    <w:qFormat/>
    <w:rPr>
      <w:position w:val="0"/>
      <w:sz w:val="20"/>
      <w:vertAlign w:val="baseline"/>
    </w:rPr>
  </w:style>
  <w:style w:type="character" w:styleId="ListLabel23">
    <w:name w:val="ListLabel 23"/>
    <w:qFormat/>
    <w:rPr>
      <w:position w:val="0"/>
      <w:sz w:val="20"/>
      <w:vertAlign w:val="baseline"/>
    </w:rPr>
  </w:style>
  <w:style w:type="character" w:styleId="ListLabel24">
    <w:name w:val="ListLabel 24"/>
    <w:qFormat/>
    <w:rPr>
      <w:position w:val="0"/>
      <w:sz w:val="20"/>
      <w:vertAlign w:val="baseline"/>
    </w:rPr>
  </w:style>
  <w:style w:type="character" w:styleId="ListLabel25">
    <w:name w:val="ListLabel 25"/>
    <w:qFormat/>
    <w:rPr>
      <w:position w:val="0"/>
      <w:sz w:val="20"/>
      <w:vertAlign w:val="baseline"/>
    </w:rPr>
  </w:style>
  <w:style w:type="character" w:styleId="ListLabel26">
    <w:name w:val="ListLabel 26"/>
    <w:qFormat/>
    <w:rPr>
      <w:position w:val="0"/>
      <w:sz w:val="20"/>
      <w:vertAlign w:val="baseline"/>
    </w:rPr>
  </w:style>
  <w:style w:type="character" w:styleId="ListLabel27">
    <w:name w:val="ListLabel 27"/>
    <w:qFormat/>
    <w:rPr>
      <w:position w:val="0"/>
      <w:sz w:val="20"/>
      <w:vertAlign w:val="baseline"/>
    </w:rPr>
  </w:style>
  <w:style w:type="character" w:styleId="ListLabel28">
    <w:name w:val="ListLabel 28"/>
    <w:qFormat/>
    <w:rPr>
      <w:rFonts w:ascii="Times New Roman" w:hAnsi="Times New Roman"/>
      <w:b w:val="false"/>
      <w:position w:val="0"/>
      <w:sz w:val="24"/>
      <w:sz w:val="24"/>
      <w:vertAlign w:val="baseline"/>
    </w:rPr>
  </w:style>
  <w:style w:type="character" w:styleId="ListLabel29">
    <w:name w:val="ListLabel 29"/>
    <w:qFormat/>
    <w:rPr>
      <w:position w:val="0"/>
      <w:sz w:val="20"/>
      <w:vertAlign w:val="baseline"/>
    </w:rPr>
  </w:style>
  <w:style w:type="character" w:styleId="ListLabel30">
    <w:name w:val="ListLabel 30"/>
    <w:qFormat/>
    <w:rPr>
      <w:position w:val="0"/>
      <w:sz w:val="20"/>
      <w:vertAlign w:val="baseline"/>
    </w:rPr>
  </w:style>
  <w:style w:type="character" w:styleId="ListLabel31">
    <w:name w:val="ListLabel 31"/>
    <w:qFormat/>
    <w:rPr>
      <w:position w:val="0"/>
      <w:sz w:val="20"/>
      <w:vertAlign w:val="baseline"/>
    </w:rPr>
  </w:style>
  <w:style w:type="character" w:styleId="ListLabel32">
    <w:name w:val="ListLabel 32"/>
    <w:qFormat/>
    <w:rPr>
      <w:position w:val="0"/>
      <w:sz w:val="20"/>
      <w:vertAlign w:val="baseline"/>
    </w:rPr>
  </w:style>
  <w:style w:type="character" w:styleId="ListLabel33">
    <w:name w:val="ListLabel 33"/>
    <w:qFormat/>
    <w:rPr>
      <w:position w:val="0"/>
      <w:sz w:val="20"/>
      <w:vertAlign w:val="baseline"/>
    </w:rPr>
  </w:style>
  <w:style w:type="character" w:styleId="ListLabel34">
    <w:name w:val="ListLabel 34"/>
    <w:qFormat/>
    <w:rPr>
      <w:position w:val="0"/>
      <w:sz w:val="20"/>
      <w:vertAlign w:val="baseline"/>
    </w:rPr>
  </w:style>
  <w:style w:type="character" w:styleId="ListLabel35">
    <w:name w:val="ListLabel 35"/>
    <w:qFormat/>
    <w:rPr>
      <w:position w:val="0"/>
      <w:sz w:val="20"/>
      <w:vertAlign w:val="baseline"/>
    </w:rPr>
  </w:style>
  <w:style w:type="character" w:styleId="ListLabel36">
    <w:name w:val="ListLabel 36"/>
    <w:qFormat/>
    <w:rPr>
      <w:position w:val="0"/>
      <w:sz w:val="20"/>
      <w:vertAlign w:val="baseline"/>
    </w:rPr>
  </w:style>
  <w:style w:type="character" w:styleId="ListLabel37">
    <w:name w:val="ListLabel 37"/>
    <w:qFormat/>
    <w:rPr>
      <w:rFonts w:ascii="Times New Roman" w:hAnsi="Times New Roman"/>
      <w:position w:val="0"/>
      <w:sz w:val="24"/>
      <w:sz w:val="24"/>
      <w:vertAlign w:val="baseline"/>
    </w:rPr>
  </w:style>
  <w:style w:type="character" w:styleId="ListLabel38">
    <w:name w:val="ListLabel 38"/>
    <w:qFormat/>
    <w:rPr>
      <w:position w:val="0"/>
      <w:sz w:val="20"/>
      <w:vertAlign w:val="baseline"/>
    </w:rPr>
  </w:style>
  <w:style w:type="character" w:styleId="ListLabel39">
    <w:name w:val="ListLabel 39"/>
    <w:qFormat/>
    <w:rPr>
      <w:position w:val="0"/>
      <w:sz w:val="20"/>
      <w:vertAlign w:val="baseline"/>
    </w:rPr>
  </w:style>
  <w:style w:type="character" w:styleId="ListLabel40">
    <w:name w:val="ListLabel 40"/>
    <w:qFormat/>
    <w:rPr>
      <w:position w:val="0"/>
      <w:sz w:val="20"/>
      <w:vertAlign w:val="baseline"/>
    </w:rPr>
  </w:style>
  <w:style w:type="character" w:styleId="ListLabel41">
    <w:name w:val="ListLabel 41"/>
    <w:qFormat/>
    <w:rPr>
      <w:position w:val="0"/>
      <w:sz w:val="20"/>
      <w:vertAlign w:val="baseline"/>
    </w:rPr>
  </w:style>
  <w:style w:type="character" w:styleId="ListLabel42">
    <w:name w:val="ListLabel 42"/>
    <w:qFormat/>
    <w:rPr>
      <w:position w:val="0"/>
      <w:sz w:val="20"/>
      <w:vertAlign w:val="baseline"/>
    </w:rPr>
  </w:style>
  <w:style w:type="character" w:styleId="ListLabel43">
    <w:name w:val="ListLabel 43"/>
    <w:qFormat/>
    <w:rPr>
      <w:position w:val="0"/>
      <w:sz w:val="20"/>
      <w:vertAlign w:val="baseline"/>
    </w:rPr>
  </w:style>
  <w:style w:type="character" w:styleId="ListLabel44">
    <w:name w:val="ListLabel 44"/>
    <w:qFormat/>
    <w:rPr>
      <w:position w:val="0"/>
      <w:sz w:val="20"/>
      <w:vertAlign w:val="baseline"/>
    </w:rPr>
  </w:style>
  <w:style w:type="character" w:styleId="ListLabel45">
    <w:name w:val="ListLabel 45"/>
    <w:qFormat/>
    <w:rPr>
      <w:position w:val="0"/>
      <w:sz w:val="20"/>
      <w:vertAlign w:val="baseline"/>
    </w:rPr>
  </w:style>
  <w:style w:type="character" w:styleId="ListLabel46">
    <w:name w:val="ListLabel 46"/>
    <w:qFormat/>
    <w:rPr>
      <w:rFonts w:ascii="Times New Roman" w:hAnsi="Times New Roman"/>
      <w:b w:val="false"/>
      <w:position w:val="0"/>
      <w:sz w:val="24"/>
      <w:sz w:val="24"/>
      <w:vertAlign w:val="baseline"/>
    </w:rPr>
  </w:style>
  <w:style w:type="character" w:styleId="ListLabel47">
    <w:name w:val="ListLabel 47"/>
    <w:qFormat/>
    <w:rPr>
      <w:position w:val="0"/>
      <w:sz w:val="20"/>
      <w:vertAlign w:val="baseline"/>
    </w:rPr>
  </w:style>
  <w:style w:type="character" w:styleId="ListLabel48">
    <w:name w:val="ListLabel 48"/>
    <w:qFormat/>
    <w:rPr>
      <w:position w:val="0"/>
      <w:sz w:val="20"/>
      <w:vertAlign w:val="baseline"/>
    </w:rPr>
  </w:style>
  <w:style w:type="character" w:styleId="ListLabel49">
    <w:name w:val="ListLabel 49"/>
    <w:qFormat/>
    <w:rPr>
      <w:position w:val="0"/>
      <w:sz w:val="20"/>
      <w:vertAlign w:val="baseline"/>
    </w:rPr>
  </w:style>
  <w:style w:type="character" w:styleId="ListLabel50">
    <w:name w:val="ListLabel 50"/>
    <w:qFormat/>
    <w:rPr>
      <w:position w:val="0"/>
      <w:sz w:val="20"/>
      <w:vertAlign w:val="baseline"/>
    </w:rPr>
  </w:style>
  <w:style w:type="character" w:styleId="ListLabel51">
    <w:name w:val="ListLabel 51"/>
    <w:qFormat/>
    <w:rPr>
      <w:position w:val="0"/>
      <w:sz w:val="20"/>
      <w:vertAlign w:val="baseline"/>
    </w:rPr>
  </w:style>
  <w:style w:type="character" w:styleId="ListLabel52">
    <w:name w:val="ListLabel 52"/>
    <w:qFormat/>
    <w:rPr>
      <w:position w:val="0"/>
      <w:sz w:val="20"/>
      <w:vertAlign w:val="baseline"/>
    </w:rPr>
  </w:style>
  <w:style w:type="character" w:styleId="ListLabel53">
    <w:name w:val="ListLabel 53"/>
    <w:qFormat/>
    <w:rPr>
      <w:position w:val="0"/>
      <w:sz w:val="20"/>
      <w:vertAlign w:val="baseline"/>
    </w:rPr>
  </w:style>
  <w:style w:type="character" w:styleId="ListLabel54">
    <w:name w:val="ListLabel 54"/>
    <w:qFormat/>
    <w:rPr>
      <w:position w:val="0"/>
      <w:sz w:val="20"/>
      <w:vertAlign w:val="baseline"/>
    </w:rPr>
  </w:style>
  <w:style w:type="character" w:styleId="ListLabel55">
    <w:name w:val="ListLabel 55"/>
    <w:qFormat/>
    <w:rPr>
      <w:rFonts w:ascii="Times New Roman" w:hAnsi="Times New Roman"/>
      <w:b w:val="false"/>
      <w:position w:val="0"/>
      <w:sz w:val="24"/>
      <w:sz w:val="24"/>
      <w:vertAlign w:val="baseline"/>
    </w:rPr>
  </w:style>
  <w:style w:type="character" w:styleId="ListLabel56">
    <w:name w:val="ListLabel 56"/>
    <w:qFormat/>
    <w:rPr>
      <w:position w:val="0"/>
      <w:sz w:val="20"/>
      <w:vertAlign w:val="baseline"/>
    </w:rPr>
  </w:style>
  <w:style w:type="character" w:styleId="ListLabel57">
    <w:name w:val="ListLabel 57"/>
    <w:qFormat/>
    <w:rPr>
      <w:position w:val="0"/>
      <w:sz w:val="20"/>
      <w:vertAlign w:val="baseline"/>
    </w:rPr>
  </w:style>
  <w:style w:type="character" w:styleId="ListLabel58">
    <w:name w:val="ListLabel 58"/>
    <w:qFormat/>
    <w:rPr>
      <w:position w:val="0"/>
      <w:sz w:val="20"/>
      <w:vertAlign w:val="baseline"/>
    </w:rPr>
  </w:style>
  <w:style w:type="character" w:styleId="ListLabel59">
    <w:name w:val="ListLabel 59"/>
    <w:qFormat/>
    <w:rPr>
      <w:position w:val="0"/>
      <w:sz w:val="20"/>
      <w:vertAlign w:val="baseline"/>
    </w:rPr>
  </w:style>
  <w:style w:type="character" w:styleId="ListLabel60">
    <w:name w:val="ListLabel 60"/>
    <w:qFormat/>
    <w:rPr>
      <w:position w:val="0"/>
      <w:sz w:val="20"/>
      <w:vertAlign w:val="baseline"/>
    </w:rPr>
  </w:style>
  <w:style w:type="character" w:styleId="ListLabel61">
    <w:name w:val="ListLabel 61"/>
    <w:qFormat/>
    <w:rPr>
      <w:position w:val="0"/>
      <w:sz w:val="20"/>
      <w:vertAlign w:val="baseline"/>
    </w:rPr>
  </w:style>
  <w:style w:type="character" w:styleId="ListLabel62">
    <w:name w:val="ListLabel 62"/>
    <w:qFormat/>
    <w:rPr>
      <w:position w:val="0"/>
      <w:sz w:val="20"/>
      <w:vertAlign w:val="baseline"/>
    </w:rPr>
  </w:style>
  <w:style w:type="character" w:styleId="ListLabel63">
    <w:name w:val="ListLabel 63"/>
    <w:qFormat/>
    <w:rPr>
      <w:position w:val="0"/>
      <w:sz w:val="20"/>
      <w:vertAlign w:val="baseline"/>
    </w:rPr>
  </w:style>
  <w:style w:type="character" w:styleId="ListLabel64">
    <w:name w:val="ListLabel 64"/>
    <w:qFormat/>
    <w:rPr>
      <w:rFonts w:ascii="Times New Roman" w:hAnsi="Times New Roman"/>
      <w:b w:val="false"/>
      <w:position w:val="0"/>
      <w:sz w:val="24"/>
      <w:sz w:val="24"/>
      <w:vertAlign w:val="baseline"/>
    </w:rPr>
  </w:style>
  <w:style w:type="character" w:styleId="ListLabel65">
    <w:name w:val="ListLabel 65"/>
    <w:qFormat/>
    <w:rPr>
      <w:position w:val="0"/>
      <w:sz w:val="20"/>
      <w:vertAlign w:val="baseline"/>
    </w:rPr>
  </w:style>
  <w:style w:type="character" w:styleId="ListLabel66">
    <w:name w:val="ListLabel 66"/>
    <w:qFormat/>
    <w:rPr>
      <w:position w:val="0"/>
      <w:sz w:val="20"/>
      <w:vertAlign w:val="baseline"/>
    </w:rPr>
  </w:style>
  <w:style w:type="character" w:styleId="ListLabel67">
    <w:name w:val="ListLabel 67"/>
    <w:qFormat/>
    <w:rPr>
      <w:position w:val="0"/>
      <w:sz w:val="20"/>
      <w:vertAlign w:val="baseline"/>
    </w:rPr>
  </w:style>
  <w:style w:type="character" w:styleId="ListLabel68">
    <w:name w:val="ListLabel 68"/>
    <w:qFormat/>
    <w:rPr>
      <w:position w:val="0"/>
      <w:sz w:val="20"/>
      <w:vertAlign w:val="baseline"/>
    </w:rPr>
  </w:style>
  <w:style w:type="character" w:styleId="ListLabel69">
    <w:name w:val="ListLabel 69"/>
    <w:qFormat/>
    <w:rPr>
      <w:position w:val="0"/>
      <w:sz w:val="20"/>
      <w:vertAlign w:val="baseline"/>
    </w:rPr>
  </w:style>
  <w:style w:type="character" w:styleId="ListLabel70">
    <w:name w:val="ListLabel 70"/>
    <w:qFormat/>
    <w:rPr>
      <w:position w:val="0"/>
      <w:sz w:val="20"/>
      <w:vertAlign w:val="baseline"/>
    </w:rPr>
  </w:style>
  <w:style w:type="character" w:styleId="ListLabel71">
    <w:name w:val="ListLabel 71"/>
    <w:qFormat/>
    <w:rPr>
      <w:position w:val="0"/>
      <w:sz w:val="20"/>
      <w:vertAlign w:val="baseline"/>
    </w:rPr>
  </w:style>
  <w:style w:type="character" w:styleId="ListLabel72">
    <w:name w:val="ListLabel 72"/>
    <w:qFormat/>
    <w:rPr>
      <w:position w:val="0"/>
      <w:sz w:val="20"/>
      <w:vertAlign w:val="baseline"/>
    </w:rPr>
  </w:style>
  <w:style w:type="character" w:styleId="ListLabel73">
    <w:name w:val="ListLabel 73"/>
    <w:qFormat/>
    <w:rPr>
      <w:rFonts w:ascii="Times New Roman" w:hAnsi="Times New Roman"/>
      <w:b/>
      <w:position w:val="0"/>
      <w:sz w:val="24"/>
      <w:sz w:val="24"/>
      <w:vertAlign w:val="baseline"/>
    </w:rPr>
  </w:style>
  <w:style w:type="character" w:styleId="ListLabel74">
    <w:name w:val="ListLabel 74"/>
    <w:qFormat/>
    <w:rPr>
      <w:position w:val="0"/>
      <w:sz w:val="20"/>
      <w:vertAlign w:val="baseline"/>
    </w:rPr>
  </w:style>
  <w:style w:type="character" w:styleId="ListLabel75">
    <w:name w:val="ListLabel 75"/>
    <w:qFormat/>
    <w:rPr>
      <w:position w:val="0"/>
      <w:sz w:val="20"/>
      <w:vertAlign w:val="baseline"/>
    </w:rPr>
  </w:style>
  <w:style w:type="character" w:styleId="ListLabel76">
    <w:name w:val="ListLabel 76"/>
    <w:qFormat/>
    <w:rPr>
      <w:position w:val="0"/>
      <w:sz w:val="20"/>
      <w:vertAlign w:val="baseline"/>
    </w:rPr>
  </w:style>
  <w:style w:type="character" w:styleId="ListLabel77">
    <w:name w:val="ListLabel 77"/>
    <w:qFormat/>
    <w:rPr>
      <w:position w:val="0"/>
      <w:sz w:val="20"/>
      <w:vertAlign w:val="baseline"/>
    </w:rPr>
  </w:style>
  <w:style w:type="character" w:styleId="ListLabel78">
    <w:name w:val="ListLabel 78"/>
    <w:qFormat/>
    <w:rPr>
      <w:position w:val="0"/>
      <w:sz w:val="20"/>
      <w:vertAlign w:val="baseline"/>
    </w:rPr>
  </w:style>
  <w:style w:type="character" w:styleId="ListLabel79">
    <w:name w:val="ListLabel 79"/>
    <w:qFormat/>
    <w:rPr>
      <w:position w:val="0"/>
      <w:sz w:val="20"/>
      <w:vertAlign w:val="baseline"/>
    </w:rPr>
  </w:style>
  <w:style w:type="character" w:styleId="ListLabel80">
    <w:name w:val="ListLabel 80"/>
    <w:qFormat/>
    <w:rPr>
      <w:position w:val="0"/>
      <w:sz w:val="20"/>
      <w:vertAlign w:val="baseline"/>
    </w:rPr>
  </w:style>
  <w:style w:type="character" w:styleId="ListLabel81">
    <w:name w:val="ListLabel 81"/>
    <w:qFormat/>
    <w:rPr>
      <w:position w:val="0"/>
      <w:sz w:val="20"/>
      <w:vertAlign w:val="baseline"/>
    </w:rPr>
  </w:style>
  <w:style w:type="character" w:styleId="ListLabel82">
    <w:name w:val="ListLabel 82"/>
    <w:qFormat/>
    <w:rPr>
      <w:rFonts w:ascii="Times New Roman" w:hAnsi="Times New Roman"/>
      <w:b/>
      <w:position w:val="0"/>
      <w:sz w:val="24"/>
      <w:sz w:val="24"/>
      <w:vertAlign w:val="baseline"/>
    </w:rPr>
  </w:style>
  <w:style w:type="character" w:styleId="ListLabel83">
    <w:name w:val="ListLabel 83"/>
    <w:qFormat/>
    <w:rPr>
      <w:position w:val="0"/>
      <w:sz w:val="20"/>
      <w:vertAlign w:val="baseline"/>
    </w:rPr>
  </w:style>
  <w:style w:type="character" w:styleId="ListLabel84">
    <w:name w:val="ListLabel 84"/>
    <w:qFormat/>
    <w:rPr>
      <w:position w:val="0"/>
      <w:sz w:val="20"/>
      <w:vertAlign w:val="baseline"/>
    </w:rPr>
  </w:style>
  <w:style w:type="character" w:styleId="ListLabel85">
    <w:name w:val="ListLabel 85"/>
    <w:qFormat/>
    <w:rPr>
      <w:position w:val="0"/>
      <w:sz w:val="20"/>
      <w:vertAlign w:val="baseline"/>
    </w:rPr>
  </w:style>
  <w:style w:type="character" w:styleId="ListLabel86">
    <w:name w:val="ListLabel 86"/>
    <w:qFormat/>
    <w:rPr>
      <w:position w:val="0"/>
      <w:sz w:val="20"/>
      <w:vertAlign w:val="baseline"/>
    </w:rPr>
  </w:style>
  <w:style w:type="character" w:styleId="ListLabel87">
    <w:name w:val="ListLabel 87"/>
    <w:qFormat/>
    <w:rPr>
      <w:position w:val="0"/>
      <w:sz w:val="20"/>
      <w:vertAlign w:val="baseline"/>
    </w:rPr>
  </w:style>
  <w:style w:type="character" w:styleId="ListLabel88">
    <w:name w:val="ListLabel 88"/>
    <w:qFormat/>
    <w:rPr>
      <w:position w:val="0"/>
      <w:sz w:val="20"/>
      <w:vertAlign w:val="baseline"/>
    </w:rPr>
  </w:style>
  <w:style w:type="character" w:styleId="ListLabel89">
    <w:name w:val="ListLabel 89"/>
    <w:qFormat/>
    <w:rPr>
      <w:position w:val="0"/>
      <w:sz w:val="20"/>
      <w:vertAlign w:val="baseline"/>
    </w:rPr>
  </w:style>
  <w:style w:type="character" w:styleId="ListLabel90">
    <w:name w:val="ListLabel 90"/>
    <w:qFormat/>
    <w:rPr>
      <w:position w:val="0"/>
      <w:sz w:val="20"/>
      <w:vertAlign w:val="baseline"/>
    </w:rPr>
  </w:style>
  <w:style w:type="character" w:styleId="ListLabel91">
    <w:name w:val="ListLabel 91"/>
    <w:qFormat/>
    <w:rPr>
      <w:rFonts w:ascii="Times New Roman" w:hAnsi="Times New Roman" w:eastAsia="Times New Roman" w:cs="Times New Roman"/>
      <w:color w:val="FF0000"/>
      <w:position w:val="0"/>
      <w:sz w:val="20"/>
      <w:vertAlign w:val="baseline"/>
    </w:rPr>
  </w:style>
  <w:style w:type="character" w:styleId="ListLabel92">
    <w:name w:val="ListLabel 92"/>
    <w:qFormat/>
    <w:rPr>
      <w:rFonts w:eastAsia="Courier New" w:cs="Courier New"/>
      <w:position w:val="0"/>
      <w:sz w:val="20"/>
      <w:vertAlign w:val="baseline"/>
    </w:rPr>
  </w:style>
  <w:style w:type="character" w:styleId="ListLabel93">
    <w:name w:val="ListLabel 93"/>
    <w:qFormat/>
    <w:rPr>
      <w:rFonts w:eastAsia="Noto Sans Symbols" w:cs="Noto Sans Symbols"/>
      <w:position w:val="0"/>
      <w:sz w:val="20"/>
      <w:vertAlign w:val="baseline"/>
    </w:rPr>
  </w:style>
  <w:style w:type="character" w:styleId="ListLabel94">
    <w:name w:val="ListLabel 94"/>
    <w:qFormat/>
    <w:rPr>
      <w:rFonts w:eastAsia="Noto Sans Symbols" w:cs="Noto Sans Symbols"/>
      <w:position w:val="0"/>
      <w:sz w:val="20"/>
      <w:vertAlign w:val="baseline"/>
    </w:rPr>
  </w:style>
  <w:style w:type="character" w:styleId="ListLabel95">
    <w:name w:val="ListLabel 95"/>
    <w:qFormat/>
    <w:rPr>
      <w:rFonts w:eastAsia="Courier New" w:cs="Courier New"/>
      <w:position w:val="0"/>
      <w:sz w:val="20"/>
      <w:vertAlign w:val="baseline"/>
    </w:rPr>
  </w:style>
  <w:style w:type="character" w:styleId="ListLabel96">
    <w:name w:val="ListLabel 96"/>
    <w:qFormat/>
    <w:rPr>
      <w:rFonts w:eastAsia="Noto Sans Symbols" w:cs="Noto Sans Symbols"/>
      <w:position w:val="0"/>
      <w:sz w:val="20"/>
      <w:vertAlign w:val="baseline"/>
    </w:rPr>
  </w:style>
  <w:style w:type="character" w:styleId="ListLabel97">
    <w:name w:val="ListLabel 97"/>
    <w:qFormat/>
    <w:rPr>
      <w:rFonts w:eastAsia="Noto Sans Symbols" w:cs="Noto Sans Symbols"/>
      <w:position w:val="0"/>
      <w:sz w:val="20"/>
      <w:vertAlign w:val="baseline"/>
    </w:rPr>
  </w:style>
  <w:style w:type="character" w:styleId="ListLabel98">
    <w:name w:val="ListLabel 98"/>
    <w:qFormat/>
    <w:rPr>
      <w:rFonts w:eastAsia="Courier New" w:cs="Courier New"/>
      <w:position w:val="0"/>
      <w:sz w:val="20"/>
      <w:vertAlign w:val="baseline"/>
    </w:rPr>
  </w:style>
  <w:style w:type="character" w:styleId="ListLabel99">
    <w:name w:val="ListLabel 99"/>
    <w:qFormat/>
    <w:rPr>
      <w:rFonts w:eastAsia="Noto Sans Symbols" w:cs="Noto Sans Symbols"/>
      <w:position w:val="0"/>
      <w:sz w:val="20"/>
      <w:vertAlign w:val="baseline"/>
    </w:rPr>
  </w:style>
  <w:style w:type="character" w:styleId="ListLabel100">
    <w:name w:val="ListLabel 100"/>
    <w:qFormat/>
    <w:rPr>
      <w:b w:val="false"/>
      <w:position w:val="0"/>
      <w:sz w:val="20"/>
      <w:vertAlign w:val="baseline"/>
    </w:rPr>
  </w:style>
  <w:style w:type="character" w:styleId="ListLabel101">
    <w:name w:val="ListLabel 101"/>
    <w:qFormat/>
    <w:rPr>
      <w:position w:val="0"/>
      <w:sz w:val="20"/>
      <w:vertAlign w:val="baseline"/>
    </w:rPr>
  </w:style>
  <w:style w:type="character" w:styleId="ListLabel102">
    <w:name w:val="ListLabel 102"/>
    <w:qFormat/>
    <w:rPr>
      <w:position w:val="0"/>
      <w:sz w:val="20"/>
      <w:vertAlign w:val="baseline"/>
    </w:rPr>
  </w:style>
  <w:style w:type="character" w:styleId="ListLabel103">
    <w:name w:val="ListLabel 103"/>
    <w:qFormat/>
    <w:rPr>
      <w:position w:val="0"/>
      <w:sz w:val="20"/>
      <w:vertAlign w:val="baseline"/>
    </w:rPr>
  </w:style>
  <w:style w:type="character" w:styleId="ListLabel104">
    <w:name w:val="ListLabel 104"/>
    <w:qFormat/>
    <w:rPr>
      <w:position w:val="0"/>
      <w:sz w:val="20"/>
      <w:vertAlign w:val="baseline"/>
    </w:rPr>
  </w:style>
  <w:style w:type="character" w:styleId="ListLabel105">
    <w:name w:val="ListLabel 105"/>
    <w:qFormat/>
    <w:rPr>
      <w:position w:val="0"/>
      <w:sz w:val="20"/>
      <w:vertAlign w:val="baseline"/>
    </w:rPr>
  </w:style>
  <w:style w:type="character" w:styleId="ListLabel106">
    <w:name w:val="ListLabel 106"/>
    <w:qFormat/>
    <w:rPr>
      <w:position w:val="0"/>
      <w:sz w:val="20"/>
      <w:vertAlign w:val="baseline"/>
    </w:rPr>
  </w:style>
  <w:style w:type="character" w:styleId="ListLabel107">
    <w:name w:val="ListLabel 107"/>
    <w:qFormat/>
    <w:rPr>
      <w:position w:val="0"/>
      <w:sz w:val="20"/>
      <w:vertAlign w:val="baseline"/>
    </w:rPr>
  </w:style>
  <w:style w:type="character" w:styleId="ListLabel108">
    <w:name w:val="ListLabel 108"/>
    <w:qFormat/>
    <w:rPr>
      <w:position w:val="0"/>
      <w:sz w:val="20"/>
      <w:vertAlign w:val="baseline"/>
    </w:rPr>
  </w:style>
  <w:style w:type="character" w:styleId="ListLabel109">
    <w:name w:val="ListLabel 109"/>
    <w:qFormat/>
    <w:rPr>
      <w:rFonts w:ascii="Times New Roman" w:hAnsi="Times New Roman"/>
      <w:b w:val="false"/>
      <w:position w:val="0"/>
      <w:sz w:val="24"/>
      <w:sz w:val="24"/>
      <w:vertAlign w:val="baseline"/>
    </w:rPr>
  </w:style>
  <w:style w:type="character" w:styleId="ListLabel110">
    <w:name w:val="ListLabel 110"/>
    <w:qFormat/>
    <w:rPr>
      <w:position w:val="0"/>
      <w:sz w:val="20"/>
      <w:vertAlign w:val="baseline"/>
    </w:rPr>
  </w:style>
  <w:style w:type="character" w:styleId="ListLabel111">
    <w:name w:val="ListLabel 111"/>
    <w:qFormat/>
    <w:rPr>
      <w:position w:val="0"/>
      <w:sz w:val="20"/>
      <w:vertAlign w:val="baseline"/>
    </w:rPr>
  </w:style>
  <w:style w:type="character" w:styleId="ListLabel112">
    <w:name w:val="ListLabel 112"/>
    <w:qFormat/>
    <w:rPr>
      <w:position w:val="0"/>
      <w:sz w:val="20"/>
      <w:vertAlign w:val="baseline"/>
    </w:rPr>
  </w:style>
  <w:style w:type="character" w:styleId="ListLabel113">
    <w:name w:val="ListLabel 113"/>
    <w:qFormat/>
    <w:rPr>
      <w:position w:val="0"/>
      <w:sz w:val="20"/>
      <w:vertAlign w:val="baseline"/>
    </w:rPr>
  </w:style>
  <w:style w:type="character" w:styleId="ListLabel114">
    <w:name w:val="ListLabel 114"/>
    <w:qFormat/>
    <w:rPr>
      <w:position w:val="0"/>
      <w:sz w:val="20"/>
      <w:vertAlign w:val="baseline"/>
    </w:rPr>
  </w:style>
  <w:style w:type="character" w:styleId="ListLabel115">
    <w:name w:val="ListLabel 115"/>
    <w:qFormat/>
    <w:rPr>
      <w:position w:val="0"/>
      <w:sz w:val="20"/>
      <w:vertAlign w:val="baseline"/>
    </w:rPr>
  </w:style>
  <w:style w:type="character" w:styleId="ListLabel116">
    <w:name w:val="ListLabel 116"/>
    <w:qFormat/>
    <w:rPr>
      <w:position w:val="0"/>
      <w:sz w:val="20"/>
      <w:vertAlign w:val="baseline"/>
    </w:rPr>
  </w:style>
  <w:style w:type="character" w:styleId="ListLabel117">
    <w:name w:val="ListLabel 117"/>
    <w:qFormat/>
    <w:rPr>
      <w:position w:val="0"/>
      <w:sz w:val="20"/>
      <w:vertAlign w:val="baseline"/>
    </w:rPr>
  </w:style>
  <w:style w:type="character" w:styleId="ListLabel118">
    <w:name w:val="ListLabel 118"/>
    <w:qFormat/>
    <w:rPr>
      <w:rFonts w:ascii="Times New Roman" w:hAnsi="Times New Roman"/>
      <w:position w:val="0"/>
      <w:sz w:val="20"/>
      <w:vertAlign w:val="baseline"/>
    </w:rPr>
  </w:style>
  <w:style w:type="character" w:styleId="ListLabel119">
    <w:name w:val="ListLabel 119"/>
    <w:qFormat/>
    <w:rPr>
      <w:position w:val="0"/>
      <w:sz w:val="20"/>
      <w:vertAlign w:val="baseline"/>
    </w:rPr>
  </w:style>
  <w:style w:type="character" w:styleId="ListLabel120">
    <w:name w:val="ListLabel 120"/>
    <w:qFormat/>
    <w:rPr>
      <w:position w:val="0"/>
      <w:sz w:val="20"/>
      <w:vertAlign w:val="baseline"/>
    </w:rPr>
  </w:style>
  <w:style w:type="character" w:styleId="ListLabel121">
    <w:name w:val="ListLabel 121"/>
    <w:qFormat/>
    <w:rPr>
      <w:position w:val="0"/>
      <w:sz w:val="20"/>
      <w:vertAlign w:val="baseline"/>
    </w:rPr>
  </w:style>
  <w:style w:type="character" w:styleId="ListLabel122">
    <w:name w:val="ListLabel 122"/>
    <w:qFormat/>
    <w:rPr>
      <w:position w:val="0"/>
      <w:sz w:val="20"/>
      <w:vertAlign w:val="baseline"/>
    </w:rPr>
  </w:style>
  <w:style w:type="character" w:styleId="ListLabel123">
    <w:name w:val="ListLabel 123"/>
    <w:qFormat/>
    <w:rPr>
      <w:position w:val="0"/>
      <w:sz w:val="20"/>
      <w:vertAlign w:val="baseline"/>
    </w:rPr>
  </w:style>
  <w:style w:type="character" w:styleId="ListLabel124">
    <w:name w:val="ListLabel 124"/>
    <w:qFormat/>
    <w:rPr>
      <w:position w:val="0"/>
      <w:sz w:val="20"/>
      <w:vertAlign w:val="baseline"/>
    </w:rPr>
  </w:style>
  <w:style w:type="character" w:styleId="ListLabel125">
    <w:name w:val="ListLabel 125"/>
    <w:qFormat/>
    <w:rPr>
      <w:position w:val="0"/>
      <w:sz w:val="20"/>
      <w:vertAlign w:val="baseline"/>
    </w:rPr>
  </w:style>
  <w:style w:type="character" w:styleId="ListLabel126">
    <w:name w:val="ListLabel 126"/>
    <w:qFormat/>
    <w:rPr>
      <w:position w:val="0"/>
      <w:sz w:val="20"/>
      <w:vertAlign w:val="baseline"/>
    </w:rPr>
  </w:style>
  <w:style w:type="character" w:styleId="ListLabel127">
    <w:name w:val="ListLabel 127"/>
    <w:qFormat/>
    <w:rPr>
      <w:rFonts w:ascii="Times New Roman" w:hAnsi="Times New Roman"/>
      <w:position w:val="0"/>
      <w:sz w:val="24"/>
      <w:sz w:val="24"/>
      <w:vertAlign w:val="baseline"/>
    </w:rPr>
  </w:style>
  <w:style w:type="character" w:styleId="ListLabel128">
    <w:name w:val="ListLabel 128"/>
    <w:qFormat/>
    <w:rPr>
      <w:position w:val="0"/>
      <w:sz w:val="20"/>
      <w:vertAlign w:val="baseline"/>
    </w:rPr>
  </w:style>
  <w:style w:type="character" w:styleId="ListLabel129">
    <w:name w:val="ListLabel 129"/>
    <w:qFormat/>
    <w:rPr>
      <w:position w:val="0"/>
      <w:sz w:val="20"/>
      <w:vertAlign w:val="baseline"/>
    </w:rPr>
  </w:style>
  <w:style w:type="character" w:styleId="ListLabel130">
    <w:name w:val="ListLabel 130"/>
    <w:qFormat/>
    <w:rPr>
      <w:position w:val="0"/>
      <w:sz w:val="20"/>
      <w:vertAlign w:val="baseline"/>
    </w:rPr>
  </w:style>
  <w:style w:type="character" w:styleId="ListLabel131">
    <w:name w:val="ListLabel 131"/>
    <w:qFormat/>
    <w:rPr>
      <w:position w:val="0"/>
      <w:sz w:val="20"/>
      <w:vertAlign w:val="baseline"/>
    </w:rPr>
  </w:style>
  <w:style w:type="character" w:styleId="ListLabel132">
    <w:name w:val="ListLabel 132"/>
    <w:qFormat/>
    <w:rPr>
      <w:position w:val="0"/>
      <w:sz w:val="20"/>
      <w:vertAlign w:val="baseline"/>
    </w:rPr>
  </w:style>
  <w:style w:type="character" w:styleId="ListLabel133">
    <w:name w:val="ListLabel 133"/>
    <w:qFormat/>
    <w:rPr>
      <w:position w:val="0"/>
      <w:sz w:val="20"/>
      <w:vertAlign w:val="baseline"/>
    </w:rPr>
  </w:style>
  <w:style w:type="character" w:styleId="ListLabel134">
    <w:name w:val="ListLabel 134"/>
    <w:qFormat/>
    <w:rPr>
      <w:position w:val="0"/>
      <w:sz w:val="20"/>
      <w:vertAlign w:val="baseline"/>
    </w:rPr>
  </w:style>
  <w:style w:type="character" w:styleId="ListLabel135">
    <w:name w:val="ListLabel 135"/>
    <w:qFormat/>
    <w:rPr>
      <w:position w:val="0"/>
      <w:sz w:val="20"/>
      <w:vertAlign w:val="baseline"/>
    </w:rPr>
  </w:style>
  <w:style w:type="character" w:styleId="ListLabel136">
    <w:name w:val="ListLabel 136"/>
    <w:qFormat/>
    <w:rPr>
      <w:rFonts w:ascii="Times New Roman" w:hAnsi="Times New Roman" w:eastAsia="Times New Roman" w:cs="Times New Roman"/>
      <w:position w:val="0"/>
      <w:sz w:val="24"/>
      <w:sz w:val="24"/>
      <w:vertAlign w:val="baseline"/>
    </w:rPr>
  </w:style>
  <w:style w:type="character" w:styleId="ListLabel137">
    <w:name w:val="ListLabel 137"/>
    <w:qFormat/>
    <w:rPr>
      <w:rFonts w:eastAsia="Courier New" w:cs="Courier New"/>
      <w:position w:val="0"/>
      <w:sz w:val="20"/>
      <w:vertAlign w:val="baseline"/>
    </w:rPr>
  </w:style>
  <w:style w:type="character" w:styleId="ListLabel138">
    <w:name w:val="ListLabel 138"/>
    <w:qFormat/>
    <w:rPr>
      <w:rFonts w:eastAsia="Noto Sans Symbols" w:cs="Noto Sans Symbols"/>
      <w:position w:val="0"/>
      <w:sz w:val="20"/>
      <w:vertAlign w:val="baseline"/>
    </w:rPr>
  </w:style>
  <w:style w:type="character" w:styleId="ListLabel139">
    <w:name w:val="ListLabel 139"/>
    <w:qFormat/>
    <w:rPr>
      <w:rFonts w:eastAsia="Noto Sans Symbols" w:cs="Noto Sans Symbols"/>
      <w:position w:val="0"/>
      <w:sz w:val="20"/>
      <w:vertAlign w:val="baseline"/>
    </w:rPr>
  </w:style>
  <w:style w:type="character" w:styleId="ListLabel140">
    <w:name w:val="ListLabel 140"/>
    <w:qFormat/>
    <w:rPr>
      <w:rFonts w:eastAsia="Courier New" w:cs="Courier New"/>
      <w:position w:val="0"/>
      <w:sz w:val="20"/>
      <w:vertAlign w:val="baseline"/>
    </w:rPr>
  </w:style>
  <w:style w:type="character" w:styleId="ListLabel141">
    <w:name w:val="ListLabel 141"/>
    <w:qFormat/>
    <w:rPr>
      <w:rFonts w:eastAsia="Noto Sans Symbols" w:cs="Noto Sans Symbols"/>
      <w:position w:val="0"/>
      <w:sz w:val="20"/>
      <w:vertAlign w:val="baseline"/>
    </w:rPr>
  </w:style>
  <w:style w:type="character" w:styleId="ListLabel142">
    <w:name w:val="ListLabel 142"/>
    <w:qFormat/>
    <w:rPr>
      <w:rFonts w:eastAsia="Noto Sans Symbols" w:cs="Noto Sans Symbols"/>
      <w:position w:val="0"/>
      <w:sz w:val="20"/>
      <w:vertAlign w:val="baseline"/>
    </w:rPr>
  </w:style>
  <w:style w:type="character" w:styleId="ListLabel143">
    <w:name w:val="ListLabel 143"/>
    <w:qFormat/>
    <w:rPr>
      <w:rFonts w:eastAsia="Courier New" w:cs="Courier New"/>
      <w:position w:val="0"/>
      <w:sz w:val="20"/>
      <w:vertAlign w:val="baseline"/>
    </w:rPr>
  </w:style>
  <w:style w:type="character" w:styleId="ListLabel144">
    <w:name w:val="ListLabel 144"/>
    <w:qFormat/>
    <w:rPr>
      <w:rFonts w:eastAsia="Noto Sans Symbols" w:cs="Noto Sans Symbols"/>
      <w:position w:val="0"/>
      <w:sz w:val="20"/>
      <w:vertAlign w:val="baseline"/>
    </w:rPr>
  </w:style>
  <w:style w:type="character" w:styleId="ListLabel145">
    <w:name w:val="ListLabel 145"/>
    <w:qFormat/>
    <w:rPr>
      <w:rFonts w:ascii="Times New Roman" w:hAnsi="Times New Roman"/>
      <w:b/>
      <w:position w:val="0"/>
      <w:sz w:val="24"/>
      <w:sz w:val="24"/>
      <w:szCs w:val="24"/>
      <w:vertAlign w:val="baseline"/>
    </w:rPr>
  </w:style>
  <w:style w:type="character" w:styleId="ListLabel146">
    <w:name w:val="ListLabel 146"/>
    <w:qFormat/>
    <w:rPr>
      <w:position w:val="0"/>
      <w:sz w:val="20"/>
      <w:vertAlign w:val="baseline"/>
    </w:rPr>
  </w:style>
  <w:style w:type="character" w:styleId="ListLabel147">
    <w:name w:val="ListLabel 147"/>
    <w:qFormat/>
    <w:rPr>
      <w:position w:val="0"/>
      <w:sz w:val="20"/>
      <w:vertAlign w:val="baseline"/>
    </w:rPr>
  </w:style>
  <w:style w:type="character" w:styleId="ListLabel148">
    <w:name w:val="ListLabel 148"/>
    <w:qFormat/>
    <w:rPr>
      <w:position w:val="0"/>
      <w:sz w:val="20"/>
      <w:vertAlign w:val="baseline"/>
    </w:rPr>
  </w:style>
  <w:style w:type="character" w:styleId="ListLabel149">
    <w:name w:val="ListLabel 149"/>
    <w:qFormat/>
    <w:rPr>
      <w:position w:val="0"/>
      <w:sz w:val="20"/>
      <w:vertAlign w:val="baseline"/>
    </w:rPr>
  </w:style>
  <w:style w:type="character" w:styleId="ListLabel150">
    <w:name w:val="ListLabel 150"/>
    <w:qFormat/>
    <w:rPr>
      <w:position w:val="0"/>
      <w:sz w:val="20"/>
      <w:vertAlign w:val="baseline"/>
    </w:rPr>
  </w:style>
  <w:style w:type="character" w:styleId="ListLabel151">
    <w:name w:val="ListLabel 151"/>
    <w:qFormat/>
    <w:rPr>
      <w:position w:val="0"/>
      <w:sz w:val="20"/>
      <w:vertAlign w:val="baseline"/>
    </w:rPr>
  </w:style>
  <w:style w:type="character" w:styleId="ListLabel152">
    <w:name w:val="ListLabel 152"/>
    <w:qFormat/>
    <w:rPr>
      <w:position w:val="0"/>
      <w:sz w:val="20"/>
      <w:vertAlign w:val="baseline"/>
    </w:rPr>
  </w:style>
  <w:style w:type="character" w:styleId="ListLabel153">
    <w:name w:val="ListLabel 153"/>
    <w:qFormat/>
    <w:rPr>
      <w:position w:val="0"/>
      <w:sz w:val="20"/>
      <w:vertAlign w:val="baseline"/>
    </w:rPr>
  </w:style>
  <w:style w:type="character" w:styleId="ListLabel154">
    <w:name w:val="ListLabel 154"/>
    <w:qFormat/>
    <w:rPr>
      <w:rFonts w:ascii="Times New Roman" w:hAnsi="Times New Roman" w:eastAsia="Times New Roman" w:cs="Times New Roman"/>
      <w:position w:val="0"/>
      <w:sz w:val="24"/>
      <w:sz w:val="24"/>
      <w:vertAlign w:val="baseline"/>
    </w:rPr>
  </w:style>
  <w:style w:type="character" w:styleId="ListLabel155">
    <w:name w:val="ListLabel 155"/>
    <w:qFormat/>
    <w:rPr>
      <w:rFonts w:eastAsia="Courier New" w:cs="Courier New"/>
      <w:position w:val="0"/>
      <w:sz w:val="20"/>
      <w:vertAlign w:val="baseline"/>
    </w:rPr>
  </w:style>
  <w:style w:type="character" w:styleId="ListLabel156">
    <w:name w:val="ListLabel 156"/>
    <w:qFormat/>
    <w:rPr>
      <w:rFonts w:eastAsia="Noto Sans Symbols" w:cs="Noto Sans Symbols"/>
      <w:position w:val="0"/>
      <w:sz w:val="20"/>
      <w:vertAlign w:val="baseline"/>
    </w:rPr>
  </w:style>
  <w:style w:type="character" w:styleId="ListLabel157">
    <w:name w:val="ListLabel 157"/>
    <w:qFormat/>
    <w:rPr>
      <w:rFonts w:eastAsia="Noto Sans Symbols" w:cs="Noto Sans Symbols"/>
      <w:position w:val="0"/>
      <w:sz w:val="20"/>
      <w:vertAlign w:val="baseline"/>
    </w:rPr>
  </w:style>
  <w:style w:type="character" w:styleId="ListLabel158">
    <w:name w:val="ListLabel 158"/>
    <w:qFormat/>
    <w:rPr>
      <w:rFonts w:eastAsia="Courier New" w:cs="Courier New"/>
      <w:position w:val="0"/>
      <w:sz w:val="20"/>
      <w:vertAlign w:val="baseline"/>
    </w:rPr>
  </w:style>
  <w:style w:type="character" w:styleId="ListLabel159">
    <w:name w:val="ListLabel 159"/>
    <w:qFormat/>
    <w:rPr>
      <w:rFonts w:eastAsia="Noto Sans Symbols" w:cs="Noto Sans Symbols"/>
      <w:position w:val="0"/>
      <w:sz w:val="20"/>
      <w:vertAlign w:val="baseline"/>
    </w:rPr>
  </w:style>
  <w:style w:type="character" w:styleId="ListLabel160">
    <w:name w:val="ListLabel 160"/>
    <w:qFormat/>
    <w:rPr>
      <w:rFonts w:eastAsia="Noto Sans Symbols" w:cs="Noto Sans Symbols"/>
      <w:position w:val="0"/>
      <w:sz w:val="20"/>
      <w:vertAlign w:val="baseline"/>
    </w:rPr>
  </w:style>
  <w:style w:type="character" w:styleId="ListLabel161">
    <w:name w:val="ListLabel 161"/>
    <w:qFormat/>
    <w:rPr>
      <w:rFonts w:eastAsia="Courier New" w:cs="Courier New"/>
      <w:position w:val="0"/>
      <w:sz w:val="20"/>
      <w:vertAlign w:val="baseline"/>
    </w:rPr>
  </w:style>
  <w:style w:type="character" w:styleId="ListLabel162">
    <w:name w:val="ListLabel 162"/>
    <w:qFormat/>
    <w:rPr>
      <w:rFonts w:eastAsia="Noto Sans Symbols" w:cs="Noto Sans Symbols"/>
      <w:position w:val="0"/>
      <w:sz w:val="20"/>
      <w:vertAlign w:val="baseline"/>
    </w:rPr>
  </w:style>
  <w:style w:type="character" w:styleId="ListLabel163">
    <w:name w:val="ListLabel 163"/>
    <w:qFormat/>
    <w:rPr>
      <w:rFonts w:ascii="Times New Roman" w:hAnsi="Times New Roman"/>
      <w:b w:val="false"/>
      <w:position w:val="0"/>
      <w:sz w:val="24"/>
      <w:sz w:val="24"/>
      <w:vertAlign w:val="baseline"/>
    </w:rPr>
  </w:style>
  <w:style w:type="character" w:styleId="ListLabel164">
    <w:name w:val="ListLabel 164"/>
    <w:qFormat/>
    <w:rPr>
      <w:position w:val="0"/>
      <w:sz w:val="20"/>
      <w:vertAlign w:val="baseline"/>
    </w:rPr>
  </w:style>
  <w:style w:type="character" w:styleId="ListLabel165">
    <w:name w:val="ListLabel 165"/>
    <w:qFormat/>
    <w:rPr>
      <w:position w:val="0"/>
      <w:sz w:val="20"/>
      <w:vertAlign w:val="baseline"/>
    </w:rPr>
  </w:style>
  <w:style w:type="character" w:styleId="ListLabel166">
    <w:name w:val="ListLabel 166"/>
    <w:qFormat/>
    <w:rPr>
      <w:position w:val="0"/>
      <w:sz w:val="20"/>
      <w:vertAlign w:val="baseline"/>
    </w:rPr>
  </w:style>
  <w:style w:type="character" w:styleId="ListLabel167">
    <w:name w:val="ListLabel 167"/>
    <w:qFormat/>
    <w:rPr>
      <w:position w:val="0"/>
      <w:sz w:val="20"/>
      <w:vertAlign w:val="baseline"/>
    </w:rPr>
  </w:style>
  <w:style w:type="character" w:styleId="ListLabel168">
    <w:name w:val="ListLabel 168"/>
    <w:qFormat/>
    <w:rPr>
      <w:position w:val="0"/>
      <w:sz w:val="20"/>
      <w:vertAlign w:val="baseline"/>
    </w:rPr>
  </w:style>
  <w:style w:type="character" w:styleId="ListLabel169">
    <w:name w:val="ListLabel 169"/>
    <w:qFormat/>
    <w:rPr>
      <w:position w:val="0"/>
      <w:sz w:val="20"/>
      <w:vertAlign w:val="baseline"/>
    </w:rPr>
  </w:style>
  <w:style w:type="character" w:styleId="ListLabel170">
    <w:name w:val="ListLabel 170"/>
    <w:qFormat/>
    <w:rPr>
      <w:position w:val="0"/>
      <w:sz w:val="20"/>
      <w:vertAlign w:val="baseline"/>
    </w:rPr>
  </w:style>
  <w:style w:type="character" w:styleId="ListLabel171">
    <w:name w:val="ListLabel 171"/>
    <w:qFormat/>
    <w:rPr>
      <w:position w:val="0"/>
      <w:sz w:val="20"/>
      <w:vertAlign w:val="baseline"/>
    </w:rPr>
  </w:style>
  <w:style w:type="character" w:styleId="ListLabel172">
    <w:name w:val="ListLabel 172"/>
    <w:qFormat/>
    <w:rPr>
      <w:rFonts w:ascii="Times New Roman" w:hAnsi="Times New Roman"/>
      <w:position w:val="0"/>
      <w:sz w:val="20"/>
      <w:vertAlign w:val="baseline"/>
    </w:rPr>
  </w:style>
  <w:style w:type="character" w:styleId="ListLabel173">
    <w:name w:val="ListLabel 173"/>
    <w:qFormat/>
    <w:rPr>
      <w:position w:val="0"/>
      <w:sz w:val="20"/>
      <w:vertAlign w:val="baseline"/>
    </w:rPr>
  </w:style>
  <w:style w:type="character" w:styleId="ListLabel174">
    <w:name w:val="ListLabel 174"/>
    <w:qFormat/>
    <w:rPr>
      <w:position w:val="0"/>
      <w:sz w:val="20"/>
      <w:vertAlign w:val="baseline"/>
    </w:rPr>
  </w:style>
  <w:style w:type="character" w:styleId="ListLabel175">
    <w:name w:val="ListLabel 175"/>
    <w:qFormat/>
    <w:rPr>
      <w:position w:val="0"/>
      <w:sz w:val="20"/>
      <w:vertAlign w:val="baseline"/>
    </w:rPr>
  </w:style>
  <w:style w:type="character" w:styleId="ListLabel176">
    <w:name w:val="ListLabel 176"/>
    <w:qFormat/>
    <w:rPr>
      <w:position w:val="0"/>
      <w:sz w:val="20"/>
      <w:vertAlign w:val="baseline"/>
    </w:rPr>
  </w:style>
  <w:style w:type="character" w:styleId="ListLabel177">
    <w:name w:val="ListLabel 177"/>
    <w:qFormat/>
    <w:rPr>
      <w:position w:val="0"/>
      <w:sz w:val="20"/>
      <w:vertAlign w:val="baseline"/>
    </w:rPr>
  </w:style>
  <w:style w:type="character" w:styleId="ListLabel178">
    <w:name w:val="ListLabel 178"/>
    <w:qFormat/>
    <w:rPr>
      <w:position w:val="0"/>
      <w:sz w:val="20"/>
      <w:vertAlign w:val="baseline"/>
    </w:rPr>
  </w:style>
  <w:style w:type="character" w:styleId="ListLabel179">
    <w:name w:val="ListLabel 179"/>
    <w:qFormat/>
    <w:rPr>
      <w:position w:val="0"/>
      <w:sz w:val="20"/>
      <w:vertAlign w:val="baseline"/>
    </w:rPr>
  </w:style>
  <w:style w:type="character" w:styleId="ListLabel180">
    <w:name w:val="ListLabel 180"/>
    <w:qFormat/>
    <w:rPr>
      <w:position w:val="0"/>
      <w:sz w:val="20"/>
      <w:vertAlign w:val="baseline"/>
    </w:rPr>
  </w:style>
  <w:style w:type="character" w:styleId="ListLabel181">
    <w:name w:val="ListLabel 181"/>
    <w:qFormat/>
    <w:rPr>
      <w:b w:val="false"/>
      <w:position w:val="0"/>
      <w:sz w:val="20"/>
      <w:vertAlign w:val="baseline"/>
    </w:rPr>
  </w:style>
  <w:style w:type="character" w:styleId="ListLabel182">
    <w:name w:val="ListLabel 182"/>
    <w:qFormat/>
    <w:rPr>
      <w:position w:val="0"/>
      <w:sz w:val="20"/>
      <w:vertAlign w:val="baseline"/>
    </w:rPr>
  </w:style>
  <w:style w:type="character" w:styleId="ListLabel183">
    <w:name w:val="ListLabel 183"/>
    <w:qFormat/>
    <w:rPr>
      <w:position w:val="0"/>
      <w:sz w:val="20"/>
      <w:vertAlign w:val="baseline"/>
    </w:rPr>
  </w:style>
  <w:style w:type="character" w:styleId="ListLabel184">
    <w:name w:val="ListLabel 184"/>
    <w:qFormat/>
    <w:rPr>
      <w:position w:val="0"/>
      <w:sz w:val="20"/>
      <w:vertAlign w:val="baseline"/>
    </w:rPr>
  </w:style>
  <w:style w:type="character" w:styleId="ListLabel185">
    <w:name w:val="ListLabel 185"/>
    <w:qFormat/>
    <w:rPr>
      <w:position w:val="0"/>
      <w:sz w:val="20"/>
      <w:vertAlign w:val="baseline"/>
    </w:rPr>
  </w:style>
  <w:style w:type="character" w:styleId="ListLabel186">
    <w:name w:val="ListLabel 186"/>
    <w:qFormat/>
    <w:rPr>
      <w:position w:val="0"/>
      <w:sz w:val="20"/>
      <w:vertAlign w:val="baseline"/>
    </w:rPr>
  </w:style>
  <w:style w:type="character" w:styleId="ListLabel187">
    <w:name w:val="ListLabel 187"/>
    <w:qFormat/>
    <w:rPr>
      <w:position w:val="0"/>
      <w:sz w:val="20"/>
      <w:vertAlign w:val="baseline"/>
    </w:rPr>
  </w:style>
  <w:style w:type="character" w:styleId="ListLabel188">
    <w:name w:val="ListLabel 188"/>
    <w:qFormat/>
    <w:rPr>
      <w:position w:val="0"/>
      <w:sz w:val="20"/>
      <w:vertAlign w:val="baseline"/>
    </w:rPr>
  </w:style>
  <w:style w:type="character" w:styleId="ListLabel189">
    <w:name w:val="ListLabel 189"/>
    <w:qFormat/>
    <w:rPr>
      <w:position w:val="0"/>
      <w:sz w:val="20"/>
      <w:vertAlign w:val="baseline"/>
    </w:rPr>
  </w:style>
  <w:style w:type="character" w:styleId="ListLabel190">
    <w:name w:val="ListLabel 190"/>
    <w:qFormat/>
    <w:rPr>
      <w:rFonts w:ascii="Times New Roman" w:hAnsi="Times New Roman"/>
      <w:b/>
      <w:position w:val="0"/>
      <w:sz w:val="20"/>
      <w:vertAlign w:val="baseline"/>
    </w:rPr>
  </w:style>
  <w:style w:type="character" w:styleId="ListLabel191">
    <w:name w:val="ListLabel 191"/>
    <w:qFormat/>
    <w:rPr>
      <w:position w:val="0"/>
      <w:sz w:val="20"/>
      <w:vertAlign w:val="baseline"/>
    </w:rPr>
  </w:style>
  <w:style w:type="character" w:styleId="ListLabel192">
    <w:name w:val="ListLabel 192"/>
    <w:qFormat/>
    <w:rPr>
      <w:position w:val="0"/>
      <w:sz w:val="20"/>
      <w:vertAlign w:val="baseline"/>
    </w:rPr>
  </w:style>
  <w:style w:type="character" w:styleId="ListLabel193">
    <w:name w:val="ListLabel 193"/>
    <w:qFormat/>
    <w:rPr>
      <w:position w:val="0"/>
      <w:sz w:val="20"/>
      <w:vertAlign w:val="baseline"/>
    </w:rPr>
  </w:style>
  <w:style w:type="character" w:styleId="ListLabel194">
    <w:name w:val="ListLabel 194"/>
    <w:qFormat/>
    <w:rPr>
      <w:position w:val="0"/>
      <w:sz w:val="20"/>
      <w:vertAlign w:val="baseline"/>
    </w:rPr>
  </w:style>
  <w:style w:type="character" w:styleId="ListLabel195">
    <w:name w:val="ListLabel 195"/>
    <w:qFormat/>
    <w:rPr>
      <w:position w:val="0"/>
      <w:sz w:val="20"/>
      <w:vertAlign w:val="baseline"/>
    </w:rPr>
  </w:style>
  <w:style w:type="character" w:styleId="ListLabel196">
    <w:name w:val="ListLabel 196"/>
    <w:qFormat/>
    <w:rPr>
      <w:position w:val="0"/>
      <w:sz w:val="20"/>
      <w:vertAlign w:val="baseline"/>
    </w:rPr>
  </w:style>
  <w:style w:type="character" w:styleId="ListLabel197">
    <w:name w:val="ListLabel 197"/>
    <w:qFormat/>
    <w:rPr>
      <w:position w:val="0"/>
      <w:sz w:val="20"/>
      <w:vertAlign w:val="baseline"/>
    </w:rPr>
  </w:style>
  <w:style w:type="character" w:styleId="ListLabel198">
    <w:name w:val="ListLabel 198"/>
    <w:qFormat/>
    <w:rPr>
      <w:position w:val="0"/>
      <w:sz w:val="20"/>
      <w:vertAlign w:val="baseline"/>
    </w:rPr>
  </w:style>
  <w:style w:type="character" w:styleId="ListLabel199">
    <w:name w:val="ListLabel 199"/>
    <w:qFormat/>
    <w:rPr>
      <w:rFonts w:ascii="Times New Roman" w:hAnsi="Times New Roman"/>
      <w:b/>
      <w:position w:val="0"/>
      <w:sz w:val="24"/>
      <w:sz w:val="24"/>
      <w:vertAlign w:val="baseline"/>
    </w:rPr>
  </w:style>
  <w:style w:type="character" w:styleId="ListLabel200">
    <w:name w:val="ListLabel 200"/>
    <w:qFormat/>
    <w:rPr>
      <w:position w:val="0"/>
      <w:sz w:val="20"/>
      <w:vertAlign w:val="baseline"/>
    </w:rPr>
  </w:style>
  <w:style w:type="character" w:styleId="ListLabel201">
    <w:name w:val="ListLabel 201"/>
    <w:qFormat/>
    <w:rPr>
      <w:position w:val="0"/>
      <w:sz w:val="20"/>
      <w:vertAlign w:val="baseline"/>
    </w:rPr>
  </w:style>
  <w:style w:type="character" w:styleId="ListLabel202">
    <w:name w:val="ListLabel 202"/>
    <w:qFormat/>
    <w:rPr>
      <w:position w:val="0"/>
      <w:sz w:val="20"/>
      <w:vertAlign w:val="baseline"/>
    </w:rPr>
  </w:style>
  <w:style w:type="character" w:styleId="ListLabel203">
    <w:name w:val="ListLabel 203"/>
    <w:qFormat/>
    <w:rPr>
      <w:position w:val="0"/>
      <w:sz w:val="20"/>
      <w:vertAlign w:val="baseline"/>
    </w:rPr>
  </w:style>
  <w:style w:type="character" w:styleId="ListLabel204">
    <w:name w:val="ListLabel 204"/>
    <w:qFormat/>
    <w:rPr>
      <w:position w:val="0"/>
      <w:sz w:val="20"/>
      <w:vertAlign w:val="baseline"/>
    </w:rPr>
  </w:style>
  <w:style w:type="character" w:styleId="ListLabel205">
    <w:name w:val="ListLabel 205"/>
    <w:qFormat/>
    <w:rPr>
      <w:position w:val="0"/>
      <w:sz w:val="20"/>
      <w:vertAlign w:val="baseline"/>
    </w:rPr>
  </w:style>
  <w:style w:type="character" w:styleId="ListLabel206">
    <w:name w:val="ListLabel 206"/>
    <w:qFormat/>
    <w:rPr>
      <w:position w:val="0"/>
      <w:sz w:val="20"/>
      <w:vertAlign w:val="baseline"/>
    </w:rPr>
  </w:style>
  <w:style w:type="character" w:styleId="ListLabel207">
    <w:name w:val="ListLabel 207"/>
    <w:qFormat/>
    <w:rPr>
      <w:position w:val="0"/>
      <w:sz w:val="20"/>
      <w:vertAlign w:val="baseline"/>
    </w:rPr>
  </w:style>
  <w:style w:type="character" w:styleId="ListLabel208">
    <w:name w:val="ListLabel 208"/>
    <w:qFormat/>
    <w:rPr>
      <w:rFonts w:ascii="Times New Roman" w:hAnsi="Times New Roman"/>
      <w:position w:val="0"/>
      <w:sz w:val="20"/>
      <w:vertAlign w:val="baseline"/>
    </w:rPr>
  </w:style>
  <w:style w:type="character" w:styleId="ListLabel209">
    <w:name w:val="ListLabel 209"/>
    <w:qFormat/>
    <w:rPr>
      <w:position w:val="0"/>
      <w:sz w:val="20"/>
      <w:vertAlign w:val="baseline"/>
    </w:rPr>
  </w:style>
  <w:style w:type="character" w:styleId="ListLabel210">
    <w:name w:val="ListLabel 210"/>
    <w:qFormat/>
    <w:rPr>
      <w:position w:val="0"/>
      <w:sz w:val="20"/>
      <w:vertAlign w:val="baseline"/>
    </w:rPr>
  </w:style>
  <w:style w:type="character" w:styleId="ListLabel211">
    <w:name w:val="ListLabel 211"/>
    <w:qFormat/>
    <w:rPr>
      <w:position w:val="0"/>
      <w:sz w:val="20"/>
      <w:vertAlign w:val="baseline"/>
    </w:rPr>
  </w:style>
  <w:style w:type="character" w:styleId="ListLabel212">
    <w:name w:val="ListLabel 212"/>
    <w:qFormat/>
    <w:rPr>
      <w:position w:val="0"/>
      <w:sz w:val="20"/>
      <w:vertAlign w:val="baseline"/>
    </w:rPr>
  </w:style>
  <w:style w:type="character" w:styleId="ListLabel213">
    <w:name w:val="ListLabel 213"/>
    <w:qFormat/>
    <w:rPr>
      <w:position w:val="0"/>
      <w:sz w:val="20"/>
      <w:vertAlign w:val="baseline"/>
    </w:rPr>
  </w:style>
  <w:style w:type="character" w:styleId="ListLabel214">
    <w:name w:val="ListLabel 214"/>
    <w:qFormat/>
    <w:rPr>
      <w:position w:val="0"/>
      <w:sz w:val="20"/>
      <w:vertAlign w:val="baseline"/>
    </w:rPr>
  </w:style>
  <w:style w:type="character" w:styleId="ListLabel215">
    <w:name w:val="ListLabel 215"/>
    <w:qFormat/>
    <w:rPr>
      <w:position w:val="0"/>
      <w:sz w:val="20"/>
      <w:vertAlign w:val="baseline"/>
    </w:rPr>
  </w:style>
  <w:style w:type="character" w:styleId="ListLabel216">
    <w:name w:val="ListLabel 216"/>
    <w:qFormat/>
    <w:rPr>
      <w:position w:val="0"/>
      <w:sz w:val="20"/>
      <w:vertAlign w:val="baseline"/>
    </w:rPr>
  </w:style>
  <w:style w:type="character" w:styleId="ListLabel217">
    <w:name w:val="ListLabel 217"/>
    <w:qFormat/>
    <w:rPr>
      <w:rFonts w:cs="Courier New"/>
    </w:rPr>
  </w:style>
  <w:style w:type="character" w:styleId="ListLabel218">
    <w:name w:val="ListLabel 218"/>
    <w:qFormat/>
    <w:rPr>
      <w:rFonts w:cs="Courier New"/>
    </w:rPr>
  </w:style>
  <w:style w:type="character" w:styleId="ListLabel219">
    <w:name w:val="ListLabel 219"/>
    <w:qFormat/>
    <w:rPr>
      <w:rFonts w:cs="Courier New"/>
    </w:rPr>
  </w:style>
  <w:style w:type="character" w:styleId="ListLabel220">
    <w:name w:val="ListLabel 220"/>
    <w:qFormat/>
    <w:rPr>
      <w:rFonts w:ascii="Times New Roman" w:hAnsi="Times New Roman"/>
      <w:b/>
      <w:sz w:val="24"/>
      <w:szCs w:val="24"/>
    </w:rPr>
  </w:style>
  <w:style w:type="character" w:styleId="ListLabel221">
    <w:name w:val="ListLabel 221"/>
    <w:qFormat/>
    <w:rPr>
      <w:rFonts w:ascii="Times New Roman" w:hAnsi="Times New Roman"/>
      <w:sz w:val="24"/>
      <w:szCs w:val="24"/>
    </w:rPr>
  </w:style>
  <w:style w:type="character" w:styleId="ListLabel222">
    <w:name w:val="ListLabel 222"/>
    <w:qFormat/>
    <w:rPr>
      <w:rFonts w:cs="Courier New"/>
    </w:rPr>
  </w:style>
  <w:style w:type="character" w:styleId="ListLabel223">
    <w:name w:val="ListLabel 223"/>
    <w:qFormat/>
    <w:rPr>
      <w:rFonts w:cs="Courier New"/>
    </w:rPr>
  </w:style>
  <w:style w:type="character" w:styleId="ListLabel224">
    <w:name w:val="ListLabel 224"/>
    <w:qFormat/>
    <w:rPr>
      <w:rFonts w:cs="Courier New"/>
    </w:rPr>
  </w:style>
  <w:style w:type="character" w:styleId="ListLabel225">
    <w:name w:val="ListLabel 225"/>
    <w:qFormat/>
    <w:rPr>
      <w:rFonts w:ascii="Times New Roman" w:hAnsi="Times New Roman" w:cs="Courier New"/>
    </w:rPr>
  </w:style>
  <w:style w:type="character" w:styleId="ListLabel226">
    <w:name w:val="ListLabel 226"/>
    <w:qFormat/>
    <w:rPr>
      <w:rFonts w:cs="Courier New"/>
    </w:rPr>
  </w:style>
  <w:style w:type="character" w:styleId="ListLabel227">
    <w:name w:val="ListLabel 227"/>
    <w:qFormat/>
    <w:rPr>
      <w:rFonts w:cs="Courier New"/>
    </w:rPr>
  </w:style>
  <w:style w:type="character" w:styleId="ListLabel228">
    <w:name w:val="ListLabel 228"/>
    <w:qFormat/>
    <w:rPr>
      <w:rFonts w:cs="Courier New"/>
    </w:rPr>
  </w:style>
  <w:style w:type="character" w:styleId="ListLabel229">
    <w:name w:val="ListLabel 229"/>
    <w:qFormat/>
    <w:rPr>
      <w:rFonts w:ascii="Times New Roman" w:hAnsi="Times New Roman" w:cs="Courier New"/>
    </w:rPr>
  </w:style>
  <w:style w:type="character" w:styleId="ListLabel230">
    <w:name w:val="ListLabel 230"/>
    <w:qFormat/>
    <w:rPr>
      <w:rFonts w:cs="Courier New"/>
    </w:rPr>
  </w:style>
  <w:style w:type="character" w:styleId="ListLabel231">
    <w:name w:val="ListLabel 231"/>
    <w:qFormat/>
    <w:rPr>
      <w:rFonts w:cs="Courier New"/>
    </w:rPr>
  </w:style>
  <w:style w:type="character" w:styleId="ListLabel232">
    <w:name w:val="ListLabel 232"/>
    <w:qFormat/>
    <w:rPr>
      <w:rFonts w:cs="Courier New"/>
    </w:rPr>
  </w:style>
  <w:style w:type="character" w:styleId="ListLabel233">
    <w:name w:val="ListLabel 233"/>
    <w:qFormat/>
    <w:rPr>
      <w:rFonts w:ascii="Times New Roman" w:hAnsi="Times New Roman" w:cs="Courier New"/>
    </w:rPr>
  </w:style>
  <w:style w:type="character" w:styleId="ListLabel234">
    <w:name w:val="ListLabel 234"/>
    <w:qFormat/>
    <w:rPr>
      <w:rFonts w:cs="Courier New"/>
    </w:rPr>
  </w:style>
  <w:style w:type="character" w:styleId="ListLabel235">
    <w:name w:val="ListLabel 235"/>
    <w:qFormat/>
    <w:rPr>
      <w:rFonts w:cs="Courier New"/>
    </w:rPr>
  </w:style>
  <w:style w:type="character" w:styleId="ListLabel236">
    <w:name w:val="ListLabel 236"/>
    <w:qFormat/>
    <w:rPr>
      <w:rFonts w:cs="Courier New"/>
    </w:rPr>
  </w:style>
  <w:style w:type="character" w:styleId="ListLabel237">
    <w:name w:val="ListLabel 237"/>
    <w:qFormat/>
    <w:rPr>
      <w:rFonts w:ascii="Times New Roman" w:hAnsi="Times New Roman" w:cs="Courier New"/>
    </w:rPr>
  </w:style>
  <w:style w:type="character" w:styleId="ListLabel238">
    <w:name w:val="ListLabel 238"/>
    <w:qFormat/>
    <w:rPr>
      <w:rFonts w:cs="Courier New"/>
    </w:rPr>
  </w:style>
  <w:style w:type="character" w:styleId="ListLabel239">
    <w:name w:val="ListLabel 239"/>
    <w:qFormat/>
    <w:rPr>
      <w:rFonts w:cs="Courier New"/>
    </w:rPr>
  </w:style>
  <w:style w:type="character" w:styleId="ListLabel240">
    <w:name w:val="ListLabel 240"/>
    <w:qFormat/>
    <w:rPr>
      <w:rFonts w:cs="Courier New"/>
    </w:rPr>
  </w:style>
  <w:style w:type="character" w:styleId="ListLabel241">
    <w:name w:val="ListLabel 241"/>
    <w:qFormat/>
    <w:rPr>
      <w:rFonts w:ascii="Times New Roman" w:hAnsi="Times New Roman" w:cs="Courier New"/>
    </w:rPr>
  </w:style>
  <w:style w:type="character" w:styleId="ListLabel242">
    <w:name w:val="ListLabel 242"/>
    <w:qFormat/>
    <w:rPr>
      <w:rFonts w:cs="Courier New"/>
    </w:rPr>
  </w:style>
  <w:style w:type="character" w:styleId="ListLabel243">
    <w:name w:val="ListLabel 243"/>
    <w:qFormat/>
    <w:rPr>
      <w:rFonts w:cs="Courier New"/>
    </w:rPr>
  </w:style>
  <w:style w:type="character" w:styleId="ListLabel244">
    <w:name w:val="ListLabel 244"/>
    <w:qFormat/>
    <w:rPr>
      <w:rFonts w:cs="Courier New"/>
    </w:rPr>
  </w:style>
  <w:style w:type="character" w:styleId="ListLabel245">
    <w:name w:val="ListLabel 245"/>
    <w:qFormat/>
    <w:rPr>
      <w:rFonts w:cs="Courier New"/>
    </w:rPr>
  </w:style>
  <w:style w:type="character" w:styleId="ListLabel246">
    <w:name w:val="ListLabel 246"/>
    <w:qFormat/>
    <w:rPr>
      <w:rFonts w:cs="Courier New"/>
    </w:rPr>
  </w:style>
  <w:style w:type="character" w:styleId="ListLabel247">
    <w:name w:val="ListLabel 247"/>
    <w:qFormat/>
    <w:rPr>
      <w:rFonts w:cs="Courier New"/>
    </w:rPr>
  </w:style>
  <w:style w:type="character" w:styleId="ListLabel248">
    <w:name w:val="ListLabel 248"/>
    <w:qFormat/>
    <w:rPr>
      <w:rFonts w:cs="Courier New"/>
    </w:rPr>
  </w:style>
  <w:style w:type="character" w:styleId="ListLabel249">
    <w:name w:val="ListLabel 249"/>
    <w:qFormat/>
    <w:rPr>
      <w:rFonts w:cs="Courier New"/>
    </w:rPr>
  </w:style>
  <w:style w:type="character" w:styleId="ListLabel250">
    <w:name w:val="ListLabel 250"/>
    <w:qFormat/>
    <w:rPr>
      <w:rFonts w:cs="Courier New"/>
    </w:rPr>
  </w:style>
  <w:style w:type="character" w:styleId="ListLabel251">
    <w:name w:val="ListLabel 251"/>
    <w:qFormat/>
    <w:rPr>
      <w:rFonts w:cs="Courier New"/>
    </w:rPr>
  </w:style>
  <w:style w:type="character" w:styleId="ListLabel252">
    <w:name w:val="ListLabel 252"/>
    <w:qFormat/>
    <w:rPr>
      <w:rFonts w:ascii="Times New Roman" w:hAnsi="Times New Roman" w:eastAsia="Times New Roman" w:cs="Times New Roman"/>
    </w:rPr>
  </w:style>
  <w:style w:type="character" w:styleId="ListLabel253">
    <w:name w:val="ListLabel 253"/>
    <w:qFormat/>
    <w:rPr>
      <w:rFonts w:cs="Courier New"/>
    </w:rPr>
  </w:style>
  <w:style w:type="character" w:styleId="ListLabel254">
    <w:name w:val="ListLabel 254"/>
    <w:qFormat/>
    <w:rPr>
      <w:rFonts w:cs="Courier New"/>
    </w:rPr>
  </w:style>
  <w:style w:type="character" w:styleId="ListLabel255">
    <w:name w:val="ListLabel 255"/>
    <w:qFormat/>
    <w:rPr>
      <w:rFonts w:cs="Courier New"/>
    </w:rPr>
  </w:style>
  <w:style w:type="character" w:styleId="ListLabel256">
    <w:name w:val="ListLabel 256"/>
    <w:qFormat/>
    <w:rPr>
      <w:rFonts w:ascii="Times New Roman" w:hAnsi="Times New Roman" w:eastAsia="Times New Roman" w:cs="Times New Roman"/>
    </w:rPr>
  </w:style>
  <w:style w:type="character" w:styleId="ListLabel257">
    <w:name w:val="ListLabel 257"/>
    <w:qFormat/>
    <w:rPr>
      <w:rFonts w:cs="Courier New"/>
    </w:rPr>
  </w:style>
  <w:style w:type="character" w:styleId="ListLabel258">
    <w:name w:val="ListLabel 258"/>
    <w:qFormat/>
    <w:rPr>
      <w:rFonts w:cs="Courier New"/>
    </w:rPr>
  </w:style>
  <w:style w:type="character" w:styleId="ListLabel259">
    <w:name w:val="ListLabel 259"/>
    <w:qFormat/>
    <w:rPr>
      <w:rFonts w:cs="Courier New"/>
    </w:rPr>
  </w:style>
  <w:style w:type="character" w:styleId="ListLabel260">
    <w:name w:val="ListLabel 260"/>
    <w:qFormat/>
    <w:rPr>
      <w:rFonts w:ascii="Times New Roman" w:hAnsi="Times New Roman" w:eastAsia="Times New Roman" w:cs="Times New Roman"/>
    </w:rPr>
  </w:style>
  <w:style w:type="character" w:styleId="ListLabel261">
    <w:name w:val="ListLabel 261"/>
    <w:qFormat/>
    <w:rPr>
      <w:rFonts w:cs="Courier New"/>
    </w:rPr>
  </w:style>
  <w:style w:type="character" w:styleId="ListLabel262">
    <w:name w:val="ListLabel 262"/>
    <w:qFormat/>
    <w:rPr>
      <w:rFonts w:cs="Courier New"/>
    </w:rPr>
  </w:style>
  <w:style w:type="character" w:styleId="ListLabel263">
    <w:name w:val="ListLabel 263"/>
    <w:qFormat/>
    <w:rPr>
      <w:rFonts w:cs="Courier New"/>
    </w:rPr>
  </w:style>
  <w:style w:type="character" w:styleId="ListLabel264">
    <w:name w:val="ListLabel 264"/>
    <w:qFormat/>
    <w:rPr>
      <w:rFonts w:ascii="Times New Roman" w:hAnsi="Times New Roman" w:eastAsia="Times New Roman" w:cs="Times New Roman"/>
    </w:rPr>
  </w:style>
  <w:style w:type="character" w:styleId="ListLabel265">
    <w:name w:val="ListLabel 265"/>
    <w:qFormat/>
    <w:rPr>
      <w:rFonts w:cs="Courier New"/>
    </w:rPr>
  </w:style>
  <w:style w:type="character" w:styleId="ListLabel266">
    <w:name w:val="ListLabel 266"/>
    <w:qFormat/>
    <w:rPr>
      <w:rFonts w:cs="Courier New"/>
    </w:rPr>
  </w:style>
  <w:style w:type="character" w:styleId="ListLabel267">
    <w:name w:val="ListLabel 267"/>
    <w:qFormat/>
    <w:rPr>
      <w:rFonts w:cs="Courier New"/>
    </w:rPr>
  </w:style>
  <w:style w:type="character" w:styleId="ListLabel268">
    <w:name w:val="ListLabel 268"/>
    <w:qFormat/>
    <w:rPr>
      <w:rFonts w:ascii="Times New Roman" w:hAnsi="Times New Roman" w:eastAsia="Times New Roman" w:cs="Times New Roman"/>
    </w:rPr>
  </w:style>
  <w:style w:type="character" w:styleId="ListLabel269">
    <w:name w:val="ListLabel 269"/>
    <w:qFormat/>
    <w:rPr>
      <w:rFonts w:cs="Courier New"/>
    </w:rPr>
  </w:style>
  <w:style w:type="character" w:styleId="ListLabel270">
    <w:name w:val="ListLabel 270"/>
    <w:qFormat/>
    <w:rPr>
      <w:rFonts w:cs="Courier New"/>
    </w:rPr>
  </w:style>
  <w:style w:type="character" w:styleId="ListLabel271">
    <w:name w:val="ListLabel 271"/>
    <w:qFormat/>
    <w:rPr>
      <w:rFonts w:cs="Courier New"/>
    </w:rPr>
  </w:style>
  <w:style w:type="character" w:styleId="ListLabel272">
    <w:name w:val="ListLabel 272"/>
    <w:qFormat/>
    <w:rPr>
      <w:rFonts w:ascii="Times New Roman" w:hAnsi="Times New Roman" w:eastAsia="Times New Roman" w:cs="Times New Roman"/>
    </w:rPr>
  </w:style>
  <w:style w:type="character" w:styleId="ListLabel273">
    <w:name w:val="ListLabel 273"/>
    <w:qFormat/>
    <w:rPr>
      <w:rFonts w:cs="Courier New"/>
    </w:rPr>
  </w:style>
  <w:style w:type="character" w:styleId="ListLabel274">
    <w:name w:val="ListLabel 274"/>
    <w:qFormat/>
    <w:rPr>
      <w:rFonts w:cs="Courier New"/>
    </w:rPr>
  </w:style>
  <w:style w:type="character" w:styleId="ListLabel275">
    <w:name w:val="ListLabel 275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Normal1" w:customStyle="1">
    <w:name w:val="LO-normal"/>
    <w:qFormat/>
    <w:rsid w:val="00d318e2"/>
    <w:pPr>
      <w:widowControl/>
      <w:bidi w:val="0"/>
      <w:jc w:val="left"/>
    </w:pPr>
    <w:rPr>
      <w:rFonts w:ascii="Calibri" w:hAnsi="Calibri" w:eastAsia="Calibri" w:cs="Calibri"/>
      <w:color w:val="auto"/>
      <w:sz w:val="20"/>
      <w:szCs w:val="20"/>
      <w:lang w:val="sk-SK" w:eastAsia="sk-SK" w:bidi="ar-SA"/>
    </w:rPr>
  </w:style>
  <w:style w:type="paragraph" w:styleId="Nzov">
    <w:name w:val="Title"/>
    <w:basedOn w:val="Normal1"/>
    <w:next w:val="Normal1"/>
    <w:qFormat/>
    <w:rsid w:val="00d318e2"/>
    <w:pPr>
      <w:keepNext/>
      <w:keepLines/>
      <w:spacing w:before="480" w:after="120"/>
    </w:pPr>
    <w:rPr>
      <w:b/>
      <w:sz w:val="72"/>
      <w:szCs w:val="72"/>
    </w:rPr>
  </w:style>
  <w:style w:type="paragraph" w:styleId="Podnzov">
    <w:name w:val="Subtitle"/>
    <w:basedOn w:val="Normal1"/>
    <w:next w:val="Normal1"/>
    <w:qFormat/>
    <w:rsid w:val="00d318e2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/>
    <w:rPr/>
  </w:style>
  <w:style w:type="paragraph" w:styleId="Nadpistabuky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d318e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Application>LibreOffice/5.2.2.2$Windows_X86_64 LibreOffice_project/8f96e87c890bf8fa77463cd4b640a2312823f3ad</Application>
  <Pages>11</Pages>
  <Words>3066</Words>
  <Characters>16632</Characters>
  <CharactersWithSpaces>19659</CharactersWithSpaces>
  <Paragraphs>726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2019-03-22T10:38:00Z</dcterms:created>
  <dc:creator>Fujitsu</dc:creator>
  <dc:description/>
  <dc:language>sk-SK</dc:language>
  <cp:lastModifiedBy/>
  <dcterms:modified xsi:type="dcterms:W3CDTF">2020-03-29T11:13:52Z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