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pBdr/>
        <w:spacing w:lineRule="auto" w:line="276" w:before="0" w:after="200"/>
        <w:jc w:val="center"/>
        <w:rPr/>
      </w:pPr>
      <w:r>
        <w:rPr>
          <w:rFonts w:cs="Times New Roman" w:ascii="Times New Roman" w:hAnsi="Times New Roman"/>
          <w:b/>
          <w:color w:val="000000"/>
          <w:sz w:val="36"/>
          <w:szCs w:val="36"/>
        </w:rPr>
        <w:t>Poznámky k 31.12.</w:t>
      </w:r>
      <w:r>
        <w:rPr>
          <w:rFonts w:cs="Times New Roman" w:ascii="Times New Roman" w:hAnsi="Times New Roman"/>
          <w:b/>
          <w:sz w:val="36"/>
          <w:szCs w:val="36"/>
        </w:rPr>
        <w:t>201</w:t>
      </w:r>
      <w:r>
        <w:rPr>
          <w:rFonts w:cs="Times New Roman" w:ascii="Times New Roman" w:hAnsi="Times New Roman"/>
          <w:b/>
          <w:sz w:val="36"/>
          <w:szCs w:val="36"/>
        </w:rPr>
        <w:t>9</w:t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I</w:t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Všeobecné údaje</w:t>
      </w:r>
    </w:p>
    <w:p>
      <w:pPr>
        <w:pStyle w:val="Normal1"/>
        <w:numPr>
          <w:ilvl w:val="0"/>
          <w:numId w:val="14"/>
        </w:numPr>
        <w:pBdr/>
        <w:spacing w:lineRule="auto" w:line="276" w:before="0" w:after="200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Style w:val="a"/>
        <w:tblW w:w="10260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Obec Poráč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00329509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01.07.1973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2019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Z.z. o účtovníctve v z.n.p., za účtovné obdobie od 1.1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2019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 – 31. decembra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2019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mimoriadna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áno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 xml:space="preserve">☐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áno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☒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nie</w:t>
            </w:r>
          </w:p>
        </w:tc>
      </w:tr>
    </w:tbl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14"/>
        </w:numPr>
        <w:pBdr/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Opis činnosti účtovnej jednotky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0"/>
        <w:tblW w:w="10260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14"/>
        </w:numPr>
        <w:pBdr/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1"/>
        <w:tblW w:w="10260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Štatutárny zástupca (meno a priezvisko)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Ing. Peter Volčko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starosta obce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1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7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6"/>
              </w:numPr>
              <w:pBdr/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6"/>
              </w:numPr>
              <w:pBdr/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6"/>
              </w:numPr>
              <w:pBdr/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6"/>
              </w:numPr>
              <w:pBdr/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Služby Obce Poráč, s.r.o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II</w:t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>
      <w:pPr>
        <w:pStyle w:val="Normal1"/>
        <w:numPr>
          <w:ilvl w:val="0"/>
          <w:numId w:val="15"/>
        </w:numPr>
        <w:pBdr/>
        <w:spacing w:before="0"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imes New Roman" w:ascii="Times New Roman" w:hAnsi="Times New Roman"/>
          <w:b/>
          <w:color w:val="000000"/>
          <w:sz w:val="22"/>
          <w:szCs w:val="22"/>
        </w:rPr>
        <w:t xml:space="preserve">                                                    </w:t>
        <w:tab/>
        <w:tab/>
        <w:t xml:space="preserve">        ☒  áno            ☐  nie</w:t>
      </w:r>
    </w:p>
    <w:p>
      <w:pPr>
        <w:pStyle w:val="Normal1"/>
        <w:numPr>
          <w:ilvl w:val="0"/>
          <w:numId w:val="15"/>
        </w:numPr>
        <w:pBdr/>
        <w:spacing w:before="0"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Zmeny účtovných metód a účtovných zásad </w:t>
      </w:r>
    </w:p>
    <w:p>
      <w:pPr>
        <w:pStyle w:val="Normal1"/>
        <w:pBdr/>
        <w:spacing w:before="0" w:after="200"/>
        <w:ind w:left="720" w:hanging="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color w:val="000000"/>
          <w:sz w:val="22"/>
          <w:szCs w:val="22"/>
        </w:rPr>
        <w:t xml:space="preserve"> ☐  áno            ☒  nie</w:t>
      </w:r>
    </w:p>
    <w:p>
      <w:pPr>
        <w:pStyle w:val="Normal1"/>
        <w:numPr>
          <w:ilvl w:val="0"/>
          <w:numId w:val="15"/>
        </w:numPr>
        <w:pBdr/>
        <w:spacing w:before="0"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Spôsob ocenenia jednotlivých položiek</w:t>
      </w:r>
    </w:p>
    <w:tbl>
      <w:tblPr>
        <w:tblStyle w:val="a2"/>
        <w:tblW w:w="10348" w:type="dxa"/>
        <w:jc w:val="left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6237"/>
        <w:gridCol w:w="4110"/>
      </w:tblGrid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menovitou hodnotou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menovitou hodnotou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náklady a príjmy budúcich období sa vykazujú vo vecnej a časovej súvislosti s účtovným obdobím 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menovitou hodnotou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výdavky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"/>
              </w:numPr>
              <w:pBdr/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obtarávacou cenou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Normal1"/>
        <w:numPr>
          <w:ilvl w:val="0"/>
          <w:numId w:val="15"/>
        </w:numPr>
        <w:pBdr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rFonts w:cs="Times New Roman"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>
      <w:pPr>
        <w:pStyle w:val="Normal1"/>
        <w:pBdr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2"/>
          <w:szCs w:val="22"/>
        </w:rPr>
        <w:t xml:space="preserve">☒  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odo </w:t>
      </w:r>
      <w:r>
        <w:rPr>
          <w:rFonts w:cs="Times New Roman" w:ascii="Times New Roman" w:hAnsi="Times New Roman"/>
          <w:color w:val="000000"/>
          <w:sz w:val="24"/>
          <w:szCs w:val="24"/>
        </w:rPr>
        <w:t>dňa jeho zaradenia do používania</w:t>
      </w:r>
    </w:p>
    <w:p>
      <w:pPr>
        <w:pStyle w:val="Normal1"/>
        <w:pBdr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2"/>
          <w:szCs w:val="22"/>
        </w:rPr>
        <w:t xml:space="preserve">☐  </w:t>
      </w:r>
      <w:r>
        <w:rPr>
          <w:rFonts w:cs="Times New Roman" w:ascii="Times New Roman" w:hAnsi="Times New Roman"/>
          <w:color w:val="000000"/>
          <w:sz w:val="24"/>
          <w:szCs w:val="24"/>
        </w:rPr>
        <w:t>prvým dňom mesiaca nasledujúceho po uvedení dlhodobého majetku do používania</w:t>
      </w:r>
    </w:p>
    <w:p>
      <w:pPr>
        <w:pStyle w:val="Normal1"/>
        <w:pBdr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>
      <w:pPr>
        <w:pStyle w:val="Normal1"/>
        <w:pBdr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rFonts w:cs="Times New Roman" w:ascii="Times New Roman" w:hAnsi="Times New Roman"/>
          <w:color w:val="FF0000"/>
          <w:sz w:val="24"/>
          <w:szCs w:val="24"/>
        </w:rPr>
        <w:t xml:space="preserve"> </w:t>
      </w:r>
    </w:p>
    <w:p>
      <w:pPr>
        <w:pStyle w:val="Normal1"/>
        <w:pBdr/>
        <w:spacing w:before="0"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</w:t>
      </w:r>
    </w:p>
    <w:p>
      <w:pPr>
        <w:pStyle w:val="Normal1"/>
        <w:pBdr/>
        <w:spacing w:before="0"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color w:val="000000"/>
          <w:sz w:val="24"/>
          <w:szCs w:val="24"/>
        </w:rPr>
        <w:t>Drobný nehmotný majetok od 1,- Eur do 2 400,- EUR, ktorý podľa rozhodnutia účtovnej jednotky nie je dlhodobým nehmotným majetkom sa účtuje pri obstaraní do nákladov na účet 518 - Ostatné služby.</w:t>
      </w:r>
    </w:p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Drobný hmotný majetok od 35,- Eur do 1 700,- EUR, ktorý podľa rozhodnutia účtovnej jednotky nie je dlhodobým hmotným majetkom sa účtuje do nákladov na účet 501-Spotreba materiálu a vedie sa na podsúvahových účtoch 7xx.</w:t>
      </w:r>
    </w:p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15"/>
        </w:numPr>
        <w:pBdr/>
        <w:spacing w:lineRule="auto" w:line="276" w:before="0" w:after="200"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Zásady pre zohľadnenie zníženia hodnoty majetku.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Prechodné zníženie hodnoty majetku sa vyjadruje 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>opravnou položkou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.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Účtovná jednotka  v roku 2019 netvorila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 xml:space="preserve"> opravné položky.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cs="Times New Roman" w:ascii="Times New Roman" w:hAnsi="Times New Roman"/>
          <w:color w:val="000000"/>
          <w:sz w:val="24"/>
          <w:szCs w:val="24"/>
          <w:u w:val="single"/>
        </w:rPr>
      </w:r>
    </w:p>
    <w:p>
      <w:pPr>
        <w:pStyle w:val="Normal1"/>
        <w:numPr>
          <w:ilvl w:val="0"/>
          <w:numId w:val="22"/>
        </w:numPr>
        <w:tabs>
          <w:tab w:val="left" w:pos="284" w:leader="none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Zásady pre vykazovanie transferov.</w:t>
      </w:r>
    </w:p>
    <w:p>
      <w:pPr>
        <w:pStyle w:val="Normal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1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Bežný transfer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prijatý od </w:t>
      </w:r>
      <w:r>
        <w:rPr>
          <w:rFonts w:cs="Times New Roman" w:ascii="Times New Roman" w:hAnsi="Times New Roman"/>
          <w:sz w:val="24"/>
          <w:szCs w:val="24"/>
          <w:u w:val="single"/>
        </w:rPr>
        <w:t>cudzích subjektov</w:t>
      </w:r>
      <w:r>
        <w:rPr>
          <w:rFonts w:cs="Times New Roman"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prijatý od </w:t>
      </w:r>
      <w:r>
        <w:rPr>
          <w:rFonts w:cs="Times New Roman" w:ascii="Times New Roman" w:hAnsi="Times New Roman"/>
          <w:sz w:val="24"/>
          <w:szCs w:val="24"/>
          <w:u w:val="single"/>
        </w:rPr>
        <w:t>zriaďovateľa</w:t>
      </w:r>
      <w:r>
        <w:rPr>
          <w:rFonts w:cs="Times New Roman"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poskytnutý </w:t>
      </w:r>
      <w:r>
        <w:rPr>
          <w:rFonts w:cs="Times New Roman" w:ascii="Times New Roman" w:hAnsi="Times New Roman"/>
          <w:sz w:val="24"/>
          <w:szCs w:val="24"/>
          <w:u w:val="single"/>
        </w:rPr>
        <w:t>cudzím subjektom</w:t>
      </w:r>
      <w:r>
        <w:rPr>
          <w:rFonts w:cs="Times New Roman" w:ascii="Times New Roman" w:hAnsi="Times New Roman"/>
          <w:sz w:val="24"/>
          <w:szCs w:val="24"/>
        </w:rPr>
        <w:t xml:space="preserve"> - sa  zúčtuje do nákladov po splnení podmienok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poskytnutý </w:t>
      </w:r>
      <w:r>
        <w:rPr>
          <w:rFonts w:cs="Times New Roman" w:ascii="Times New Roman" w:hAnsi="Times New Roman"/>
          <w:sz w:val="24"/>
          <w:szCs w:val="24"/>
          <w:u w:val="single"/>
        </w:rPr>
        <w:t>vlastným subjektom</w:t>
      </w:r>
      <w:r>
        <w:rPr>
          <w:rFonts w:cs="Times New Roman" w:ascii="Times New Roman" w:hAnsi="Times New Roman"/>
          <w:sz w:val="24"/>
          <w:szCs w:val="24"/>
        </w:rPr>
        <w:t xml:space="preserve"> - sa  zúčtuje do nákladov pri poskytnutí  transferu</w:t>
      </w:r>
    </w:p>
    <w:p>
      <w:pPr>
        <w:pStyle w:val="Normal1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Kapitálový transfer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prijatý od </w:t>
      </w:r>
      <w:r>
        <w:rPr>
          <w:rFonts w:cs="Times New Roman" w:ascii="Times New Roman" w:hAnsi="Times New Roman"/>
          <w:sz w:val="24"/>
          <w:szCs w:val="24"/>
          <w:u w:val="single"/>
        </w:rPr>
        <w:t>cudzích subjektov</w:t>
      </w:r>
      <w:r>
        <w:rPr>
          <w:rFonts w:cs="Times New Roman"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prijatý od </w:t>
      </w:r>
      <w:r>
        <w:rPr>
          <w:rFonts w:cs="Times New Roman" w:ascii="Times New Roman" w:hAnsi="Times New Roman"/>
          <w:sz w:val="24"/>
          <w:szCs w:val="24"/>
          <w:u w:val="single"/>
        </w:rPr>
        <w:t>zriaďovateľa</w:t>
      </w:r>
      <w:r>
        <w:rPr>
          <w:rFonts w:cs="Times New Roman"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poskytnutý </w:t>
      </w:r>
      <w:r>
        <w:rPr>
          <w:rFonts w:cs="Times New Roman" w:ascii="Times New Roman" w:hAnsi="Times New Roman"/>
          <w:sz w:val="24"/>
          <w:szCs w:val="24"/>
          <w:u w:val="single"/>
        </w:rPr>
        <w:t>cudzím subjektom</w:t>
      </w:r>
      <w:r>
        <w:rPr>
          <w:rFonts w:cs="Times New Roman" w:ascii="Times New Roman" w:hAnsi="Times New Roman"/>
          <w:sz w:val="24"/>
          <w:szCs w:val="24"/>
        </w:rPr>
        <w:t xml:space="preserve"> - sa  zúčtuje do nákladov po splnení podmienok. </w:t>
      </w:r>
    </w:p>
    <w:p>
      <w:pPr>
        <w:pStyle w:val="Normal1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poskytnutý </w:t>
      </w:r>
      <w:r>
        <w:rPr>
          <w:rFonts w:cs="Times New Roman" w:ascii="Times New Roman" w:hAnsi="Times New Roman"/>
          <w:sz w:val="24"/>
          <w:szCs w:val="24"/>
          <w:u w:val="single"/>
        </w:rPr>
        <w:t>vlastným subjektom</w:t>
      </w:r>
      <w:r>
        <w:rPr>
          <w:rFonts w:cs="Times New Roman" w:ascii="Times New Roman" w:hAnsi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1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1"/>
        <w:numPr>
          <w:ilvl w:val="0"/>
          <w:numId w:val="15"/>
        </w:numPr>
        <w:tabs>
          <w:tab w:val="left" w:pos="284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Spôsob prepočtu údajov v cudzích menách na menu euro.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III</w:t>
      </w:r>
    </w:p>
    <w:p>
      <w:pPr>
        <w:pStyle w:val="Normal1"/>
        <w:pBdr/>
        <w:spacing w:lineRule="auto" w:line="276" w:before="0" w:after="20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Informácie o údajoch na strane aktív súvahy</w:t>
      </w:r>
    </w:p>
    <w:p>
      <w:pPr>
        <w:pStyle w:val="Normal1"/>
        <w:pBdr/>
        <w:spacing w:lineRule="auto" w:line="276" w:before="0" w:after="200"/>
        <w:ind w:left="425" w:hanging="425"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pBdr/>
        <w:ind w:left="425" w:hanging="425"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A Neobežný majetok</w:t>
      </w:r>
    </w:p>
    <w:p>
      <w:pPr>
        <w:pStyle w:val="Normal1"/>
        <w:numPr>
          <w:ilvl w:val="0"/>
          <w:numId w:val="2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>
      <w:pPr>
        <w:pStyle w:val="Normal1"/>
        <w:numPr>
          <w:ilvl w:val="0"/>
          <w:numId w:val="3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prehľad o pohybe dlhodobého majetku 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Obec v roku 2019 zaradila do užívania dlhodobý majetok :</w:t>
      </w:r>
    </w:p>
    <w:p>
      <w:pPr>
        <w:pStyle w:val="Normal1"/>
        <w:numPr>
          <w:ilvl w:val="0"/>
          <w:numId w:val="0"/>
        </w:numPr>
        <w:pBdr/>
        <w:ind w:left="72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1"/>
        <w:widowControl/>
        <w:numPr>
          <w:ilvl w:val="0"/>
          <w:numId w:val="0"/>
        </w:numPr>
        <w:pBdr/>
        <w:bidi w:val="0"/>
        <w:ind w:left="947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1"/>
        <w:pBdr/>
        <w:ind w:left="360" w:hanging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A</w:t>
      </w:r>
      <w:r>
        <w:rPr>
          <w:rFonts w:cs="Times New Roman" w:ascii="Times New Roman" w:hAnsi="Times New Roman"/>
          <w:b/>
          <w:sz w:val="24"/>
          <w:szCs w:val="24"/>
        </w:rPr>
        <w:t>. Dopravné prostriedky v sume</w:t>
        <w:tab/>
        <w:tab/>
        <w:tab/>
        <w:tab/>
        <w:t xml:space="preserve"> 59 200,00</w:t>
        <w:tab/>
        <w:t>EUR</w:t>
      </w:r>
    </w:p>
    <w:p>
      <w:pPr>
        <w:pStyle w:val="Normal1"/>
        <w:numPr>
          <w:ilvl w:val="0"/>
          <w:numId w:val="24"/>
        </w:numPr>
        <w:pBdr/>
        <w:jc w:val="both"/>
        <w:rPr/>
      </w:pPr>
      <w:r>
        <w:rPr>
          <w:rFonts w:cs="Times New Roman" w:ascii="Times New Roman" w:hAnsi="Times New Roman"/>
          <w:sz w:val="24"/>
          <w:szCs w:val="24"/>
        </w:rPr>
        <w:t>osobný automobil</w:t>
      </w: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ab/>
        <w:tab/>
        <w:t xml:space="preserve"> 59 200,00</w:t>
        <w:tab/>
        <w:t>EUR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3"/>
        </w:numPr>
        <w:pBdr/>
        <w:spacing w:lineRule="auto" w:line="276" w:before="0" w:after="200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spôsob a výška poistenia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065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395"/>
        <w:gridCol w:w="5669"/>
      </w:tblGrid>
      <w:tr>
        <w:trPr/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Výška poistenia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</w:rPr>
              <w:t xml:space="preserve">Poistenie </w:t>
            </w:r>
            <w:r>
              <w:rPr>
                <w:rFonts w:cs="Times New Roman" w:ascii="Times New Roman" w:hAnsi="Times New Roman"/>
              </w:rPr>
              <w:t xml:space="preserve">– </w:t>
            </w:r>
            <w:r>
              <w:rPr>
                <w:rFonts w:cs="Times New Roman" w:ascii="Times New Roman" w:hAnsi="Times New Roman"/>
              </w:rPr>
              <w:t>úrazové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104,17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Poistenie dopravných prostriedkov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1 048,19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</w:rPr>
              <w:t xml:space="preserve">Poistenie </w:t>
            </w:r>
            <w:r>
              <w:rPr>
                <w:rFonts w:cs="Times New Roman" w:ascii="Times New Roman" w:hAnsi="Times New Roman"/>
              </w:rPr>
              <w:t>budov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1 172,59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3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zriadenie záložného práva </w:t>
      </w:r>
      <w:r>
        <w:rPr>
          <w:rFonts w:cs="Times New Roman" w:ascii="Times New Roman" w:hAnsi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3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a5"/>
        <w:tblW w:w="9889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361"/>
        <w:gridCol w:w="2835"/>
        <w:gridCol w:w="2693"/>
      </w:tblGrid>
      <w:tr>
        <w:trPr/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Majetok,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ku ktorému</w:t>
            </w:r>
            <w:r>
              <w:rPr>
                <w:rFonts w:cs="Times New Roman" w:ascii="Times New Roman" w:hAnsi="Times New Roman"/>
                <w:b/>
                <w:color w:val="000000"/>
              </w:rPr>
              <w:t xml:space="preserve"> má</w:t>
            </w:r>
            <w:r>
              <w:rPr>
                <w:rFonts w:cs="Times New Roman" w:ascii="Times New Roman" w:hAnsi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Suma  k 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8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Suma k 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9</w:t>
            </w:r>
          </w:p>
        </w:tc>
      </w:tr>
      <w:tr>
        <w:trPr/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/>
              <w:t>Softvér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/>
              <w:t>0,00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/>
              <w:t>8 144,00</w:t>
            </w:r>
          </w:p>
        </w:tc>
      </w:tr>
      <w:tr>
        <w:trPr/>
        <w:tc>
          <w:tcPr>
            <w:tcW w:w="436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Pozemky</w:t>
            </w:r>
          </w:p>
        </w:tc>
        <w:tc>
          <w:tcPr>
            <w:tcW w:w="283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92 487,58</w:t>
            </w:r>
          </w:p>
        </w:tc>
        <w:tc>
          <w:tcPr>
            <w:tcW w:w="269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76 562,68</w:t>
            </w:r>
          </w:p>
        </w:tc>
      </w:tr>
      <w:tr>
        <w:trPr/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Budovy, stavby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2 654 613,94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2 654 613,94</w:t>
            </w:r>
          </w:p>
        </w:tc>
      </w:tr>
      <w:tr>
        <w:trPr/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90 699,84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90 699,84</w:t>
            </w:r>
          </w:p>
        </w:tc>
      </w:tr>
      <w:tr>
        <w:trPr/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106 281,89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71 690,00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numPr>
          <w:ilvl w:val="0"/>
          <w:numId w:val="3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opis a hodnota majetku</w:t>
      </w:r>
      <w:r>
        <w:rPr>
          <w:rFonts w:cs="Times New Roman" w:ascii="Times New Roman" w:hAnsi="Times New Roman"/>
          <w:color w:val="000000"/>
          <w:sz w:val="24"/>
          <w:szCs w:val="24"/>
        </w:rPr>
        <w:t>, ku ktorému účtovná jednotka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 nemá vlastnícke právo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6"/>
        <w:tblW w:w="10206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rFonts w:cs="Times New Roman" w:ascii="Times New Roman" w:hAnsi="Times New Roman"/>
                <w:b/>
                <w:color w:val="000000"/>
              </w:rPr>
              <w:t xml:space="preserve">Majetok,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ku ktorému </w:t>
            </w:r>
            <w:r>
              <w:rPr>
                <w:rFonts w:cs="Times New Roman" w:ascii="Times New Roman" w:hAnsi="Times New Roman"/>
                <w:b/>
                <w:color w:val="000000"/>
              </w:rPr>
              <w:t>nemá</w:t>
            </w:r>
            <w:r>
              <w:rPr>
                <w:rFonts w:cs="Times New Roman" w:ascii="Times New Roman" w:hAnsi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Suma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Majetok, ktorý využíva účtovná jednotka na základe zmluvy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color w:val="000000"/>
              </w:rPr>
              <w:t>o výpožičke</w:t>
            </w:r>
            <w:r>
              <w:rPr>
                <w:rFonts w:cs="Times New Roman" w:ascii="Times New Roman" w:hAnsi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114 813,60 €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3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opis 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opravných položiek </w:t>
      </w:r>
      <w:r>
        <w:rPr>
          <w:rFonts w:cs="Times New Roman" w:ascii="Times New Roman" w:hAnsi="Times New Roman"/>
          <w:color w:val="000000"/>
          <w:sz w:val="24"/>
          <w:szCs w:val="24"/>
        </w:rPr>
        <w:t>k dlhodobému nehmotnému majetku a dlhodobému hmotnému majetku.</w:t>
      </w:r>
    </w:p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7"/>
        <w:tblW w:w="10206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ČOV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47 783,05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Dlhodobo nedokončený a neužívaní hmotný majetok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Kanalizácia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43 632,80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Dlhodobo nedokončený a neužívaný hmotný majetok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2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Dlhodobý finančný majetok </w:t>
      </w:r>
    </w:p>
    <w:p>
      <w:pPr>
        <w:pStyle w:val="Normal1"/>
        <w:numPr>
          <w:ilvl w:val="0"/>
          <w:numId w:val="4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prehľad o pohybe dlhodobého finančného majetku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Obec nemá náplň pre danú položku.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2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Majetkové podiely účtovnej jednotky v iných spoločnostiach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 xml:space="preserve">    EUR.</w:t>
      </w:r>
    </w:p>
    <w:tbl>
      <w:tblPr>
        <w:tblStyle w:val="a8"/>
        <w:tblW w:w="10318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86"/>
        <w:gridCol w:w="685"/>
        <w:gridCol w:w="1190"/>
        <w:gridCol w:w="1135"/>
        <w:gridCol w:w="1072"/>
        <w:gridCol w:w="1253"/>
        <w:gridCol w:w="1190"/>
        <w:gridCol w:w="1071"/>
        <w:gridCol w:w="1136"/>
      </w:tblGrid>
      <w:tr>
        <w:trPr/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 xml:space="preserve">Základné imanie (ZI) spoločnosti v peňažných jednotkách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Podiel ÚJ</w:t>
            </w:r>
          </w:p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na základnom imaní (ZI) spoločnosti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 xml:space="preserve">Podiel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ÚJ na hlasovacích právach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 xml:space="preserve">Hodnota vlastného imania spoločnosti </w:t>
            </w:r>
          </w:p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k 31.12.201</w:t>
            </w: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Hodnota vlastného imania</w:t>
            </w:r>
          </w:p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spoločnosti</w:t>
            </w:r>
          </w:p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k 31.12.</w:t>
            </w:r>
            <w:r>
              <w:rPr>
                <w:rFonts w:cs="Times New Roman" w:ascii="Times New Roman" w:hAnsi="Times New Roman"/>
                <w:sz w:val="16"/>
                <w:szCs w:val="16"/>
              </w:rPr>
              <w:t>201</w:t>
            </w:r>
            <w:r>
              <w:rPr>
                <w:rFonts w:cs="Times New Roman" w:ascii="Times New Roman" w:hAnsi="Times New Roman"/>
                <w:sz w:val="16"/>
                <w:szCs w:val="16"/>
              </w:rPr>
              <w:t>9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Účtovná hodnota vykázaná v súvahe k </w:t>
            </w:r>
          </w:p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31.12.20</w:t>
            </w: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Účtovná hodnota vykázaná v súvahe k </w:t>
            </w:r>
          </w:p>
          <w:p>
            <w:pPr>
              <w:pStyle w:val="Normal1"/>
              <w:pBdr/>
              <w:jc w:val="center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31.12.</w:t>
            </w:r>
            <w:r>
              <w:rPr>
                <w:rFonts w:cs="Times New Roman" w:ascii="Times New Roman" w:hAnsi="Times New Roman"/>
                <w:sz w:val="16"/>
                <w:szCs w:val="16"/>
              </w:rPr>
              <w:t>201</w:t>
            </w:r>
            <w:r>
              <w:rPr>
                <w:rFonts w:cs="Times New Roman" w:ascii="Times New Roman" w:hAnsi="Times New Roman"/>
                <w:sz w:val="16"/>
                <w:szCs w:val="16"/>
              </w:rPr>
              <w:t>9</w:t>
            </w:r>
          </w:p>
        </w:tc>
      </w:tr>
      <w:tr>
        <w:trPr/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 xml:space="preserve">Služby Obce Poráč 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6970,72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  <w:t>6 970,72</w:t>
            </w:r>
          </w:p>
        </w:tc>
      </w:tr>
      <w:tr>
        <w:trPr/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color w:val="000000"/>
                <w:sz w:val="16"/>
                <w:szCs w:val="16"/>
              </w:rPr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16"/>
                <w:szCs w:val="16"/>
              </w:rPr>
              <w:t>6 970,72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2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6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9"/>
        <w:tblW w:w="10260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99"/>
      </w:tblGrid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Mena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Účtovná hodnota vykázaná v súvahe účtovnej jednotky </w:t>
            </w:r>
          </w:p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color w:val="000000"/>
              </w:rPr>
              <w:t>k 31.12.201</w:t>
            </w:r>
            <w:r>
              <w:rPr>
                <w:rFonts w:cs="Times New Roman" w:ascii="Times New Roman" w:hAnsi="Times New Roman"/>
                <w:color w:val="000000"/>
              </w:rPr>
              <w:t>8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Účtovná hodnota vykázaná v súvahe účtovnej jednotky </w:t>
            </w:r>
          </w:p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color w:val="000000"/>
              </w:rPr>
              <w:t>k 31.12.</w:t>
            </w:r>
            <w:r>
              <w:rPr>
                <w:rFonts w:cs="Times New Roman" w:ascii="Times New Roman" w:hAnsi="Times New Roman"/>
              </w:rPr>
              <w:t>201</w:t>
            </w:r>
            <w:r>
              <w:rPr>
                <w:rFonts w:cs="Times New Roman" w:ascii="Times New Roman" w:hAnsi="Times New Roman"/>
              </w:rPr>
              <w:t>9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Podtatranská vodárenská spoločnosť, a.s.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kmeňová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0,28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151 147,26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151 147,26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5"/>
        </w:numPr>
        <w:pBdr/>
        <w:spacing w:lineRule="auto" w:line="360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Pohľadávky</w:t>
      </w:r>
    </w:p>
    <w:p>
      <w:pPr>
        <w:pStyle w:val="Normal1"/>
        <w:numPr>
          <w:ilvl w:val="0"/>
          <w:numId w:val="7"/>
        </w:numPr>
        <w:pBdr/>
        <w:spacing w:lineRule="auto" w:line="360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opis významných pohľadávok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Style w:val="aa"/>
        <w:tblW w:w="10135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897"/>
        <w:gridCol w:w="1135"/>
        <w:gridCol w:w="2268"/>
        <w:gridCol w:w="2834"/>
      </w:tblGrid>
      <w:tr>
        <w:trPr/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Pohľadávky</w:t>
            </w:r>
          </w:p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8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Pohľadávky</w:t>
            </w:r>
          </w:p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9</w:t>
            </w:r>
          </w:p>
        </w:tc>
      </w:tr>
      <w:tr>
        <w:trPr/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Pohľadávky z nedaňových príjmov obcí</w:t>
            </w:r>
          </w:p>
          <w:p>
            <w:pPr>
              <w:pStyle w:val="Normal1"/>
              <w:numPr>
                <w:ilvl w:val="0"/>
                <w:numId w:val="26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voda</w:t>
            </w:r>
          </w:p>
          <w:p>
            <w:pPr>
              <w:pStyle w:val="Normal1"/>
              <w:numPr>
                <w:ilvl w:val="0"/>
                <w:numId w:val="26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TKO</w:t>
            </w:r>
          </w:p>
          <w:p>
            <w:pPr>
              <w:pStyle w:val="Normal1"/>
              <w:numPr>
                <w:ilvl w:val="0"/>
                <w:numId w:val="26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Popolček-SABAR</w:t>
            </w:r>
          </w:p>
          <w:p>
            <w:pPr>
              <w:pStyle w:val="Normal1"/>
              <w:numPr>
                <w:ilvl w:val="0"/>
                <w:numId w:val="26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Nájomné-TUTTO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12 083,34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9 577,60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652,00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1 112,89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746,85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12 011,27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9 558,05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634,20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1 441,32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497,90</w:t>
            </w:r>
          </w:p>
        </w:tc>
      </w:tr>
      <w:tr>
        <w:trPr/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Pohľadávky z daňových príjmov obcí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2 073,05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3 839,99</w:t>
            </w:r>
          </w:p>
        </w:tc>
      </w:tr>
      <w:tr>
        <w:trPr/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Spolu 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14 156,39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15 851,26</w:t>
            </w:r>
          </w:p>
        </w:tc>
      </w:tr>
    </w:tbl>
    <w:p>
      <w:pPr>
        <w:pStyle w:val="Normal1"/>
        <w:pBdr/>
        <w:spacing w:lineRule="auto" w:line="276" w:before="0" w:after="2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7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pohľadávky podľa 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doby splatnosti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(riadky 048 a 060 súvahy) </w:t>
      </w:r>
    </w:p>
    <w:p>
      <w:pPr>
        <w:pStyle w:val="Normal1"/>
        <w:numPr>
          <w:ilvl w:val="0"/>
          <w:numId w:val="16"/>
        </w:numPr>
        <w:pBdr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pohľadávky do jedného roka</w:t>
        <w:tab/>
        <w:tab/>
        <w:t xml:space="preserve"> </w:t>
      </w:r>
      <w:r>
        <w:rPr>
          <w:rFonts w:cs="Times New Roman" w:ascii="Times New Roman" w:hAnsi="Times New Roman"/>
          <w:b w:val="false"/>
          <w:i w:val="false"/>
          <w:caps w:val="false"/>
          <w:smallCaps w:val="false"/>
          <w:color w:val="555555"/>
          <w:spacing w:val="0"/>
          <w:sz w:val="24"/>
          <w:szCs w:val="24"/>
        </w:rPr>
        <w:t>15 851,26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ab/>
        <w:t>eur</w:t>
      </w:r>
    </w:p>
    <w:p>
      <w:pPr>
        <w:pStyle w:val="Normal1"/>
        <w:numPr>
          <w:ilvl w:val="0"/>
          <w:numId w:val="0"/>
        </w:numPr>
        <w:pBdr/>
        <w:ind w:left="678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/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</w:p>
    <w:p>
      <w:pPr>
        <w:pStyle w:val="Normal1"/>
        <w:numPr>
          <w:ilvl w:val="0"/>
          <w:numId w:val="5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Finančný majetok </w:t>
      </w:r>
    </w:p>
    <w:p>
      <w:pPr>
        <w:pStyle w:val="Normal1"/>
        <w:numPr>
          <w:ilvl w:val="0"/>
          <w:numId w:val="8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opis významných zložiek 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krátkodobého finančného majetku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</w:p>
    <w:p>
      <w:pPr>
        <w:pStyle w:val="Normal1"/>
        <w:pBdr/>
        <w:ind w:left="10080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b"/>
        <w:tblW w:w="10348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961"/>
        <w:gridCol w:w="2693"/>
        <w:gridCol w:w="2694"/>
      </w:tblGrid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Zostatok k 31.12.2018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Zostatok k 31.12.</w:t>
            </w:r>
            <w:r>
              <w:rPr>
                <w:rFonts w:cs="Times New Roman" w:ascii="Times New Roman" w:hAnsi="Times New Roman"/>
                <w:b/>
              </w:rPr>
              <w:t>201</w:t>
            </w:r>
            <w:r>
              <w:rPr>
                <w:rFonts w:cs="Times New Roman" w:ascii="Times New Roman" w:hAnsi="Times New Roman"/>
                <w:b/>
              </w:rPr>
              <w:t>9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328,77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930,36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Ceniny</w:t>
            </w:r>
          </w:p>
          <w:p>
            <w:pPr>
              <w:pStyle w:val="Normal1"/>
              <w:numPr>
                <w:ilvl w:val="0"/>
                <w:numId w:val="27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stravné lístky</w:t>
            </w:r>
          </w:p>
          <w:p>
            <w:pPr>
              <w:pStyle w:val="Normal1"/>
              <w:numPr>
                <w:ilvl w:val="0"/>
                <w:numId w:val="27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poštové 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203,10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201,60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1,50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712,60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700,00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12,60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Bankové účty</w:t>
            </w:r>
          </w:p>
          <w:p>
            <w:pPr>
              <w:pStyle w:val="Normal1"/>
              <w:numPr>
                <w:ilvl w:val="0"/>
                <w:numId w:val="28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bežný účet</w:t>
            </w:r>
          </w:p>
          <w:p>
            <w:pPr>
              <w:pStyle w:val="Normal1"/>
              <w:numPr>
                <w:ilvl w:val="0"/>
                <w:numId w:val="28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rezervný fond-analyticky</w:t>
            </w:r>
          </w:p>
          <w:p>
            <w:pPr>
              <w:pStyle w:val="Normal1"/>
              <w:numPr>
                <w:ilvl w:val="0"/>
                <w:numId w:val="28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účet SF-analyticky</w:t>
            </w:r>
          </w:p>
          <w:p>
            <w:pPr>
              <w:pStyle w:val="Normal1"/>
              <w:numPr>
                <w:ilvl w:val="0"/>
                <w:numId w:val="28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 </w:t>
            </w:r>
            <w:r>
              <w:rPr>
                <w:rFonts w:cs="Times New Roman" w:ascii="Times New Roman" w:hAnsi="Times New Roman"/>
                <w:color w:val="000000"/>
              </w:rPr>
              <w:t>účet ZŠ+MŠ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4 223,40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3 931,82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228,26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63,32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48 720,30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9 176,21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4 260,59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185,11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95,34</w:t>
            </w:r>
          </w:p>
        </w:tc>
      </w:tr>
    </w:tbl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5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Časové rozlíšenie 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Významné položky časového rozlíšenia 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nákladov budúcich období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a 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príjmov budúcich období.</w:t>
      </w:r>
    </w:p>
    <w:p>
      <w:pPr>
        <w:pStyle w:val="Normal1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Na účte výnosy budúcich období je účtované rozpúšťanie dotácií v časovej súvislosti. 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  <w:tab/>
        <w:tab/>
        <w:tab/>
        <w:t xml:space="preserve">                                                  </w:t>
        <w:tab/>
        <w:tab/>
        <w:tab/>
        <w:t xml:space="preserve">                                           </w:t>
      </w:r>
      <w:r>
        <w:rPr>
          <w:rFonts w:cs="Times New Roman" w:ascii="Times New Roman" w:hAnsi="Times New Roman"/>
          <w:sz w:val="24"/>
          <w:szCs w:val="24"/>
        </w:rPr>
        <w:t>v eur</w:t>
      </w:r>
    </w:p>
    <w:tbl>
      <w:tblPr>
        <w:tblW w:w="10146" w:type="dxa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108" w:type="dxa"/>
        </w:tblCellMar>
        <w:tblLook w:val="0000"/>
      </w:tblPr>
      <w:tblGrid>
        <w:gridCol w:w="3330"/>
        <w:gridCol w:w="3403"/>
        <w:gridCol w:w="3413"/>
      </w:tblGrid>
      <w:tr>
        <w:trPr/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</w:rPr>
              <w:t>Stav k 31.12.201</w:t>
            </w:r>
            <w:r>
              <w:rPr>
                <w:rFonts w:cs="Times New Roman" w:ascii="Times New Roman" w:hAnsi="Times New Roman"/>
                <w:b/>
              </w:rPr>
              <w:t>8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</w:rPr>
              <w:t>Stav k 31.12. 201</w:t>
            </w:r>
            <w:r>
              <w:rPr>
                <w:rFonts w:cs="Times New Roman" w:ascii="Times New Roman" w:hAnsi="Times New Roman"/>
                <w:b/>
              </w:rPr>
              <w:t>9</w:t>
            </w:r>
          </w:p>
        </w:tc>
      </w:tr>
      <w:tr>
        <w:trPr>
          <w:trHeight w:val="1477" w:hRule="atLeast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Výnosy budúcich období </w:t>
            </w:r>
          </w:p>
          <w:p>
            <w:pPr>
              <w:pStyle w:val="Normal1"/>
              <w:pBdr/>
              <w:rPr/>
            </w:pPr>
            <w:r>
              <w:rPr>
                <w:rFonts w:cs="Times New Roman" w:ascii="Times New Roman" w:hAnsi="Times New Roman"/>
              </w:rPr>
              <w:t>V roku 201</w:t>
            </w:r>
            <w:r>
              <w:rPr>
                <w:rFonts w:cs="Times New Roman" w:ascii="Times New Roman" w:hAnsi="Times New Roman"/>
              </w:rPr>
              <w:t>9</w:t>
            </w:r>
            <w:r>
              <w:rPr>
                <w:rFonts w:cs="Times New Roman" w:ascii="Times New Roman" w:hAnsi="Times New Roman"/>
              </w:rPr>
              <w:t xml:space="preserve"> boli </w:t>
            </w:r>
            <w:r>
              <w:rPr>
                <w:rFonts w:cs="Times New Roman" w:ascii="Times New Roman" w:hAnsi="Times New Roman"/>
              </w:rPr>
              <w:t>zaradené</w:t>
            </w:r>
            <w:r>
              <w:rPr>
                <w:rFonts w:cs="Times New Roman" w:ascii="Times New Roman" w:hAnsi="Times New Roman"/>
              </w:rPr>
              <w:t xml:space="preserve"> dotácie:</w:t>
            </w:r>
          </w:p>
          <w:p>
            <w:pPr>
              <w:pStyle w:val="Normal1"/>
              <w:numPr>
                <w:ilvl w:val="0"/>
                <w:numId w:val="30"/>
              </w:numPr>
              <w:pBdr/>
              <w:rPr/>
            </w:pPr>
            <w:r>
              <w:rPr>
                <w:rFonts w:cs="Times New Roman" w:ascii="Times New Roman" w:hAnsi="Times New Roman"/>
              </w:rPr>
              <w:t> </w:t>
            </w:r>
            <w:r>
              <w:rPr>
                <w:rFonts w:cs="Times New Roman" w:ascii="Times New Roman" w:hAnsi="Times New Roman"/>
              </w:rPr>
              <w:t>rekonštrukcia komunikácie</w:t>
            </w:r>
          </w:p>
          <w:p>
            <w:pPr>
              <w:pStyle w:val="Normal1"/>
              <w:numPr>
                <w:ilvl w:val="0"/>
                <w:numId w:val="30"/>
              </w:numPr>
              <w:pBdr/>
              <w:rPr/>
            </w:pPr>
            <w:r>
              <w:rPr>
                <w:rFonts w:cs="Times New Roman" w:ascii="Times New Roman" w:hAnsi="Times New Roman"/>
              </w:rPr>
              <w:t> </w:t>
            </w:r>
            <w:r>
              <w:rPr>
                <w:rFonts w:cs="Times New Roman" w:ascii="Times New Roman" w:hAnsi="Times New Roman"/>
              </w:rPr>
              <w:t>baníci na konci sveta</w:t>
            </w:r>
          </w:p>
          <w:p>
            <w:pPr>
              <w:pStyle w:val="Normal1"/>
              <w:numPr>
                <w:ilvl w:val="0"/>
                <w:numId w:val="30"/>
              </w:numPr>
              <w:pBdr/>
              <w:rPr/>
            </w:pPr>
            <w:r>
              <w:rPr>
                <w:rFonts w:cs="Times New Roman" w:ascii="Times New Roman" w:hAnsi="Times New Roman"/>
              </w:rPr>
              <w:t>kanalizácia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1 370 230,03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</w:rPr>
            </w:pPr>
            <w:r>
              <w:rPr/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1 530 013,70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</w:rPr>
            </w:pPr>
            <w:r>
              <w:rPr/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100 000,00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8 400,00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65 000,00</w:t>
            </w:r>
          </w:p>
        </w:tc>
      </w:tr>
      <w:tr>
        <w:trPr>
          <w:trHeight w:val="360" w:hRule="atLeast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Náklady budúcich období</w:t>
            </w:r>
          </w:p>
          <w:p>
            <w:pPr>
              <w:pStyle w:val="Normal1"/>
              <w:numPr>
                <w:ilvl w:val="0"/>
                <w:numId w:val="29"/>
              </w:numPr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 </w:t>
            </w:r>
            <w:r>
              <w:rPr>
                <w:rFonts w:cs="Times New Roman" w:ascii="Times New Roman" w:hAnsi="Times New Roman"/>
              </w:rPr>
              <w:t>poistné</w:t>
            </w:r>
          </w:p>
          <w:p>
            <w:pPr>
              <w:pStyle w:val="Normal1"/>
              <w:numPr>
                <w:ilvl w:val="0"/>
                <w:numId w:val="29"/>
              </w:numPr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1 027,77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868,45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159,32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318,15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250,88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67,27</w:t>
            </w:r>
          </w:p>
        </w:tc>
      </w:tr>
    </w:tbl>
    <w:p>
      <w:pPr>
        <w:pStyle w:val="Normal1"/>
        <w:pBdr/>
        <w:ind w:left="426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IV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Informácie o údajoch na strane pasív súvahy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A  Vlastné imanie </w:t>
      </w:r>
      <w:r>
        <w:rPr>
          <w:rFonts w:cs="Times New Roman" w:ascii="Times New Roman" w:hAnsi="Times New Roman"/>
          <w:color w:val="000000"/>
          <w:sz w:val="24"/>
          <w:szCs w:val="24"/>
        </w:rPr>
        <w:t>- tabuľka č.5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ind w:left="426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Prehľad o pohybe vlastného imania v priebehu účtovného obdobia je uvedený v nasledujúcej tabuľke:</w:t>
      </w:r>
    </w:p>
    <w:p>
      <w:pPr>
        <w:pStyle w:val="Normal1"/>
        <w:pBdr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ab/>
        <w:tab/>
        <w:tab/>
        <w:tab/>
        <w:tab/>
        <w:tab/>
      </w:r>
    </w:p>
    <w:tbl>
      <w:tblPr>
        <w:tblStyle w:val="a9"/>
        <w:tblW w:w="8927" w:type="dxa"/>
        <w:jc w:val="left"/>
        <w:tblInd w:w="3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108" w:type="dxa"/>
        </w:tblCellMar>
        <w:tblLook w:val="0000"/>
      </w:tblPr>
      <w:tblGrid>
        <w:gridCol w:w="2620"/>
        <w:gridCol w:w="1844"/>
        <w:gridCol w:w="1276"/>
        <w:gridCol w:w="1134"/>
        <w:gridCol w:w="2053"/>
      </w:tblGrid>
      <w:tr>
        <w:trPr/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Stav k 1. 1. 2018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Zvýšenie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Zníženie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Stav k 31. 12. 201</w:t>
            </w: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9</w:t>
            </w:r>
          </w:p>
        </w:tc>
      </w:tr>
      <w:tr>
        <w:trPr/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  <w:p>
            <w:pPr>
              <w:pStyle w:val="Normal1"/>
              <w:pBdr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1 313 453,47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  <w:p>
            <w:pPr>
              <w:pStyle w:val="Normal1"/>
              <w:pBdr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13 841,93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</w:rPr>
            </w:pPr>
            <w:r>
              <w:rPr>
                <w:color w:val="000000"/>
                <w:sz w:val="22"/>
                <w:szCs w:val="22"/>
              </w:rPr>
            </w:r>
          </w:p>
          <w:p>
            <w:pPr>
              <w:pStyle w:val="Normal1"/>
              <w:pBdr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  <w:p>
            <w:pPr>
              <w:pStyle w:val="Normal1"/>
              <w:pBdr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2"/>
                <w:szCs w:val="22"/>
              </w:rPr>
              <w:t>1 327 294,40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 </w:t>
            </w:r>
          </w:p>
        </w:tc>
      </w:tr>
      <w:tr>
        <w:trPr/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ind w:left="678" w:hanging="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-2 657,86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34 588,70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ind w:left="678" w:hanging="0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2"/>
                <w:szCs w:val="22"/>
              </w:rPr>
              <w:t>31 930,84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 </w:t>
            </w:r>
          </w:p>
        </w:tc>
      </w:tr>
    </w:tbl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B  Záväzky</w:t>
      </w:r>
    </w:p>
    <w:p>
      <w:pPr>
        <w:pStyle w:val="Normal1"/>
        <w:numPr>
          <w:ilvl w:val="0"/>
          <w:numId w:val="10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Rezervy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- tabuľka č.6-7 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Predpokladaný rok použitia rezerv a opis významných položiek rezerv</w:t>
      </w:r>
    </w:p>
    <w:p>
      <w:pPr>
        <w:pStyle w:val="Normal1"/>
        <w:pBdr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e"/>
        <w:tblW w:w="10206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499"/>
        <w:gridCol w:w="5706"/>
      </w:tblGrid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Predpokladaný rok použitia </w:t>
            </w:r>
          </w:p>
        </w:tc>
      </w:tr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Rezerva na nevyfakturované inv.dodávky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</w:tbl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10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Záväzky podľa doby splatnosti </w:t>
      </w:r>
    </w:p>
    <w:p>
      <w:pPr>
        <w:pStyle w:val="Normal1"/>
        <w:numPr>
          <w:ilvl w:val="0"/>
          <w:numId w:val="12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záväzky podľa 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doby splatnosti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(riadky 140 a 151 súvahy) </w:t>
      </w:r>
    </w:p>
    <w:p>
      <w:pPr>
        <w:pStyle w:val="Normal1"/>
        <w:pBdr/>
        <w:ind w:left="284" w:hanging="0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- záväzky v lehote splatnosti /do 1 roka/</w:t>
        <w:tab/>
        <w:t xml:space="preserve"> -</w:t>
        <w:tab/>
      </w:r>
      <w:r>
        <w:rPr>
          <w:rFonts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11 637,28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ab/>
        <w:t>EUR</w:t>
      </w:r>
    </w:p>
    <w:p>
      <w:pPr>
        <w:pStyle w:val="Normal1"/>
        <w:pBdr/>
        <w:ind w:left="284" w:hanging="0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- záväzky zo soc. fondu /od 1 do 5 rokov/</w:t>
        <w:tab/>
        <w:t xml:space="preserve"> -</w:t>
        <w:tab/>
        <w:t xml:space="preserve">     </w:t>
      </w:r>
      <w:r>
        <w:rPr>
          <w:rFonts w:cs="Times New Roman" w:ascii="Times New Roman" w:hAnsi="Times New Roman"/>
          <w:color w:val="000000"/>
          <w:sz w:val="24"/>
          <w:szCs w:val="24"/>
        </w:rPr>
        <w:t>185,11</w:t>
      </w:r>
      <w:r>
        <w:rPr>
          <w:rFonts w:cs="Times New Roman" w:ascii="Times New Roman" w:hAnsi="Times New Roman"/>
          <w:color w:val="000000"/>
          <w:sz w:val="24"/>
          <w:szCs w:val="24"/>
        </w:rPr>
        <w:tab/>
        <w:t>EUR</w:t>
      </w:r>
    </w:p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</w:t>
      </w:r>
    </w:p>
    <w:p>
      <w:pPr>
        <w:pStyle w:val="Normal1"/>
        <w:numPr>
          <w:ilvl w:val="0"/>
          <w:numId w:val="12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f"/>
        <w:tblW w:w="8291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322"/>
        <w:gridCol w:w="1984"/>
        <w:gridCol w:w="1985"/>
      </w:tblGrid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Zostatok k 31.12.</w:t>
            </w:r>
            <w:r>
              <w:rPr>
                <w:rFonts w:cs="Times New Roman" w:ascii="Times New Roman" w:hAnsi="Times New Roman"/>
                <w:b/>
              </w:rPr>
              <w:t>201</w:t>
            </w:r>
            <w:r>
              <w:rPr>
                <w:rFonts w:cs="Times New Roman" w:ascii="Times New Roman" w:hAnsi="Times New Roman"/>
                <w:b/>
              </w:rPr>
              <w:t>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Zostatok k 31.12.</w:t>
            </w:r>
            <w:r>
              <w:rPr>
                <w:rFonts w:cs="Times New Roman" w:ascii="Times New Roman" w:hAnsi="Times New Roman"/>
                <w:b/>
              </w:rPr>
              <w:t>201</w:t>
            </w:r>
            <w:r>
              <w:rPr>
                <w:rFonts w:cs="Times New Roman" w:ascii="Times New Roman" w:hAnsi="Times New Roman"/>
                <w:b/>
              </w:rPr>
              <w:t>9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cs="Times New Roman" w:ascii="Times New Roman" w:hAnsi="Times New Roman"/>
                <w:color w:val="FF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cs="Times New Roman" w:ascii="Times New Roman" w:hAnsi="Times New Roman"/>
                <w:color w:val="FF0000"/>
              </w:rPr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228,26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185,11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1 407,06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964,01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5 186,54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5192,73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3 486,12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3 687,38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658,44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775,89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>záväzky voči štátnemu rozpočtu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718,12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13 731,27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1"/>
              </w:numPr>
              <w:pBdr/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color w:val="000000"/>
              </w:rPr>
              <w:t>ostatné záväzky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567,27</w:t>
            </w:r>
          </w:p>
        </w:tc>
      </w:tr>
    </w:tbl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Tvorba a čerpanie sociálneho fondu v priebehu účtovného obdobia sú znázornené v nasledujúcom prehľade:</w:t>
      </w:r>
    </w:p>
    <w:p>
      <w:pPr>
        <w:pStyle w:val="Normal1"/>
        <w:pBdr/>
        <w:ind w:left="426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  <w:tab/>
      </w:r>
    </w:p>
    <w:tbl>
      <w:tblPr>
        <w:tblW w:w="4748" w:type="dxa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108" w:type="dxa"/>
        </w:tblCellMar>
        <w:tblLook w:val="0000"/>
      </w:tblPr>
      <w:tblGrid>
        <w:gridCol w:w="2763"/>
        <w:gridCol w:w="1984"/>
      </w:tblGrid>
      <w:tr>
        <w:trPr/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rok 2018</w:t>
            </w:r>
          </w:p>
        </w:tc>
      </w:tr>
      <w:tr>
        <w:trPr/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Stav k 1. januáru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b/>
              </w:rPr>
              <w:t>228,26</w:t>
            </w:r>
          </w:p>
        </w:tc>
      </w:tr>
      <w:tr>
        <w:trPr/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Tvorba na ťarchu nákladov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861,55</w:t>
            </w:r>
          </w:p>
        </w:tc>
      </w:tr>
      <w:tr>
        <w:trPr/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Tvorba z iných zdrojov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</w:tr>
      <w:tr>
        <w:trPr/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Čerpanie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</w:rPr>
              <w:t>904,70</w:t>
            </w:r>
          </w:p>
        </w:tc>
      </w:tr>
      <w:tr>
        <w:trPr/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Stav k 31. decembru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b/>
              </w:rPr>
              <w:t>185,11</w:t>
            </w:r>
          </w:p>
        </w:tc>
      </w:tr>
    </w:tbl>
    <w:p>
      <w:pPr>
        <w:pStyle w:val="Normal1"/>
        <w:pBdr/>
        <w:ind w:left="426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1"/>
        <w:pBdr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1"/>
        <w:pBdr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>
      <w:pPr>
        <w:pStyle w:val="Normal1"/>
        <w:pBdr/>
        <w:spacing w:lineRule="auto" w:line="276" w:before="0" w:after="200"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10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>
      <w:pPr>
        <w:pStyle w:val="Normal1"/>
        <w:numPr>
          <w:ilvl w:val="0"/>
          <w:numId w:val="17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dlhodobé bankové úvery a krátkodobé bankové úvery - tabuľka č.9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f0"/>
        <w:tblW w:w="9568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904"/>
        <w:gridCol w:w="1985"/>
        <w:gridCol w:w="2268"/>
        <w:gridCol w:w="2410"/>
      </w:tblGrid>
      <w:tr>
        <w:trPr/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Druh bankového úveru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podľa splatnosti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Popis zabezpečenia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Suma </w:t>
            </w:r>
          </w:p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k 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8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b/>
                <w:b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Suma </w:t>
            </w:r>
          </w:p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k 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9</w:t>
            </w:r>
          </w:p>
        </w:tc>
      </w:tr>
      <w:tr>
        <w:trPr/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Dlhodobý investičný úver</w:t>
            </w:r>
          </w:p>
          <w:p>
            <w:pPr>
              <w:pStyle w:val="Normal1"/>
              <w:numPr>
                <w:ilvl w:val="0"/>
                <w:numId w:val="31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navýšenie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blankozmenka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99 440,10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39 488,06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100 000,00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559,90</w:t>
            </w:r>
          </w:p>
        </w:tc>
      </w:tr>
      <w:tr>
        <w:trPr/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Krátkodobý úver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prefinancovanie NFP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65 000,00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</w:tbl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spacing w:lineRule="auto" w:line="276" w:before="0" w:after="200"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V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výnosoch a nákladoch </w:t>
      </w:r>
    </w:p>
    <w:p>
      <w:pPr>
        <w:pStyle w:val="Normal1"/>
        <w:pBdr/>
        <w:ind w:left="360" w:hanging="0"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numPr>
          <w:ilvl w:val="0"/>
          <w:numId w:val="20"/>
        </w:numPr>
        <w:pBdr/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2"/>
        <w:tblW w:w="9709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739"/>
        <w:gridCol w:w="1985"/>
        <w:gridCol w:w="1985"/>
      </w:tblGrid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Suma k 31.12.2018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Suma k 31.12.</w:t>
            </w:r>
            <w:r>
              <w:rPr>
                <w:rFonts w:cs="Times New Roman" w:ascii="Times New Roman" w:hAnsi="Times New Roman"/>
                <w:b/>
              </w:rPr>
              <w:t>2017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9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 xml:space="preserve">tržby za vlastné výkony  a tovar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601,602 - Tržby z predaja výrobkov a služieb</w:t>
            </w:r>
          </w:p>
          <w:p>
            <w:pPr>
              <w:pStyle w:val="Normal1"/>
              <w:numPr>
                <w:ilvl w:val="0"/>
                <w:numId w:val="31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voda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arial" w:hAnsi="arial"/>
                <w:b w:val="false"/>
                <w:i w:val="false"/>
                <w:caps w:val="false"/>
                <w:smallCaps w:val="false"/>
                <w:color w:val="555555"/>
                <w:spacing w:val="0"/>
                <w:sz w:val="17"/>
              </w:rPr>
              <w:t>14 684,19</w:t>
            </w:r>
            <w:r>
              <w:rPr>
                <w:rFonts w:cs="Times New Roman" w:ascii="Times New Roman" w:hAnsi="Times New Roman"/>
                <w:color w:val="000000"/>
              </w:rPr>
              <w:t xml:space="preserve"> 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arial" w:hAnsi="arial"/>
                <w:b w:val="false"/>
                <w:i w:val="false"/>
                <w:caps w:val="false"/>
                <w:smallCaps w:val="false"/>
                <w:color w:val="555555"/>
                <w:spacing w:val="0"/>
                <w:sz w:val="17"/>
              </w:rPr>
              <w:t>14 476,79</w:t>
            </w:r>
            <w:r>
              <w:rPr>
                <w:rFonts w:cs="Times New Roman" w:ascii="Times New Roman" w:hAnsi="Times New Roman"/>
                <w:color w:val="00000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/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9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632 - Daňové výnosy samosprávy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-podielové dane</w:t>
            </w:r>
          </w:p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-DzN+pes</w:t>
            </w:r>
          </w:p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-</w:t>
            </w:r>
            <w:r>
              <w:rPr>
                <w:rFonts w:cs="Times New Roman" w:ascii="Times New Roman" w:hAnsi="Times New Roman"/>
                <w:color w:val="000000"/>
              </w:rPr>
              <w:t>daň z ubytovania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arial" w:hAnsi="arial"/>
                <w:b w:val="false"/>
                <w:i w:val="false"/>
                <w:caps w:val="false"/>
                <w:smallCaps w:val="false"/>
                <w:color w:val="555555"/>
                <w:spacing w:val="0"/>
                <w:sz w:val="17"/>
              </w:rPr>
              <w:t>330 874,45</w:t>
            </w:r>
            <w:r>
              <w:rPr>
                <w:rFonts w:cs="Times New Roman" w:ascii="Times New Roman" w:hAnsi="Times New Roman"/>
                <w:color w:val="000000"/>
              </w:rPr>
              <w:t xml:space="preserve"> 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319 802,67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11 071,78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362 41204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346 484,10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11 091,34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4 836,60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633 - Výnosy z poplatkov 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-TKO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-správne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7 895,09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6 100,59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1 794,50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8 740,49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6 736,34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12 004,15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9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9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9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36 002,85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39 029,09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10 093,00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55 072,48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750,00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700,00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3 000,00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14 219,93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32 481,64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9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ostatné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641 – Predaj majetku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544,00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/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648 - Ostatné výnos</w:t>
            </w:r>
          </w:p>
          <w:p>
            <w:pPr>
              <w:pStyle w:val="Normal1"/>
              <w:numPr>
                <w:ilvl w:val="0"/>
                <w:numId w:val="31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vývoz popolčeka</w:t>
            </w:r>
          </w:p>
          <w:p>
            <w:pPr>
              <w:pStyle w:val="Normal1"/>
              <w:numPr>
                <w:ilvl w:val="0"/>
                <w:numId w:val="31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nájom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9 277,65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2 666,49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4 168,72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8 994,49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2 486,38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6 245,61</w:t>
            </w:r>
          </w:p>
        </w:tc>
      </w:tr>
    </w:tbl>
    <w:p>
      <w:pPr>
        <w:pStyle w:val="Normal1"/>
        <w:pBdr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ind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numPr>
          <w:ilvl w:val="0"/>
          <w:numId w:val="20"/>
        </w:numPr>
        <w:pBdr/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3"/>
        <w:tblW w:w="9709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739"/>
        <w:gridCol w:w="1985"/>
        <w:gridCol w:w="1985"/>
      </w:tblGrid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Suma k 31.12.201</w:t>
            </w:r>
            <w:r>
              <w:rPr>
                <w:rFonts w:cs="Times New Roman" w:ascii="Times New Roman" w:hAnsi="Times New Roman"/>
                <w:b/>
                <w:color w:val="000000"/>
              </w:rPr>
              <w:t>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</w:rPr>
              <w:t>Suma k 31.12.</w:t>
            </w:r>
            <w:r>
              <w:rPr>
                <w:rFonts w:cs="Times New Roman" w:ascii="Times New Roman" w:hAnsi="Times New Roman"/>
                <w:b/>
              </w:rPr>
              <w:t>201</w:t>
            </w:r>
            <w:r>
              <w:rPr>
                <w:rFonts w:cs="Times New Roman" w:ascii="Times New Roman" w:hAnsi="Times New Roman"/>
                <w:b/>
              </w:rPr>
              <w:t>9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spotrebované nákupy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501 – Spotreba materiálu</w:t>
            </w:r>
          </w:p>
          <w:p>
            <w:pPr>
              <w:pStyle w:val="Normal1"/>
              <w:numPr>
                <w:ilvl w:val="0"/>
                <w:numId w:val="32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phm</w:t>
            </w:r>
          </w:p>
          <w:p>
            <w:pPr>
              <w:pStyle w:val="Normal1"/>
              <w:numPr>
                <w:ilvl w:val="0"/>
                <w:numId w:val="32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zbierky, časopisy</w:t>
            </w:r>
          </w:p>
          <w:p>
            <w:pPr>
              <w:pStyle w:val="Normal1"/>
              <w:numPr>
                <w:ilvl w:val="0"/>
                <w:numId w:val="32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kancelárske potreby</w:t>
            </w:r>
          </w:p>
          <w:p>
            <w:pPr>
              <w:pStyle w:val="Normal1"/>
              <w:numPr>
                <w:ilvl w:val="0"/>
                <w:numId w:val="32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ZŠ+MŠ</w:t>
            </w:r>
          </w:p>
          <w:p>
            <w:pPr>
              <w:pStyle w:val="Normal1"/>
              <w:numPr>
                <w:ilvl w:val="0"/>
                <w:numId w:val="32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PO</w:t>
            </w:r>
          </w:p>
          <w:p>
            <w:pPr>
              <w:pStyle w:val="Normal1"/>
              <w:numPr>
                <w:ilvl w:val="0"/>
                <w:numId w:val="32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stavebný materiál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18 909,03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4 740,36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1 449,47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2 910,83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2 195,60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24 052,36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5 731,82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1 227,14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2 87,80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1 083,85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2 027,92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3 438,84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502 - Spotreba energie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13 390,90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16 030,60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služby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511 - Opravy a udržiavanie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spacing w:lineRule="auto" w:line="240" w:before="0"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oprava budov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spacing w:lineRule="auto" w:line="240" w:before="0"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dopravných prostriedkov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000000"/>
              </w:rPr>
              <w:t>komunikácií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spacing w:lineRule="auto" w:line="240" w:before="0"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stroje,prístroje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spacing w:lineRule="auto" w:line="240" w:before="0"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24 395,91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/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2 175,00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5 679,63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6 662,01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3 661,09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395,12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26 232,50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/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8 99872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3 916,80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9 967,40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2 363,61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985,97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340,27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285,64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1 671,18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3 450,53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518 - Ostatné služby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TKO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telefón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účtovníctvo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audit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verejné obstáravanie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kultúrne služby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príspevok na stravu dôchodcom</w:t>
            </w:r>
          </w:p>
          <w:p>
            <w:pPr>
              <w:pStyle w:val="Normal1"/>
              <w:numPr>
                <w:ilvl w:val="0"/>
                <w:numId w:val="33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poštovné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51 036,95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12 329,08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2 170,78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5 400,00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1000,00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3 680,00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9 009,77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1 686,00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44 803,88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12 059,73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2 390,60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5 400,00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750,00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3 210,00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6 251,86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3 051,39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1 160,59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84 095,04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100 108,11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28 143,07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34 548,49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4 518,49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5 174,18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dane a 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538 - Ostatné dane a poplatky</w:t>
            </w:r>
          </w:p>
          <w:p>
            <w:pPr>
              <w:pStyle w:val="Normal1"/>
              <w:numPr>
                <w:ilvl w:val="0"/>
                <w:numId w:val="34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poplatky TKO</w:t>
            </w:r>
          </w:p>
          <w:p>
            <w:pPr>
              <w:pStyle w:val="Normal1"/>
              <w:numPr>
                <w:ilvl w:val="0"/>
                <w:numId w:val="34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Vodohospodársky podnik</w:t>
            </w:r>
          </w:p>
          <w:p>
            <w:pPr>
              <w:pStyle w:val="Normal1"/>
              <w:numPr>
                <w:ilvl w:val="0"/>
                <w:numId w:val="34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RTVS</w:t>
            </w:r>
          </w:p>
          <w:p>
            <w:pPr>
              <w:pStyle w:val="Normal1"/>
              <w:numPr>
                <w:ilvl w:val="0"/>
                <w:numId w:val="34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1 817,28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323,20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1 352,30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56,88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84,90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1 021,09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719,03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1 352,30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224,16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27,90</w:t>
            </w:r>
          </w:p>
        </w:tc>
      </w:tr>
      <w:tr>
        <w:trPr>
          <w:trHeight w:val="1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 xml:space="preserve">odpisy, rezervy a opravné položky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273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66 434,44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80 884,00</w:t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1 603,82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3 306,84</w:t>
            </w:r>
          </w:p>
        </w:tc>
      </w:tr>
      <w:tr>
        <w:trPr>
          <w:trHeight w:val="313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568 - Ostatné finančné náklady</w:t>
            </w:r>
          </w:p>
          <w:p>
            <w:pPr>
              <w:pStyle w:val="Normal1"/>
              <w:numPr>
                <w:ilvl w:val="0"/>
                <w:numId w:val="35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poistenie DP</w:t>
            </w:r>
          </w:p>
          <w:p>
            <w:pPr>
              <w:pStyle w:val="Normal1"/>
              <w:numPr>
                <w:ilvl w:val="0"/>
                <w:numId w:val="35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poistenie zamestnancov</w:t>
            </w:r>
          </w:p>
          <w:p>
            <w:pPr>
              <w:pStyle w:val="Normal1"/>
              <w:numPr>
                <w:ilvl w:val="0"/>
                <w:numId w:val="35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poistenie budov</w:t>
            </w:r>
          </w:p>
          <w:p>
            <w:pPr>
              <w:pStyle w:val="Normal1"/>
              <w:numPr>
                <w:ilvl w:val="0"/>
                <w:numId w:val="35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4 766,90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2 248,31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1 082,78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1 172,59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807,44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4 325,60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1 481,11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104,52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1 172,59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640,02</w:t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21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</w:rPr>
              <w:t>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802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3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- Náklady na transfery ZŠ+MŠ</w:t>
            </w:r>
          </w:p>
          <w:p>
            <w:pPr>
              <w:pStyle w:val="Normal1"/>
              <w:pBdr/>
              <w:ind w:left="720" w:hanging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- podielové dane/originálne kompetencie/</w:t>
            </w:r>
          </w:p>
          <w:p>
            <w:pPr>
              <w:pStyle w:val="Normal1"/>
              <w:pBdr/>
              <w:ind w:left="720" w:hanging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- vlastné prostriedky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ind w:left="720" w:hanging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104 219,93</w:t>
            </w:r>
          </w:p>
          <w:p>
            <w:pPr>
              <w:pStyle w:val="Normal1"/>
              <w:pBdr/>
              <w:ind w:left="720" w:hanging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95 000,00</w:t>
            </w:r>
          </w:p>
          <w:p>
            <w:pPr>
              <w:pStyle w:val="Normal1"/>
              <w:pBdr/>
              <w:ind w:left="720" w:hanging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14 219,93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122 415,53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102 603,00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19 812,53</w:t>
            </w:r>
          </w:p>
        </w:tc>
      </w:tr>
      <w:tr>
        <w:trPr>
          <w:trHeight w:val="76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585 - Náklady na transfery  ostatným subjektov VS - bežný transfer</w:t>
            </w:r>
          </w:p>
          <w:p>
            <w:pPr>
              <w:pStyle w:val="Normal1"/>
              <w:numPr>
                <w:ilvl w:val="0"/>
                <w:numId w:val="36"/>
              </w:numPr>
              <w:pBdr/>
              <w:jc w:val="both"/>
              <w:rPr/>
            </w:pPr>
            <w:r>
              <w:rPr>
                <w:rFonts w:cs="Times New Roman" w:ascii="Times New Roman" w:hAnsi="Times New Roman"/>
                <w:color w:val="000000"/>
              </w:rPr>
              <w:t>Spoločné úradovne</w:t>
            </w:r>
          </w:p>
          <w:p>
            <w:pPr>
              <w:pStyle w:val="Normal1"/>
              <w:numPr>
                <w:ilvl w:val="0"/>
                <w:numId w:val="36"/>
              </w:numPr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ind w:left="720" w:hanging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9 899,68</w:t>
            </w:r>
          </w:p>
          <w:p>
            <w:pPr>
              <w:pStyle w:val="Normal1"/>
              <w:pBdr/>
              <w:ind w:left="720" w:hanging="0"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2 </w:t>
            </w:r>
            <w:r>
              <w:rPr>
                <w:rFonts w:cs="Times New Roman" w:ascii="Times New Roman" w:hAnsi="Times New Roman"/>
                <w:color w:val="000000"/>
              </w:rPr>
              <w:t>349,68</w:t>
            </w:r>
          </w:p>
          <w:p>
            <w:pPr>
              <w:pStyle w:val="Normal1"/>
              <w:pBdr/>
              <w:ind w:left="720" w:hanging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7 550,00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11 561,77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2 336,77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9 225,00</w:t>
            </w:r>
          </w:p>
        </w:tc>
      </w:tr>
      <w:tr>
        <w:trPr>
          <w:trHeight w:val="331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586 - Náklady na transfery  subjektom mimo VS - bežný transfer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801,00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600,00</w:t>
            </w:r>
          </w:p>
        </w:tc>
      </w:tr>
      <w:tr>
        <w:trPr>
          <w:trHeight w:val="351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67,83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271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275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numPr>
                <w:ilvl w:val="0"/>
                <w:numId w:val="18"/>
              </w:numPr>
              <w:pBdr/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910,44</w:t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24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335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770,32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50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548 - Ostatné náklady na prevádzkovú činnosť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členské príspevky</w:t>
            </w:r>
          </w:p>
          <w:p>
            <w:pPr>
              <w:pStyle w:val="Normal1"/>
              <w:numPr>
                <w:ilvl w:val="0"/>
                <w:numId w:val="16"/>
              </w:numPr>
              <w:pBdr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4 995,68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3 094,92</w:t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1 735,93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7 017,58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4 914,95</w:t>
            </w:r>
          </w:p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1 571,13</w:t>
            </w:r>
          </w:p>
        </w:tc>
      </w:tr>
      <w:tr>
        <w:trPr>
          <w:trHeight w:val="279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549 - Manká a škody</w:t>
            </w:r>
          </w:p>
          <w:p>
            <w:pPr>
              <w:pStyle w:val="Normal1"/>
              <w:pBdr/>
              <w:ind w:left="678" w:hanging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  <w:tr>
        <w:trPr>
          <w:trHeight w:val="520" w:hRule="atLeast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 xml:space="preserve">              </w:t>
            </w:r>
            <w:r>
              <w:rPr>
                <w:rFonts w:cs="Times New Roman" w:ascii="Times New Roman" w:hAnsi="Times New Roman"/>
                <w:b/>
                <w:color w:val="000000"/>
              </w:rPr>
              <w:t>dane z príjmov</w:t>
            </w:r>
          </w:p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0,00</w:t>
            </w:r>
          </w:p>
        </w:tc>
      </w:tr>
    </w:tbl>
    <w:p>
      <w:pPr>
        <w:pStyle w:val="Normal1"/>
        <w:pBdr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spacing w:lineRule="auto" w:line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spacing w:lineRule="auto" w:line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VI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účtovnej jednotky a spriaznených osôb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 </w:t>
      </w:r>
    </w:p>
    <w:p>
      <w:pPr>
        <w:pStyle w:val="Normal1"/>
        <w:numPr>
          <w:ilvl w:val="0"/>
          <w:numId w:val="9"/>
        </w:numPr>
        <w:pBdr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spriaznených osobách </w:t>
      </w:r>
    </w:p>
    <w:p>
      <w:pPr>
        <w:pStyle w:val="Normal1"/>
        <w:pBdr/>
        <w:spacing w:lineRule="auto" w:line="360"/>
        <w:ind w:left="284"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Style w:val="af4"/>
        <w:tblW w:w="9568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21"/>
        <w:gridCol w:w="3118"/>
        <w:gridCol w:w="3829"/>
      </w:tblGrid>
      <w:tr>
        <w:trPr/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Druh obchodu/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b/>
                <w:color w:val="000000"/>
              </w:rPr>
              <w:t>druh transakcie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108" w:type="dxa"/>
            </w:tcMar>
          </w:tcPr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 xml:space="preserve">Hodnotové vyjadrenie obchodu/transakcie </w:t>
            </w:r>
          </w:p>
          <w:p>
            <w:pPr>
              <w:pStyle w:val="Normal1"/>
              <w:pBdr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>
        <w:trPr/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Základná škola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8"/>
                <w:szCs w:val="18"/>
              </w:rPr>
              <w:t>Poskytnutý transfer na bežné výdavky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/>
            </w:pPr>
            <w:r>
              <w:rPr>
                <w:rFonts w:cs="Times New Roman" w:ascii="Times New Roman" w:hAnsi="Times New Roman"/>
                <w:color w:val="000000"/>
              </w:rPr>
              <w:t>102 603,00</w:t>
            </w:r>
          </w:p>
        </w:tc>
      </w:tr>
      <w:tr>
        <w:trPr/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Služby obce Poráč s.r.o.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color w:val="000000"/>
                <w:sz w:val="18"/>
                <w:szCs w:val="18"/>
              </w:rPr>
              <w:t xml:space="preserve">Vklad do ZI 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  <w:p>
            <w:pPr>
              <w:pStyle w:val="Normal1"/>
              <w:pBdr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  <w:t>6 970,72</w:t>
            </w:r>
          </w:p>
        </w:tc>
      </w:tr>
    </w:tbl>
    <w:p>
      <w:pPr>
        <w:pStyle w:val="Normal1"/>
        <w:pBdr/>
        <w:spacing w:lineRule="auto" w:line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IX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rFonts w:cs="Times New Roman" w:ascii="Times New Roman" w:hAnsi="Times New Roman"/>
          <w:color w:val="000000"/>
          <w:sz w:val="24"/>
          <w:szCs w:val="24"/>
        </w:rPr>
        <w:t>tabuľka č.12-14</w:t>
      </w:r>
    </w:p>
    <w:p>
      <w:pPr>
        <w:pStyle w:val="Normal1"/>
        <w:pBdr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cs="Times New Roman" w:ascii="Times New Roman" w:hAnsi="Times New Roman"/>
          <w:color w:val="FF0000"/>
          <w:sz w:val="24"/>
          <w:szCs w:val="24"/>
        </w:rPr>
      </w:r>
    </w:p>
    <w:p>
      <w:pPr>
        <w:pStyle w:val="Normal1"/>
        <w:pBdr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Rozpočet obce bol schválený obecným  zastupiteľstvom dňa </w:t>
      </w:r>
      <w:r>
        <w:rPr>
          <w:rFonts w:cs="Times New Roman" w:ascii="Times New Roman" w:hAnsi="Times New Roman"/>
          <w:sz w:val="24"/>
          <w:szCs w:val="24"/>
        </w:rPr>
        <w:t>28</w:t>
      </w:r>
      <w:r>
        <w:rPr>
          <w:rFonts w:cs="Times New Roman" w:ascii="Times New Roman" w:hAnsi="Times New Roman"/>
          <w:sz w:val="24"/>
          <w:szCs w:val="24"/>
        </w:rPr>
        <w:t>.12.201</w:t>
      </w:r>
      <w:r>
        <w:rPr>
          <w:rFonts w:cs="Times New Roman" w:ascii="Times New Roman" w:hAnsi="Times New Roman"/>
          <w:sz w:val="24"/>
          <w:szCs w:val="24"/>
        </w:rPr>
        <w:t>8</w:t>
      </w:r>
      <w:r>
        <w:rPr>
          <w:rFonts w:cs="Times New Roman" w:ascii="Times New Roman" w:hAnsi="Times New Roman"/>
          <w:sz w:val="24"/>
          <w:szCs w:val="24"/>
        </w:rPr>
        <w:t xml:space="preserve">  uznesením č. </w:t>
      </w:r>
      <w:r>
        <w:rPr>
          <w:rFonts w:cs="Times New Roman" w:ascii="Times New Roman" w:hAnsi="Times New Roman"/>
          <w:sz w:val="24"/>
          <w:szCs w:val="24"/>
        </w:rPr>
        <w:t>13/1/2018</w:t>
      </w:r>
    </w:p>
    <w:p>
      <w:pPr>
        <w:pStyle w:val="Normal1"/>
        <w:pBdr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1"/>
        <w:pBdr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Výška dlhu</w:t>
      </w:r>
      <w:r>
        <w:rPr>
          <w:rFonts w:cs="Times New Roman" w:ascii="Times New Roman" w:hAnsi="Times New Roman"/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Čl. X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do dňa zostavenia účtovnej závierky</w:t>
      </w:r>
    </w:p>
    <w:p>
      <w:pPr>
        <w:pStyle w:val="Normal1"/>
        <w:pBdr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</w:r>
    </w:p>
    <w:p>
      <w:pPr>
        <w:pStyle w:val="Normal1"/>
        <w:pBdr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Po 31. decembri </w:t>
      </w:r>
      <w:r>
        <w:rPr>
          <w:rFonts w:cs="Times New Roman" w:ascii="Times New Roman" w:hAnsi="Times New Roman"/>
          <w:sz w:val="24"/>
          <w:szCs w:val="24"/>
        </w:rPr>
        <w:t>201</w:t>
      </w:r>
      <w:r>
        <w:rPr>
          <w:rFonts w:cs="Times New Roman" w:ascii="Times New Roman" w:hAnsi="Times New Roman"/>
          <w:sz w:val="24"/>
          <w:szCs w:val="24"/>
        </w:rPr>
        <w:t>9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rFonts w:cs="Times New Roman" w:ascii="Times New Roman" w:hAnsi="Times New Roman"/>
          <w:sz w:val="24"/>
          <w:szCs w:val="24"/>
        </w:rPr>
        <w:t>201</w:t>
      </w:r>
      <w:r>
        <w:rPr>
          <w:rFonts w:cs="Times New Roman" w:ascii="Times New Roman" w:hAnsi="Times New Roman"/>
          <w:sz w:val="24"/>
          <w:szCs w:val="24"/>
        </w:rPr>
        <w:t>9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cs="Times New Roman" w:ascii="Times New Roman" w:hAnsi="Times New Roman"/>
          <w:color w:val="000000"/>
          <w:sz w:val="24"/>
          <w:szCs w:val="24"/>
          <w:u w:val="single"/>
        </w:rPr>
      </w:r>
    </w:p>
    <w:p>
      <w:pPr>
        <w:pStyle w:val="Normal1"/>
        <w:pBdr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cs="Times New Roman" w:ascii="Times New Roman" w:hAnsi="Times New Roman"/>
          <w:color w:val="000000"/>
          <w:sz w:val="24"/>
          <w:szCs w:val="24"/>
          <w:u w:val="single"/>
        </w:rPr>
      </w:r>
    </w:p>
    <w:p>
      <w:pPr>
        <w:pStyle w:val="Normal1"/>
        <w:pBdr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V Poráči dňa 2</w:t>
      </w:r>
      <w:r>
        <w:rPr>
          <w:rFonts w:cs="Times New Roman" w:ascii="Times New Roman" w:hAnsi="Times New Roman"/>
          <w:color w:val="000000"/>
          <w:sz w:val="24"/>
          <w:szCs w:val="24"/>
        </w:rPr>
        <w:t>7</w:t>
      </w:r>
      <w:r>
        <w:rPr>
          <w:rFonts w:cs="Times New Roman" w:ascii="Times New Roman" w:hAnsi="Times New Roman"/>
          <w:color w:val="000000"/>
          <w:sz w:val="24"/>
          <w:szCs w:val="24"/>
        </w:rPr>
        <w:t>.03.201</w:t>
      </w:r>
      <w:r>
        <w:rPr>
          <w:rFonts w:cs="Times New Roman" w:ascii="Times New Roman" w:hAnsi="Times New Roman"/>
          <w:color w:val="000000"/>
          <w:sz w:val="24"/>
          <w:szCs w:val="24"/>
        </w:rPr>
        <w:t>9</w:t>
      </w:r>
    </w:p>
    <w:p>
      <w:pPr>
        <w:pStyle w:val="Normal1"/>
        <w:pBdr/>
        <w:spacing w:lineRule="auto" w:line="360" w:before="0" w:after="200"/>
        <w:jc w:val="both"/>
        <w:rPr>
          <w:color w:val="000000"/>
        </w:rPr>
      </w:pPr>
      <w:r>
        <w:rPr>
          <w:color w:val="000000"/>
        </w:rPr>
      </w:r>
    </w:p>
    <w:sectPr>
      <w:headerReference w:type="default" r:id="rId2"/>
      <w:footerReference w:type="default" r:id="rId3"/>
      <w:type w:val="nextPage"/>
      <w:pgSz w:w="11906" w:h="16838"/>
      <w:pgMar w:left="1134" w:right="567" w:header="709" w:top="851" w:footer="709" w:bottom="851" w:gutter="0"/>
      <w:pgNumType w:start="1" w:fmt="decimal"/>
      <w:formProt w:val="false"/>
      <w:textDirection w:val="lrTb"/>
      <w:docGrid w:type="default" w:linePitch="24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Times New Roman">
    <w:charset w:val="01"/>
    <w:family w:val="roman"/>
    <w:pitch w:val="variable"/>
  </w:font>
  <w:font w:name="arial">
    <w:charset w:val="ee"/>
    <w:family w:val="auto"/>
    <w:pitch w:val="default"/>
  </w:font>
  <w:font w:name="Courier New">
    <w:charset w:val="01"/>
    <w:family w:val="modern"/>
    <w:pitch w:val="fixed"/>
  </w:font>
  <w:font w:name="Noto Sans Symbols">
    <w:charset w:val="01"/>
    <w:family w:val="auto"/>
    <w:pitch w:val="default"/>
  </w:font>
  <w:font w:name="OpenSymbol">
    <w:altName w:val="Arial Unicode MS"/>
    <w:charset w:val="01"/>
    <w:family w:val="auto"/>
    <w:pitch w:val="default"/>
  </w:font>
  <w:font w:name="Wingdings">
    <w:charset w:val="02"/>
    <w:family w:val="auto"/>
    <w:pitch w:val="default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pBdr/>
      <w:tabs>
        <w:tab w:val="center" w:pos="4536" w:leader="none"/>
        <w:tab w:val="right" w:pos="9072" w:leader="none"/>
      </w:tabs>
      <w:spacing w:lineRule="auto" w:line="276" w:before="0" w:after="200"/>
      <w:jc w:val="both"/>
      <w:rPr/>
    </w:pPr>
    <w:r>
      <w:rPr>
        <w:color w:val="000000"/>
      </w:rPr>
      <w:fldChar w:fldCharType="begin"/>
    </w:r>
    <w:r>
      <w:instrText> PAGE </w:instrText>
    </w:r>
    <w:r>
      <w:fldChar w:fldCharType="separate"/>
    </w:r>
    <w:r>
      <w:t>10</w:t>
    </w:r>
    <w:r>
      <w:fldChar w:fldCharType="end"/>
    </w:r>
  </w:p>
  <w:p>
    <w:pPr>
      <w:pStyle w:val="Normal1"/>
      <w:pBdr/>
      <w:tabs>
        <w:tab w:val="center" w:pos="4536" w:leader="none"/>
        <w:tab w:val="right" w:pos="9072" w:leader="none"/>
      </w:tabs>
      <w:spacing w:lineRule="auto" w:line="276" w:before="0" w:after="200"/>
      <w:ind w:right="360" w:hanging="0"/>
      <w:jc w:val="both"/>
      <w:rPr>
        <w:color w:val="000000"/>
      </w:rPr>
    </w:pPr>
    <w:r>
      <w:rPr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pBdr/>
      <w:tabs>
        <w:tab w:val="left" w:pos="708" w:leader="none"/>
      </w:tabs>
      <w:spacing w:lineRule="auto" w:line="276" w:before="0" w:after="200"/>
      <w:ind w:right="-82" w:hanging="0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>
    <w:pPr>
      <w:pStyle w:val="Normal1"/>
      <w:pBdr>
        <w:bottom w:val="single" w:sz="4" w:space="1" w:color="000001"/>
      </w:pBdr>
      <w:tabs>
        <w:tab w:val="center" w:pos="4536" w:leader="none"/>
        <w:tab w:val="right" w:pos="9072" w:leader="none"/>
      </w:tabs>
      <w:spacing w:lineRule="auto" w:line="276" w:before="0" w:after="200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2019</w:t>
    </w:r>
  </w:p>
  <w:p>
    <w:pPr>
      <w:pStyle w:val="Normal1"/>
      <w:pBdr/>
      <w:tabs>
        <w:tab w:val="center" w:pos="4536" w:leader="none"/>
        <w:tab w:val="right" w:pos="9072" w:leader="none"/>
      </w:tabs>
      <w:spacing w:lineRule="auto" w:line="276" w:before="0" w:after="200"/>
      <w:jc w:val="both"/>
      <w:rPr>
        <w:color w:val="000000"/>
      </w:rPr>
    </w:pPr>
    <w:r>
      <w:rPr>
        <w:color w:val="00000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7">
    <w:lvl w:ilvl="0">
      <w:start w:val="1"/>
      <w:numFmt w:val="lowerLetter"/>
      <w:lvlText w:val="%1)"/>
      <w:lvlJc w:val="left"/>
      <w:pPr>
        <w:ind w:left="36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9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1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vertAlign w:val="baseline"/>
        <w:position w:val="0"/>
        <w:sz w:val="20"/>
        <w:rFonts w:cs="Times New Roman"/>
        <w:color w:val="FF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vertAlign w:val="baseline"/>
        <w:position w:val="0"/>
        <w:sz w:val="20"/>
        <w:rFonts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vertAlign w:val="baseline"/>
        <w:position w:val="0"/>
        <w:sz w:val="20"/>
        <w:rFonts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vertAlign w:val="baseline"/>
        <w:position w:val="0"/>
        <w:sz w:val="20"/>
        <w:rFonts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3">
    <w:lvl w:ilvl="0">
      <w:start w:val="584"/>
      <w:numFmt w:val="decimal"/>
      <w:lvlText w:val="%1"/>
      <w:lvlJc w:val="left"/>
      <w:pPr>
        <w:ind w:left="720" w:hanging="360"/>
      </w:pPr>
      <w:rPr>
        <w:vertAlign w:val="baseline"/>
        <w:position w:val="0"/>
        <w:sz w:val="20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4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5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b/>
        <w:szCs w:val="24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6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vertAlign w:val="baseline"/>
        <w:position w:val="0"/>
        <w:sz w:val="24"/>
        <w:sz w:val="24"/>
        <w:rFonts w:cs="Times New Roman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vertAlign w:val="baseline"/>
        <w:position w:val="0"/>
        <w:sz w:val="20"/>
        <w:rFonts w:cs="Courier New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vertAlign w:val="baseline"/>
        <w:position w:val="0"/>
        <w:sz w:val="20"/>
        <w:rFonts w:cs="Courier New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vertAlign w:val="baseline"/>
        <w:position w:val="0"/>
        <w:sz w:val="20"/>
        <w:rFonts w:cs="Courier New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hAnsi="Noto Sans Symbols" w:cs="Noto Sans Symbols" w:hint="default"/>
        <w:vertAlign w:val="baseline"/>
        <w:position w:val="0"/>
        <w:sz w:val="20"/>
        <w:rFonts w:cs="Noto Sans Symbols"/>
      </w:rPr>
    </w:lvl>
  </w:abstractNum>
  <w:abstractNum w:abstractNumId="17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4"/>
        <w:sz w:val="24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8">
    <w:lvl w:ilvl="0">
      <w:start w:val="586"/>
      <w:numFmt w:val="decimal"/>
      <w:lvlText w:val="%1"/>
      <w:lvlJc w:val="left"/>
      <w:pPr>
        <w:ind w:left="720" w:hanging="360"/>
      </w:pPr>
      <w:rPr>
        <w:vertAlign w:val="baseline"/>
        <w:position w:val="0"/>
        <w:sz w:val="20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0"/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20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21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  <w:position w:val="0"/>
        <w:sz w:val="20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</w:rPr>
    </w:lvl>
  </w:abstractNum>
  <w:abstractNum w:abstractNumId="22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lvl w:ilvl="0">
      <w:start w:val="1"/>
      <w:numFmt w:val="bullet"/>
      <w:lvlText w:val="-"/>
      <w:lvlJc w:val="left"/>
      <w:pPr>
        <w:ind w:left="678" w:hanging="360"/>
      </w:pPr>
      <w:rPr>
        <w:rFonts w:ascii="OpenSymbol" w:hAnsi="OpenSymbol" w:cs="OpenSymbol" w:hint="default"/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l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38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l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98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l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24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rFonts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rFonts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rFonts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rFonts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rFonts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2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4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5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6">
    <w:lvl w:ilvl="0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21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3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7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9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534" w:hanging="360"/>
      </w:pPr>
      <w:rPr>
        <w:rFonts w:ascii="Wingdings" w:hAnsi="Wingdings" w:cs="Wingdings" w:hint="default"/>
      </w:rPr>
    </w:lvl>
  </w:abstractNum>
  <w:abstractNum w:abstractNumId="37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</w:numbering>
</file>

<file path=word/settings.xml><?xml version="1.0" encoding="utf-8"?>
<w:settings xmlns:w="http://schemas.openxmlformats.org/wordprocessingml/2006/main">
  <w:zoom w:percent="140"/>
  <w:defaultTabStop w:val="720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6218e"/>
    <w:pPr>
      <w:widowControl/>
      <w:bidi w:val="0"/>
      <w:jc w:val="left"/>
    </w:pPr>
    <w:rPr>
      <w:rFonts w:ascii="Calibri" w:hAnsi="Calibri" w:eastAsia="Calibri" w:cs="Calibri"/>
      <w:color w:val="auto"/>
      <w:sz w:val="20"/>
      <w:szCs w:val="20"/>
      <w:lang w:val="sk-SK" w:eastAsia="sk-SK" w:bidi="ar-SA"/>
    </w:rPr>
  </w:style>
  <w:style w:type="paragraph" w:styleId="Nadpis1">
    <w:name w:val="Heading 1"/>
    <w:qFormat/>
    <w:rsid w:val="00d318e2"/>
    <w:pPr>
      <w:keepNext/>
      <w:keepLines/>
      <w:widowControl w:val="false"/>
      <w:spacing w:before="480" w:after="120"/>
      <w:outlineLvl w:val="0"/>
    </w:pPr>
    <w:rPr>
      <w:rFonts w:ascii="Calibri" w:hAnsi="Calibri" w:eastAsia="Calibri" w:cs="Calibri"/>
      <w:b/>
      <w:color w:val="auto"/>
      <w:sz w:val="48"/>
      <w:szCs w:val="48"/>
      <w:lang w:val="sk-SK" w:eastAsia="sk-SK" w:bidi="ar-SA"/>
    </w:rPr>
  </w:style>
  <w:style w:type="paragraph" w:styleId="Nadpis2">
    <w:name w:val="Heading 2"/>
    <w:qFormat/>
    <w:rsid w:val="00d318e2"/>
    <w:pPr>
      <w:keepNext/>
      <w:keepLines/>
      <w:widowControl w:val="false"/>
      <w:spacing w:before="360" w:after="80"/>
      <w:outlineLvl w:val="1"/>
    </w:pPr>
    <w:rPr>
      <w:rFonts w:ascii="Calibri" w:hAnsi="Calibri" w:eastAsia="Calibri" w:cs="Calibri"/>
      <w:b/>
      <w:color w:val="auto"/>
      <w:sz w:val="36"/>
      <w:szCs w:val="36"/>
      <w:lang w:val="sk-SK" w:eastAsia="sk-SK" w:bidi="ar-SA"/>
    </w:rPr>
  </w:style>
  <w:style w:type="paragraph" w:styleId="Nadpis3">
    <w:name w:val="Heading 3"/>
    <w:qFormat/>
    <w:rsid w:val="00d318e2"/>
    <w:pPr>
      <w:keepNext/>
      <w:keepLines/>
      <w:widowControl w:val="false"/>
      <w:spacing w:before="280" w:after="80"/>
      <w:outlineLvl w:val="2"/>
    </w:pPr>
    <w:rPr>
      <w:rFonts w:ascii="Calibri" w:hAnsi="Calibri" w:eastAsia="Calibri" w:cs="Calibri"/>
      <w:b/>
      <w:color w:val="auto"/>
      <w:sz w:val="28"/>
      <w:szCs w:val="28"/>
      <w:lang w:val="sk-SK" w:eastAsia="sk-SK" w:bidi="ar-SA"/>
    </w:rPr>
  </w:style>
  <w:style w:type="paragraph" w:styleId="Nadpis4">
    <w:name w:val="Heading 4"/>
    <w:qFormat/>
    <w:rsid w:val="00d318e2"/>
    <w:pPr>
      <w:keepNext/>
      <w:keepLines/>
      <w:widowControl w:val="false"/>
      <w:spacing w:before="240" w:after="40"/>
      <w:outlineLvl w:val="3"/>
    </w:pPr>
    <w:rPr>
      <w:rFonts w:ascii="Calibri" w:hAnsi="Calibri" w:eastAsia="Calibri" w:cs="Calibri"/>
      <w:b/>
      <w:color w:val="auto"/>
      <w:sz w:val="24"/>
      <w:szCs w:val="24"/>
      <w:lang w:val="sk-SK" w:eastAsia="sk-SK" w:bidi="ar-SA"/>
    </w:rPr>
  </w:style>
  <w:style w:type="paragraph" w:styleId="Nadpis5">
    <w:name w:val="Heading 5"/>
    <w:qFormat/>
    <w:rsid w:val="00d318e2"/>
    <w:pPr>
      <w:keepNext/>
      <w:keepLines/>
      <w:widowControl w:val="false"/>
      <w:spacing w:before="220" w:after="40"/>
      <w:outlineLvl w:val="4"/>
    </w:pPr>
    <w:rPr>
      <w:rFonts w:ascii="Calibri" w:hAnsi="Calibri" w:eastAsia="Calibri" w:cs="Calibri"/>
      <w:b/>
      <w:color w:val="auto"/>
      <w:sz w:val="22"/>
      <w:szCs w:val="22"/>
      <w:lang w:val="sk-SK" w:eastAsia="sk-SK" w:bidi="ar-SA"/>
    </w:rPr>
  </w:style>
  <w:style w:type="paragraph" w:styleId="Nadpis6">
    <w:name w:val="Heading 6"/>
    <w:qFormat/>
    <w:rsid w:val="00d318e2"/>
    <w:pPr>
      <w:keepNext/>
      <w:keepLines/>
      <w:widowControl w:val="false"/>
      <w:spacing w:before="200" w:after="40"/>
      <w:outlineLvl w:val="5"/>
    </w:pPr>
    <w:rPr>
      <w:rFonts w:ascii="Calibri" w:hAnsi="Calibri" w:eastAsia="Calibri" w:cs="Calibri"/>
      <w:b/>
      <w:color w:val="auto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2">
    <w:name w:val="ListLabel 2"/>
    <w:qFormat/>
    <w:rPr>
      <w:position w:val="0"/>
      <w:sz w:val="20"/>
      <w:vertAlign w:val="baseline"/>
    </w:rPr>
  </w:style>
  <w:style w:type="character" w:styleId="ListLabel3">
    <w:name w:val="ListLabel 3"/>
    <w:qFormat/>
    <w:rPr>
      <w:position w:val="0"/>
      <w:sz w:val="20"/>
      <w:vertAlign w:val="baseline"/>
    </w:rPr>
  </w:style>
  <w:style w:type="character" w:styleId="ListLabel4">
    <w:name w:val="ListLabel 4"/>
    <w:qFormat/>
    <w:rPr>
      <w:position w:val="0"/>
      <w:sz w:val="20"/>
      <w:vertAlign w:val="baseline"/>
    </w:rPr>
  </w:style>
  <w:style w:type="character" w:styleId="ListLabel5">
    <w:name w:val="ListLabel 5"/>
    <w:qFormat/>
    <w:rPr>
      <w:position w:val="0"/>
      <w:sz w:val="20"/>
      <w:vertAlign w:val="baseline"/>
    </w:rPr>
  </w:style>
  <w:style w:type="character" w:styleId="ListLabel6">
    <w:name w:val="ListLabel 6"/>
    <w:qFormat/>
    <w:rPr>
      <w:position w:val="0"/>
      <w:sz w:val="20"/>
      <w:vertAlign w:val="baseline"/>
    </w:rPr>
  </w:style>
  <w:style w:type="character" w:styleId="ListLabel7">
    <w:name w:val="ListLabel 7"/>
    <w:qFormat/>
    <w:rPr>
      <w:position w:val="0"/>
      <w:sz w:val="20"/>
      <w:vertAlign w:val="baseline"/>
    </w:rPr>
  </w:style>
  <w:style w:type="character" w:styleId="ListLabel8">
    <w:name w:val="ListLabel 8"/>
    <w:qFormat/>
    <w:rPr>
      <w:position w:val="0"/>
      <w:sz w:val="20"/>
      <w:vertAlign w:val="baseline"/>
    </w:rPr>
  </w:style>
  <w:style w:type="character" w:styleId="ListLabel9">
    <w:name w:val="ListLabel 9"/>
    <w:qFormat/>
    <w:rPr>
      <w:position w:val="0"/>
      <w:sz w:val="20"/>
      <w:vertAlign w:val="baseline"/>
    </w:rPr>
  </w:style>
  <w:style w:type="character" w:styleId="ListLabel10">
    <w:name w:val="ListLabel 10"/>
    <w:qFormat/>
    <w:rPr>
      <w:rFonts w:ascii="Times New Roman" w:hAnsi="Times New Roman"/>
      <w:position w:val="0"/>
      <w:sz w:val="24"/>
      <w:sz w:val="24"/>
      <w:vertAlign w:val="baseline"/>
    </w:rPr>
  </w:style>
  <w:style w:type="character" w:styleId="ListLabel11">
    <w:name w:val="ListLabel 11"/>
    <w:qFormat/>
    <w:rPr>
      <w:position w:val="0"/>
      <w:sz w:val="20"/>
      <w:vertAlign w:val="baseline"/>
    </w:rPr>
  </w:style>
  <w:style w:type="character" w:styleId="ListLabel12">
    <w:name w:val="ListLabel 12"/>
    <w:qFormat/>
    <w:rPr>
      <w:position w:val="0"/>
      <w:sz w:val="20"/>
      <w:vertAlign w:val="baseline"/>
    </w:rPr>
  </w:style>
  <w:style w:type="character" w:styleId="ListLabel13">
    <w:name w:val="ListLabel 13"/>
    <w:qFormat/>
    <w:rPr>
      <w:position w:val="0"/>
      <w:sz w:val="20"/>
      <w:vertAlign w:val="baseline"/>
    </w:rPr>
  </w:style>
  <w:style w:type="character" w:styleId="ListLabel14">
    <w:name w:val="ListLabel 14"/>
    <w:qFormat/>
    <w:rPr>
      <w:position w:val="0"/>
      <w:sz w:val="20"/>
      <w:vertAlign w:val="baseline"/>
    </w:rPr>
  </w:style>
  <w:style w:type="character" w:styleId="ListLabel15">
    <w:name w:val="ListLabel 15"/>
    <w:qFormat/>
    <w:rPr>
      <w:position w:val="0"/>
      <w:sz w:val="20"/>
      <w:vertAlign w:val="baseline"/>
    </w:rPr>
  </w:style>
  <w:style w:type="character" w:styleId="ListLabel16">
    <w:name w:val="ListLabel 16"/>
    <w:qFormat/>
    <w:rPr>
      <w:position w:val="0"/>
      <w:sz w:val="20"/>
      <w:vertAlign w:val="baseline"/>
    </w:rPr>
  </w:style>
  <w:style w:type="character" w:styleId="ListLabel17">
    <w:name w:val="ListLabel 17"/>
    <w:qFormat/>
    <w:rPr>
      <w:position w:val="0"/>
      <w:sz w:val="20"/>
      <w:vertAlign w:val="baseline"/>
    </w:rPr>
  </w:style>
  <w:style w:type="character" w:styleId="ListLabel18">
    <w:name w:val="ListLabel 18"/>
    <w:qFormat/>
    <w:rPr>
      <w:position w:val="0"/>
      <w:sz w:val="20"/>
      <w:vertAlign w:val="baseline"/>
    </w:rPr>
  </w:style>
  <w:style w:type="character" w:styleId="ListLabel19">
    <w:name w:val="ListLabel 19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20">
    <w:name w:val="ListLabel 20"/>
    <w:qFormat/>
    <w:rPr>
      <w:position w:val="0"/>
      <w:sz w:val="20"/>
      <w:vertAlign w:val="baseline"/>
    </w:rPr>
  </w:style>
  <w:style w:type="character" w:styleId="ListLabel21">
    <w:name w:val="ListLabel 21"/>
    <w:qFormat/>
    <w:rPr>
      <w:position w:val="0"/>
      <w:sz w:val="20"/>
      <w:vertAlign w:val="baseline"/>
    </w:rPr>
  </w:style>
  <w:style w:type="character" w:styleId="ListLabel22">
    <w:name w:val="ListLabel 22"/>
    <w:qFormat/>
    <w:rPr>
      <w:position w:val="0"/>
      <w:sz w:val="20"/>
      <w:vertAlign w:val="baseline"/>
    </w:rPr>
  </w:style>
  <w:style w:type="character" w:styleId="ListLabel23">
    <w:name w:val="ListLabel 23"/>
    <w:qFormat/>
    <w:rPr>
      <w:position w:val="0"/>
      <w:sz w:val="20"/>
      <w:vertAlign w:val="baseline"/>
    </w:rPr>
  </w:style>
  <w:style w:type="character" w:styleId="ListLabel24">
    <w:name w:val="ListLabel 24"/>
    <w:qFormat/>
    <w:rPr>
      <w:position w:val="0"/>
      <w:sz w:val="20"/>
      <w:vertAlign w:val="baseline"/>
    </w:rPr>
  </w:style>
  <w:style w:type="character" w:styleId="ListLabel25">
    <w:name w:val="ListLabel 25"/>
    <w:qFormat/>
    <w:rPr>
      <w:position w:val="0"/>
      <w:sz w:val="20"/>
      <w:vertAlign w:val="baseline"/>
    </w:rPr>
  </w:style>
  <w:style w:type="character" w:styleId="ListLabel26">
    <w:name w:val="ListLabel 26"/>
    <w:qFormat/>
    <w:rPr>
      <w:position w:val="0"/>
      <w:sz w:val="20"/>
      <w:vertAlign w:val="baseline"/>
    </w:rPr>
  </w:style>
  <w:style w:type="character" w:styleId="ListLabel27">
    <w:name w:val="ListLabel 27"/>
    <w:qFormat/>
    <w:rPr>
      <w:position w:val="0"/>
      <w:sz w:val="20"/>
      <w:vertAlign w:val="baseline"/>
    </w:rPr>
  </w:style>
  <w:style w:type="character" w:styleId="ListLabel28">
    <w:name w:val="ListLabel 28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29">
    <w:name w:val="ListLabel 29"/>
    <w:qFormat/>
    <w:rPr>
      <w:position w:val="0"/>
      <w:sz w:val="20"/>
      <w:vertAlign w:val="baseline"/>
    </w:rPr>
  </w:style>
  <w:style w:type="character" w:styleId="ListLabel30">
    <w:name w:val="ListLabel 30"/>
    <w:qFormat/>
    <w:rPr>
      <w:position w:val="0"/>
      <w:sz w:val="20"/>
      <w:vertAlign w:val="baseline"/>
    </w:rPr>
  </w:style>
  <w:style w:type="character" w:styleId="ListLabel31">
    <w:name w:val="ListLabel 31"/>
    <w:qFormat/>
    <w:rPr>
      <w:position w:val="0"/>
      <w:sz w:val="20"/>
      <w:vertAlign w:val="baseline"/>
    </w:rPr>
  </w:style>
  <w:style w:type="character" w:styleId="ListLabel32">
    <w:name w:val="ListLabel 32"/>
    <w:qFormat/>
    <w:rPr>
      <w:position w:val="0"/>
      <w:sz w:val="20"/>
      <w:vertAlign w:val="baseline"/>
    </w:rPr>
  </w:style>
  <w:style w:type="character" w:styleId="ListLabel33">
    <w:name w:val="ListLabel 33"/>
    <w:qFormat/>
    <w:rPr>
      <w:position w:val="0"/>
      <w:sz w:val="20"/>
      <w:vertAlign w:val="baseline"/>
    </w:rPr>
  </w:style>
  <w:style w:type="character" w:styleId="ListLabel34">
    <w:name w:val="ListLabel 34"/>
    <w:qFormat/>
    <w:rPr>
      <w:position w:val="0"/>
      <w:sz w:val="20"/>
      <w:vertAlign w:val="baseline"/>
    </w:rPr>
  </w:style>
  <w:style w:type="character" w:styleId="ListLabel35">
    <w:name w:val="ListLabel 35"/>
    <w:qFormat/>
    <w:rPr>
      <w:position w:val="0"/>
      <w:sz w:val="20"/>
      <w:vertAlign w:val="baseline"/>
    </w:rPr>
  </w:style>
  <w:style w:type="character" w:styleId="ListLabel36">
    <w:name w:val="ListLabel 36"/>
    <w:qFormat/>
    <w:rPr>
      <w:position w:val="0"/>
      <w:sz w:val="20"/>
      <w:vertAlign w:val="baseline"/>
    </w:rPr>
  </w:style>
  <w:style w:type="character" w:styleId="ListLabel37">
    <w:name w:val="ListLabel 37"/>
    <w:qFormat/>
    <w:rPr>
      <w:rFonts w:ascii="Times New Roman" w:hAnsi="Times New Roman"/>
      <w:position w:val="0"/>
      <w:sz w:val="24"/>
      <w:sz w:val="24"/>
      <w:vertAlign w:val="baseline"/>
    </w:rPr>
  </w:style>
  <w:style w:type="character" w:styleId="ListLabel38">
    <w:name w:val="ListLabel 38"/>
    <w:qFormat/>
    <w:rPr>
      <w:position w:val="0"/>
      <w:sz w:val="20"/>
      <w:vertAlign w:val="baseline"/>
    </w:rPr>
  </w:style>
  <w:style w:type="character" w:styleId="ListLabel39">
    <w:name w:val="ListLabel 39"/>
    <w:qFormat/>
    <w:rPr>
      <w:position w:val="0"/>
      <w:sz w:val="20"/>
      <w:vertAlign w:val="baseline"/>
    </w:rPr>
  </w:style>
  <w:style w:type="character" w:styleId="ListLabel40">
    <w:name w:val="ListLabel 40"/>
    <w:qFormat/>
    <w:rPr>
      <w:position w:val="0"/>
      <w:sz w:val="20"/>
      <w:vertAlign w:val="baseline"/>
    </w:rPr>
  </w:style>
  <w:style w:type="character" w:styleId="ListLabel41">
    <w:name w:val="ListLabel 41"/>
    <w:qFormat/>
    <w:rPr>
      <w:position w:val="0"/>
      <w:sz w:val="20"/>
      <w:vertAlign w:val="baseline"/>
    </w:rPr>
  </w:style>
  <w:style w:type="character" w:styleId="ListLabel42">
    <w:name w:val="ListLabel 42"/>
    <w:qFormat/>
    <w:rPr>
      <w:position w:val="0"/>
      <w:sz w:val="20"/>
      <w:vertAlign w:val="baseline"/>
    </w:rPr>
  </w:style>
  <w:style w:type="character" w:styleId="ListLabel43">
    <w:name w:val="ListLabel 43"/>
    <w:qFormat/>
    <w:rPr>
      <w:position w:val="0"/>
      <w:sz w:val="20"/>
      <w:vertAlign w:val="baseline"/>
    </w:rPr>
  </w:style>
  <w:style w:type="character" w:styleId="ListLabel44">
    <w:name w:val="ListLabel 44"/>
    <w:qFormat/>
    <w:rPr>
      <w:position w:val="0"/>
      <w:sz w:val="20"/>
      <w:vertAlign w:val="baseline"/>
    </w:rPr>
  </w:style>
  <w:style w:type="character" w:styleId="ListLabel45">
    <w:name w:val="ListLabel 45"/>
    <w:qFormat/>
    <w:rPr>
      <w:position w:val="0"/>
      <w:sz w:val="20"/>
      <w:vertAlign w:val="baseline"/>
    </w:rPr>
  </w:style>
  <w:style w:type="character" w:styleId="ListLabel46">
    <w:name w:val="ListLabel 46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47">
    <w:name w:val="ListLabel 47"/>
    <w:qFormat/>
    <w:rPr>
      <w:position w:val="0"/>
      <w:sz w:val="20"/>
      <w:vertAlign w:val="baseline"/>
    </w:rPr>
  </w:style>
  <w:style w:type="character" w:styleId="ListLabel48">
    <w:name w:val="ListLabel 48"/>
    <w:qFormat/>
    <w:rPr>
      <w:position w:val="0"/>
      <w:sz w:val="20"/>
      <w:vertAlign w:val="baseline"/>
    </w:rPr>
  </w:style>
  <w:style w:type="character" w:styleId="ListLabel49">
    <w:name w:val="ListLabel 49"/>
    <w:qFormat/>
    <w:rPr>
      <w:position w:val="0"/>
      <w:sz w:val="20"/>
      <w:vertAlign w:val="baseline"/>
    </w:rPr>
  </w:style>
  <w:style w:type="character" w:styleId="ListLabel50">
    <w:name w:val="ListLabel 50"/>
    <w:qFormat/>
    <w:rPr>
      <w:position w:val="0"/>
      <w:sz w:val="20"/>
      <w:vertAlign w:val="baseline"/>
    </w:rPr>
  </w:style>
  <w:style w:type="character" w:styleId="ListLabel51">
    <w:name w:val="ListLabel 51"/>
    <w:qFormat/>
    <w:rPr>
      <w:position w:val="0"/>
      <w:sz w:val="20"/>
      <w:vertAlign w:val="baseline"/>
    </w:rPr>
  </w:style>
  <w:style w:type="character" w:styleId="ListLabel52">
    <w:name w:val="ListLabel 52"/>
    <w:qFormat/>
    <w:rPr>
      <w:position w:val="0"/>
      <w:sz w:val="20"/>
      <w:vertAlign w:val="baseline"/>
    </w:rPr>
  </w:style>
  <w:style w:type="character" w:styleId="ListLabel53">
    <w:name w:val="ListLabel 53"/>
    <w:qFormat/>
    <w:rPr>
      <w:position w:val="0"/>
      <w:sz w:val="20"/>
      <w:vertAlign w:val="baseline"/>
    </w:rPr>
  </w:style>
  <w:style w:type="character" w:styleId="ListLabel54">
    <w:name w:val="ListLabel 54"/>
    <w:qFormat/>
    <w:rPr>
      <w:position w:val="0"/>
      <w:sz w:val="20"/>
      <w:vertAlign w:val="baseline"/>
    </w:rPr>
  </w:style>
  <w:style w:type="character" w:styleId="ListLabel55">
    <w:name w:val="ListLabel 55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56">
    <w:name w:val="ListLabel 56"/>
    <w:qFormat/>
    <w:rPr>
      <w:position w:val="0"/>
      <w:sz w:val="20"/>
      <w:vertAlign w:val="baseline"/>
    </w:rPr>
  </w:style>
  <w:style w:type="character" w:styleId="ListLabel57">
    <w:name w:val="ListLabel 57"/>
    <w:qFormat/>
    <w:rPr>
      <w:position w:val="0"/>
      <w:sz w:val="20"/>
      <w:vertAlign w:val="baseline"/>
    </w:rPr>
  </w:style>
  <w:style w:type="character" w:styleId="ListLabel58">
    <w:name w:val="ListLabel 58"/>
    <w:qFormat/>
    <w:rPr>
      <w:position w:val="0"/>
      <w:sz w:val="20"/>
      <w:vertAlign w:val="baseline"/>
    </w:rPr>
  </w:style>
  <w:style w:type="character" w:styleId="ListLabel59">
    <w:name w:val="ListLabel 59"/>
    <w:qFormat/>
    <w:rPr>
      <w:position w:val="0"/>
      <w:sz w:val="20"/>
      <w:vertAlign w:val="baseline"/>
    </w:rPr>
  </w:style>
  <w:style w:type="character" w:styleId="ListLabel60">
    <w:name w:val="ListLabel 60"/>
    <w:qFormat/>
    <w:rPr>
      <w:position w:val="0"/>
      <w:sz w:val="20"/>
      <w:vertAlign w:val="baseline"/>
    </w:rPr>
  </w:style>
  <w:style w:type="character" w:styleId="ListLabel61">
    <w:name w:val="ListLabel 61"/>
    <w:qFormat/>
    <w:rPr>
      <w:position w:val="0"/>
      <w:sz w:val="20"/>
      <w:vertAlign w:val="baseline"/>
    </w:rPr>
  </w:style>
  <w:style w:type="character" w:styleId="ListLabel62">
    <w:name w:val="ListLabel 62"/>
    <w:qFormat/>
    <w:rPr>
      <w:position w:val="0"/>
      <w:sz w:val="20"/>
      <w:vertAlign w:val="baseline"/>
    </w:rPr>
  </w:style>
  <w:style w:type="character" w:styleId="ListLabel63">
    <w:name w:val="ListLabel 63"/>
    <w:qFormat/>
    <w:rPr>
      <w:position w:val="0"/>
      <w:sz w:val="20"/>
      <w:vertAlign w:val="baseline"/>
    </w:rPr>
  </w:style>
  <w:style w:type="character" w:styleId="ListLabel64">
    <w:name w:val="ListLabel 64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65">
    <w:name w:val="ListLabel 65"/>
    <w:qFormat/>
    <w:rPr>
      <w:position w:val="0"/>
      <w:sz w:val="20"/>
      <w:vertAlign w:val="baseline"/>
    </w:rPr>
  </w:style>
  <w:style w:type="character" w:styleId="ListLabel66">
    <w:name w:val="ListLabel 66"/>
    <w:qFormat/>
    <w:rPr>
      <w:position w:val="0"/>
      <w:sz w:val="20"/>
      <w:vertAlign w:val="baseline"/>
    </w:rPr>
  </w:style>
  <w:style w:type="character" w:styleId="ListLabel67">
    <w:name w:val="ListLabel 67"/>
    <w:qFormat/>
    <w:rPr>
      <w:position w:val="0"/>
      <w:sz w:val="20"/>
      <w:vertAlign w:val="baseline"/>
    </w:rPr>
  </w:style>
  <w:style w:type="character" w:styleId="ListLabel68">
    <w:name w:val="ListLabel 68"/>
    <w:qFormat/>
    <w:rPr>
      <w:position w:val="0"/>
      <w:sz w:val="20"/>
      <w:vertAlign w:val="baseline"/>
    </w:rPr>
  </w:style>
  <w:style w:type="character" w:styleId="ListLabel69">
    <w:name w:val="ListLabel 69"/>
    <w:qFormat/>
    <w:rPr>
      <w:position w:val="0"/>
      <w:sz w:val="20"/>
      <w:vertAlign w:val="baseline"/>
    </w:rPr>
  </w:style>
  <w:style w:type="character" w:styleId="ListLabel70">
    <w:name w:val="ListLabel 70"/>
    <w:qFormat/>
    <w:rPr>
      <w:position w:val="0"/>
      <w:sz w:val="20"/>
      <w:vertAlign w:val="baseline"/>
    </w:rPr>
  </w:style>
  <w:style w:type="character" w:styleId="ListLabel71">
    <w:name w:val="ListLabel 71"/>
    <w:qFormat/>
    <w:rPr>
      <w:position w:val="0"/>
      <w:sz w:val="20"/>
      <w:vertAlign w:val="baseline"/>
    </w:rPr>
  </w:style>
  <w:style w:type="character" w:styleId="ListLabel72">
    <w:name w:val="ListLabel 72"/>
    <w:qFormat/>
    <w:rPr>
      <w:position w:val="0"/>
      <w:sz w:val="20"/>
      <w:vertAlign w:val="baseline"/>
    </w:rPr>
  </w:style>
  <w:style w:type="character" w:styleId="ListLabel73">
    <w:name w:val="ListLabel 73"/>
    <w:qFormat/>
    <w:rPr>
      <w:rFonts w:ascii="Times New Roman" w:hAnsi="Times New Roman"/>
      <w:b/>
      <w:position w:val="0"/>
      <w:sz w:val="24"/>
      <w:sz w:val="24"/>
      <w:vertAlign w:val="baseline"/>
    </w:rPr>
  </w:style>
  <w:style w:type="character" w:styleId="ListLabel74">
    <w:name w:val="ListLabel 74"/>
    <w:qFormat/>
    <w:rPr>
      <w:position w:val="0"/>
      <w:sz w:val="20"/>
      <w:vertAlign w:val="baseline"/>
    </w:rPr>
  </w:style>
  <w:style w:type="character" w:styleId="ListLabel75">
    <w:name w:val="ListLabel 75"/>
    <w:qFormat/>
    <w:rPr>
      <w:position w:val="0"/>
      <w:sz w:val="20"/>
      <w:vertAlign w:val="baseline"/>
    </w:rPr>
  </w:style>
  <w:style w:type="character" w:styleId="ListLabel76">
    <w:name w:val="ListLabel 76"/>
    <w:qFormat/>
    <w:rPr>
      <w:position w:val="0"/>
      <w:sz w:val="20"/>
      <w:vertAlign w:val="baseline"/>
    </w:rPr>
  </w:style>
  <w:style w:type="character" w:styleId="ListLabel77">
    <w:name w:val="ListLabel 77"/>
    <w:qFormat/>
    <w:rPr>
      <w:position w:val="0"/>
      <w:sz w:val="20"/>
      <w:vertAlign w:val="baseline"/>
    </w:rPr>
  </w:style>
  <w:style w:type="character" w:styleId="ListLabel78">
    <w:name w:val="ListLabel 78"/>
    <w:qFormat/>
    <w:rPr>
      <w:position w:val="0"/>
      <w:sz w:val="20"/>
      <w:vertAlign w:val="baseline"/>
    </w:rPr>
  </w:style>
  <w:style w:type="character" w:styleId="ListLabel79">
    <w:name w:val="ListLabel 79"/>
    <w:qFormat/>
    <w:rPr>
      <w:position w:val="0"/>
      <w:sz w:val="20"/>
      <w:vertAlign w:val="baseline"/>
    </w:rPr>
  </w:style>
  <w:style w:type="character" w:styleId="ListLabel80">
    <w:name w:val="ListLabel 80"/>
    <w:qFormat/>
    <w:rPr>
      <w:position w:val="0"/>
      <w:sz w:val="20"/>
      <w:vertAlign w:val="baseline"/>
    </w:rPr>
  </w:style>
  <w:style w:type="character" w:styleId="ListLabel81">
    <w:name w:val="ListLabel 81"/>
    <w:qFormat/>
    <w:rPr>
      <w:position w:val="0"/>
      <w:sz w:val="20"/>
      <w:vertAlign w:val="baseline"/>
    </w:rPr>
  </w:style>
  <w:style w:type="character" w:styleId="ListLabel82">
    <w:name w:val="ListLabel 82"/>
    <w:qFormat/>
    <w:rPr>
      <w:rFonts w:ascii="Times New Roman" w:hAnsi="Times New Roman"/>
      <w:b/>
      <w:position w:val="0"/>
      <w:sz w:val="24"/>
      <w:sz w:val="24"/>
      <w:vertAlign w:val="baseline"/>
    </w:rPr>
  </w:style>
  <w:style w:type="character" w:styleId="ListLabel83">
    <w:name w:val="ListLabel 83"/>
    <w:qFormat/>
    <w:rPr>
      <w:position w:val="0"/>
      <w:sz w:val="20"/>
      <w:vertAlign w:val="baseline"/>
    </w:rPr>
  </w:style>
  <w:style w:type="character" w:styleId="ListLabel84">
    <w:name w:val="ListLabel 84"/>
    <w:qFormat/>
    <w:rPr>
      <w:position w:val="0"/>
      <w:sz w:val="20"/>
      <w:vertAlign w:val="baseline"/>
    </w:rPr>
  </w:style>
  <w:style w:type="character" w:styleId="ListLabel85">
    <w:name w:val="ListLabel 85"/>
    <w:qFormat/>
    <w:rPr>
      <w:position w:val="0"/>
      <w:sz w:val="20"/>
      <w:vertAlign w:val="baseline"/>
    </w:rPr>
  </w:style>
  <w:style w:type="character" w:styleId="ListLabel86">
    <w:name w:val="ListLabel 86"/>
    <w:qFormat/>
    <w:rPr>
      <w:position w:val="0"/>
      <w:sz w:val="20"/>
      <w:vertAlign w:val="baseline"/>
    </w:rPr>
  </w:style>
  <w:style w:type="character" w:styleId="ListLabel87">
    <w:name w:val="ListLabel 87"/>
    <w:qFormat/>
    <w:rPr>
      <w:position w:val="0"/>
      <w:sz w:val="20"/>
      <w:vertAlign w:val="baseline"/>
    </w:rPr>
  </w:style>
  <w:style w:type="character" w:styleId="ListLabel88">
    <w:name w:val="ListLabel 88"/>
    <w:qFormat/>
    <w:rPr>
      <w:position w:val="0"/>
      <w:sz w:val="20"/>
      <w:vertAlign w:val="baseline"/>
    </w:rPr>
  </w:style>
  <w:style w:type="character" w:styleId="ListLabel89">
    <w:name w:val="ListLabel 89"/>
    <w:qFormat/>
    <w:rPr>
      <w:position w:val="0"/>
      <w:sz w:val="20"/>
      <w:vertAlign w:val="baseline"/>
    </w:rPr>
  </w:style>
  <w:style w:type="character" w:styleId="ListLabel90">
    <w:name w:val="ListLabel 90"/>
    <w:qFormat/>
    <w:rPr>
      <w:position w:val="0"/>
      <w:sz w:val="20"/>
      <w:vertAlign w:val="baseline"/>
    </w:rPr>
  </w:style>
  <w:style w:type="character" w:styleId="ListLabel91">
    <w:name w:val="ListLabel 91"/>
    <w:qFormat/>
    <w:rPr>
      <w:rFonts w:ascii="Times New Roman" w:hAnsi="Times New Roman" w:eastAsia="Times New Roman" w:cs="Times New Roman"/>
      <w:color w:val="FF0000"/>
      <w:position w:val="0"/>
      <w:sz w:val="20"/>
      <w:vertAlign w:val="baseline"/>
    </w:rPr>
  </w:style>
  <w:style w:type="character" w:styleId="ListLabel92">
    <w:name w:val="ListLabel 92"/>
    <w:qFormat/>
    <w:rPr>
      <w:rFonts w:eastAsia="Courier New" w:cs="Courier New"/>
      <w:position w:val="0"/>
      <w:sz w:val="20"/>
      <w:vertAlign w:val="baseline"/>
    </w:rPr>
  </w:style>
  <w:style w:type="character" w:styleId="ListLabel93">
    <w:name w:val="ListLabel 93"/>
    <w:qFormat/>
    <w:rPr>
      <w:rFonts w:eastAsia="Noto Sans Symbols" w:cs="Noto Sans Symbols"/>
      <w:position w:val="0"/>
      <w:sz w:val="20"/>
      <w:vertAlign w:val="baseline"/>
    </w:rPr>
  </w:style>
  <w:style w:type="character" w:styleId="ListLabel94">
    <w:name w:val="ListLabel 94"/>
    <w:qFormat/>
    <w:rPr>
      <w:rFonts w:eastAsia="Noto Sans Symbols" w:cs="Noto Sans Symbols"/>
      <w:position w:val="0"/>
      <w:sz w:val="20"/>
      <w:vertAlign w:val="baseline"/>
    </w:rPr>
  </w:style>
  <w:style w:type="character" w:styleId="ListLabel95">
    <w:name w:val="ListLabel 95"/>
    <w:qFormat/>
    <w:rPr>
      <w:rFonts w:eastAsia="Courier New" w:cs="Courier New"/>
      <w:position w:val="0"/>
      <w:sz w:val="20"/>
      <w:vertAlign w:val="baseline"/>
    </w:rPr>
  </w:style>
  <w:style w:type="character" w:styleId="ListLabel96">
    <w:name w:val="ListLabel 96"/>
    <w:qFormat/>
    <w:rPr>
      <w:rFonts w:eastAsia="Noto Sans Symbols" w:cs="Noto Sans Symbols"/>
      <w:position w:val="0"/>
      <w:sz w:val="20"/>
      <w:vertAlign w:val="baseline"/>
    </w:rPr>
  </w:style>
  <w:style w:type="character" w:styleId="ListLabel97">
    <w:name w:val="ListLabel 97"/>
    <w:qFormat/>
    <w:rPr>
      <w:rFonts w:eastAsia="Noto Sans Symbols" w:cs="Noto Sans Symbols"/>
      <w:position w:val="0"/>
      <w:sz w:val="20"/>
      <w:vertAlign w:val="baseline"/>
    </w:rPr>
  </w:style>
  <w:style w:type="character" w:styleId="ListLabel98">
    <w:name w:val="ListLabel 98"/>
    <w:qFormat/>
    <w:rPr>
      <w:rFonts w:eastAsia="Courier New" w:cs="Courier New"/>
      <w:position w:val="0"/>
      <w:sz w:val="20"/>
      <w:vertAlign w:val="baseline"/>
    </w:rPr>
  </w:style>
  <w:style w:type="character" w:styleId="ListLabel99">
    <w:name w:val="ListLabel 99"/>
    <w:qFormat/>
    <w:rPr>
      <w:rFonts w:eastAsia="Noto Sans Symbols" w:cs="Noto Sans Symbols"/>
      <w:position w:val="0"/>
      <w:sz w:val="20"/>
      <w:vertAlign w:val="baseline"/>
    </w:rPr>
  </w:style>
  <w:style w:type="character" w:styleId="ListLabel100">
    <w:name w:val="ListLabel 100"/>
    <w:qFormat/>
    <w:rPr>
      <w:b w:val="false"/>
      <w:position w:val="0"/>
      <w:sz w:val="20"/>
      <w:vertAlign w:val="baseline"/>
    </w:rPr>
  </w:style>
  <w:style w:type="character" w:styleId="ListLabel101">
    <w:name w:val="ListLabel 101"/>
    <w:qFormat/>
    <w:rPr>
      <w:position w:val="0"/>
      <w:sz w:val="20"/>
      <w:vertAlign w:val="baseline"/>
    </w:rPr>
  </w:style>
  <w:style w:type="character" w:styleId="ListLabel102">
    <w:name w:val="ListLabel 102"/>
    <w:qFormat/>
    <w:rPr>
      <w:position w:val="0"/>
      <w:sz w:val="20"/>
      <w:vertAlign w:val="baseline"/>
    </w:rPr>
  </w:style>
  <w:style w:type="character" w:styleId="ListLabel103">
    <w:name w:val="ListLabel 103"/>
    <w:qFormat/>
    <w:rPr>
      <w:position w:val="0"/>
      <w:sz w:val="20"/>
      <w:vertAlign w:val="baseline"/>
    </w:rPr>
  </w:style>
  <w:style w:type="character" w:styleId="ListLabel104">
    <w:name w:val="ListLabel 104"/>
    <w:qFormat/>
    <w:rPr>
      <w:position w:val="0"/>
      <w:sz w:val="20"/>
      <w:vertAlign w:val="baseline"/>
    </w:rPr>
  </w:style>
  <w:style w:type="character" w:styleId="ListLabel105">
    <w:name w:val="ListLabel 105"/>
    <w:qFormat/>
    <w:rPr>
      <w:position w:val="0"/>
      <w:sz w:val="20"/>
      <w:vertAlign w:val="baseline"/>
    </w:rPr>
  </w:style>
  <w:style w:type="character" w:styleId="ListLabel106">
    <w:name w:val="ListLabel 106"/>
    <w:qFormat/>
    <w:rPr>
      <w:position w:val="0"/>
      <w:sz w:val="20"/>
      <w:vertAlign w:val="baseline"/>
    </w:rPr>
  </w:style>
  <w:style w:type="character" w:styleId="ListLabel107">
    <w:name w:val="ListLabel 107"/>
    <w:qFormat/>
    <w:rPr>
      <w:position w:val="0"/>
      <w:sz w:val="20"/>
      <w:vertAlign w:val="baseline"/>
    </w:rPr>
  </w:style>
  <w:style w:type="character" w:styleId="ListLabel108">
    <w:name w:val="ListLabel 108"/>
    <w:qFormat/>
    <w:rPr>
      <w:position w:val="0"/>
      <w:sz w:val="20"/>
      <w:vertAlign w:val="baseline"/>
    </w:rPr>
  </w:style>
  <w:style w:type="character" w:styleId="ListLabel109">
    <w:name w:val="ListLabel 109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110">
    <w:name w:val="ListLabel 110"/>
    <w:qFormat/>
    <w:rPr>
      <w:position w:val="0"/>
      <w:sz w:val="20"/>
      <w:vertAlign w:val="baseline"/>
    </w:rPr>
  </w:style>
  <w:style w:type="character" w:styleId="ListLabel111">
    <w:name w:val="ListLabel 111"/>
    <w:qFormat/>
    <w:rPr>
      <w:position w:val="0"/>
      <w:sz w:val="20"/>
      <w:vertAlign w:val="baseline"/>
    </w:rPr>
  </w:style>
  <w:style w:type="character" w:styleId="ListLabel112">
    <w:name w:val="ListLabel 112"/>
    <w:qFormat/>
    <w:rPr>
      <w:position w:val="0"/>
      <w:sz w:val="20"/>
      <w:vertAlign w:val="baseline"/>
    </w:rPr>
  </w:style>
  <w:style w:type="character" w:styleId="ListLabel113">
    <w:name w:val="ListLabel 113"/>
    <w:qFormat/>
    <w:rPr>
      <w:position w:val="0"/>
      <w:sz w:val="20"/>
      <w:vertAlign w:val="baseline"/>
    </w:rPr>
  </w:style>
  <w:style w:type="character" w:styleId="ListLabel114">
    <w:name w:val="ListLabel 114"/>
    <w:qFormat/>
    <w:rPr>
      <w:position w:val="0"/>
      <w:sz w:val="20"/>
      <w:vertAlign w:val="baseline"/>
    </w:rPr>
  </w:style>
  <w:style w:type="character" w:styleId="ListLabel115">
    <w:name w:val="ListLabel 115"/>
    <w:qFormat/>
    <w:rPr>
      <w:position w:val="0"/>
      <w:sz w:val="20"/>
      <w:vertAlign w:val="baseline"/>
    </w:rPr>
  </w:style>
  <w:style w:type="character" w:styleId="ListLabel116">
    <w:name w:val="ListLabel 116"/>
    <w:qFormat/>
    <w:rPr>
      <w:position w:val="0"/>
      <w:sz w:val="20"/>
      <w:vertAlign w:val="baseline"/>
    </w:rPr>
  </w:style>
  <w:style w:type="character" w:styleId="ListLabel117">
    <w:name w:val="ListLabel 117"/>
    <w:qFormat/>
    <w:rPr>
      <w:position w:val="0"/>
      <w:sz w:val="20"/>
      <w:vertAlign w:val="baseline"/>
    </w:rPr>
  </w:style>
  <w:style w:type="character" w:styleId="ListLabel118">
    <w:name w:val="ListLabel 118"/>
    <w:qFormat/>
    <w:rPr>
      <w:rFonts w:ascii="Times New Roman" w:hAnsi="Times New Roman"/>
      <w:position w:val="0"/>
      <w:sz w:val="20"/>
      <w:vertAlign w:val="baseline"/>
    </w:rPr>
  </w:style>
  <w:style w:type="character" w:styleId="ListLabel119">
    <w:name w:val="ListLabel 119"/>
    <w:qFormat/>
    <w:rPr>
      <w:position w:val="0"/>
      <w:sz w:val="20"/>
      <w:vertAlign w:val="baseline"/>
    </w:rPr>
  </w:style>
  <w:style w:type="character" w:styleId="ListLabel120">
    <w:name w:val="ListLabel 120"/>
    <w:qFormat/>
    <w:rPr>
      <w:position w:val="0"/>
      <w:sz w:val="20"/>
      <w:vertAlign w:val="baseline"/>
    </w:rPr>
  </w:style>
  <w:style w:type="character" w:styleId="ListLabel121">
    <w:name w:val="ListLabel 121"/>
    <w:qFormat/>
    <w:rPr>
      <w:position w:val="0"/>
      <w:sz w:val="20"/>
      <w:vertAlign w:val="baseline"/>
    </w:rPr>
  </w:style>
  <w:style w:type="character" w:styleId="ListLabel122">
    <w:name w:val="ListLabel 122"/>
    <w:qFormat/>
    <w:rPr>
      <w:position w:val="0"/>
      <w:sz w:val="20"/>
      <w:vertAlign w:val="baseline"/>
    </w:rPr>
  </w:style>
  <w:style w:type="character" w:styleId="ListLabel123">
    <w:name w:val="ListLabel 123"/>
    <w:qFormat/>
    <w:rPr>
      <w:position w:val="0"/>
      <w:sz w:val="20"/>
      <w:vertAlign w:val="baseline"/>
    </w:rPr>
  </w:style>
  <w:style w:type="character" w:styleId="ListLabel124">
    <w:name w:val="ListLabel 124"/>
    <w:qFormat/>
    <w:rPr>
      <w:position w:val="0"/>
      <w:sz w:val="20"/>
      <w:vertAlign w:val="baseline"/>
    </w:rPr>
  </w:style>
  <w:style w:type="character" w:styleId="ListLabel125">
    <w:name w:val="ListLabel 125"/>
    <w:qFormat/>
    <w:rPr>
      <w:position w:val="0"/>
      <w:sz w:val="20"/>
      <w:vertAlign w:val="baseline"/>
    </w:rPr>
  </w:style>
  <w:style w:type="character" w:styleId="ListLabel126">
    <w:name w:val="ListLabel 126"/>
    <w:qFormat/>
    <w:rPr>
      <w:position w:val="0"/>
      <w:sz w:val="20"/>
      <w:vertAlign w:val="baseline"/>
    </w:rPr>
  </w:style>
  <w:style w:type="character" w:styleId="ListLabel127">
    <w:name w:val="ListLabel 127"/>
    <w:qFormat/>
    <w:rPr>
      <w:rFonts w:ascii="Times New Roman" w:hAnsi="Times New Roman"/>
      <w:position w:val="0"/>
      <w:sz w:val="24"/>
      <w:sz w:val="24"/>
      <w:vertAlign w:val="baseline"/>
    </w:rPr>
  </w:style>
  <w:style w:type="character" w:styleId="ListLabel128">
    <w:name w:val="ListLabel 128"/>
    <w:qFormat/>
    <w:rPr>
      <w:position w:val="0"/>
      <w:sz w:val="20"/>
      <w:vertAlign w:val="baseline"/>
    </w:rPr>
  </w:style>
  <w:style w:type="character" w:styleId="ListLabel129">
    <w:name w:val="ListLabel 129"/>
    <w:qFormat/>
    <w:rPr>
      <w:position w:val="0"/>
      <w:sz w:val="20"/>
      <w:vertAlign w:val="baseline"/>
    </w:rPr>
  </w:style>
  <w:style w:type="character" w:styleId="ListLabel130">
    <w:name w:val="ListLabel 130"/>
    <w:qFormat/>
    <w:rPr>
      <w:position w:val="0"/>
      <w:sz w:val="20"/>
      <w:vertAlign w:val="baseline"/>
    </w:rPr>
  </w:style>
  <w:style w:type="character" w:styleId="ListLabel131">
    <w:name w:val="ListLabel 131"/>
    <w:qFormat/>
    <w:rPr>
      <w:position w:val="0"/>
      <w:sz w:val="20"/>
      <w:vertAlign w:val="baseline"/>
    </w:rPr>
  </w:style>
  <w:style w:type="character" w:styleId="ListLabel132">
    <w:name w:val="ListLabel 132"/>
    <w:qFormat/>
    <w:rPr>
      <w:position w:val="0"/>
      <w:sz w:val="20"/>
      <w:vertAlign w:val="baseline"/>
    </w:rPr>
  </w:style>
  <w:style w:type="character" w:styleId="ListLabel133">
    <w:name w:val="ListLabel 133"/>
    <w:qFormat/>
    <w:rPr>
      <w:position w:val="0"/>
      <w:sz w:val="20"/>
      <w:vertAlign w:val="baseline"/>
    </w:rPr>
  </w:style>
  <w:style w:type="character" w:styleId="ListLabel134">
    <w:name w:val="ListLabel 134"/>
    <w:qFormat/>
    <w:rPr>
      <w:position w:val="0"/>
      <w:sz w:val="20"/>
      <w:vertAlign w:val="baseline"/>
    </w:rPr>
  </w:style>
  <w:style w:type="character" w:styleId="ListLabel135">
    <w:name w:val="ListLabel 135"/>
    <w:qFormat/>
    <w:rPr>
      <w:position w:val="0"/>
      <w:sz w:val="20"/>
      <w:vertAlign w:val="baseline"/>
    </w:rPr>
  </w:style>
  <w:style w:type="character" w:styleId="ListLabel136">
    <w:name w:val="ListLabel 136"/>
    <w:qFormat/>
    <w:rPr>
      <w:rFonts w:ascii="Times New Roman" w:hAnsi="Times New Roman" w:eastAsia="Times New Roman" w:cs="Times New Roman"/>
      <w:position w:val="0"/>
      <w:sz w:val="24"/>
      <w:sz w:val="24"/>
      <w:vertAlign w:val="baseline"/>
    </w:rPr>
  </w:style>
  <w:style w:type="character" w:styleId="ListLabel137">
    <w:name w:val="ListLabel 137"/>
    <w:qFormat/>
    <w:rPr>
      <w:rFonts w:eastAsia="Courier New" w:cs="Courier New"/>
      <w:position w:val="0"/>
      <w:sz w:val="20"/>
      <w:vertAlign w:val="baseline"/>
    </w:rPr>
  </w:style>
  <w:style w:type="character" w:styleId="ListLabel138">
    <w:name w:val="ListLabel 138"/>
    <w:qFormat/>
    <w:rPr>
      <w:rFonts w:eastAsia="Noto Sans Symbols" w:cs="Noto Sans Symbols"/>
      <w:position w:val="0"/>
      <w:sz w:val="20"/>
      <w:vertAlign w:val="baseline"/>
    </w:rPr>
  </w:style>
  <w:style w:type="character" w:styleId="ListLabel139">
    <w:name w:val="ListLabel 139"/>
    <w:qFormat/>
    <w:rPr>
      <w:rFonts w:eastAsia="Noto Sans Symbols" w:cs="Noto Sans Symbols"/>
      <w:position w:val="0"/>
      <w:sz w:val="20"/>
      <w:vertAlign w:val="baseline"/>
    </w:rPr>
  </w:style>
  <w:style w:type="character" w:styleId="ListLabel140">
    <w:name w:val="ListLabel 140"/>
    <w:qFormat/>
    <w:rPr>
      <w:rFonts w:eastAsia="Courier New" w:cs="Courier New"/>
      <w:position w:val="0"/>
      <w:sz w:val="20"/>
      <w:vertAlign w:val="baseline"/>
    </w:rPr>
  </w:style>
  <w:style w:type="character" w:styleId="ListLabel141">
    <w:name w:val="ListLabel 141"/>
    <w:qFormat/>
    <w:rPr>
      <w:rFonts w:eastAsia="Noto Sans Symbols" w:cs="Noto Sans Symbols"/>
      <w:position w:val="0"/>
      <w:sz w:val="20"/>
      <w:vertAlign w:val="baseline"/>
    </w:rPr>
  </w:style>
  <w:style w:type="character" w:styleId="ListLabel142">
    <w:name w:val="ListLabel 142"/>
    <w:qFormat/>
    <w:rPr>
      <w:rFonts w:eastAsia="Noto Sans Symbols" w:cs="Noto Sans Symbols"/>
      <w:position w:val="0"/>
      <w:sz w:val="20"/>
      <w:vertAlign w:val="baseline"/>
    </w:rPr>
  </w:style>
  <w:style w:type="character" w:styleId="ListLabel143">
    <w:name w:val="ListLabel 143"/>
    <w:qFormat/>
    <w:rPr>
      <w:rFonts w:eastAsia="Courier New" w:cs="Courier New"/>
      <w:position w:val="0"/>
      <w:sz w:val="20"/>
      <w:vertAlign w:val="baseline"/>
    </w:rPr>
  </w:style>
  <w:style w:type="character" w:styleId="ListLabel144">
    <w:name w:val="ListLabel 144"/>
    <w:qFormat/>
    <w:rPr>
      <w:rFonts w:eastAsia="Noto Sans Symbols" w:cs="Noto Sans Symbols"/>
      <w:position w:val="0"/>
      <w:sz w:val="20"/>
      <w:vertAlign w:val="baseline"/>
    </w:rPr>
  </w:style>
  <w:style w:type="character" w:styleId="ListLabel145">
    <w:name w:val="ListLabel 145"/>
    <w:qFormat/>
    <w:rPr>
      <w:rFonts w:ascii="Times New Roman" w:hAnsi="Times New Roman"/>
      <w:b/>
      <w:position w:val="0"/>
      <w:sz w:val="24"/>
      <w:sz w:val="24"/>
      <w:szCs w:val="24"/>
      <w:vertAlign w:val="baseline"/>
    </w:rPr>
  </w:style>
  <w:style w:type="character" w:styleId="ListLabel146">
    <w:name w:val="ListLabel 146"/>
    <w:qFormat/>
    <w:rPr>
      <w:position w:val="0"/>
      <w:sz w:val="20"/>
      <w:vertAlign w:val="baseline"/>
    </w:rPr>
  </w:style>
  <w:style w:type="character" w:styleId="ListLabel147">
    <w:name w:val="ListLabel 147"/>
    <w:qFormat/>
    <w:rPr>
      <w:position w:val="0"/>
      <w:sz w:val="20"/>
      <w:vertAlign w:val="baseline"/>
    </w:rPr>
  </w:style>
  <w:style w:type="character" w:styleId="ListLabel148">
    <w:name w:val="ListLabel 148"/>
    <w:qFormat/>
    <w:rPr>
      <w:position w:val="0"/>
      <w:sz w:val="20"/>
      <w:vertAlign w:val="baseline"/>
    </w:rPr>
  </w:style>
  <w:style w:type="character" w:styleId="ListLabel149">
    <w:name w:val="ListLabel 149"/>
    <w:qFormat/>
    <w:rPr>
      <w:position w:val="0"/>
      <w:sz w:val="20"/>
      <w:vertAlign w:val="baseline"/>
    </w:rPr>
  </w:style>
  <w:style w:type="character" w:styleId="ListLabel150">
    <w:name w:val="ListLabel 150"/>
    <w:qFormat/>
    <w:rPr>
      <w:position w:val="0"/>
      <w:sz w:val="20"/>
      <w:vertAlign w:val="baseline"/>
    </w:rPr>
  </w:style>
  <w:style w:type="character" w:styleId="ListLabel151">
    <w:name w:val="ListLabel 151"/>
    <w:qFormat/>
    <w:rPr>
      <w:position w:val="0"/>
      <w:sz w:val="20"/>
      <w:vertAlign w:val="baseline"/>
    </w:rPr>
  </w:style>
  <w:style w:type="character" w:styleId="ListLabel152">
    <w:name w:val="ListLabel 152"/>
    <w:qFormat/>
    <w:rPr>
      <w:position w:val="0"/>
      <w:sz w:val="20"/>
      <w:vertAlign w:val="baseline"/>
    </w:rPr>
  </w:style>
  <w:style w:type="character" w:styleId="ListLabel153">
    <w:name w:val="ListLabel 153"/>
    <w:qFormat/>
    <w:rPr>
      <w:position w:val="0"/>
      <w:sz w:val="20"/>
      <w:vertAlign w:val="baseline"/>
    </w:rPr>
  </w:style>
  <w:style w:type="character" w:styleId="ListLabel154">
    <w:name w:val="ListLabel 154"/>
    <w:qFormat/>
    <w:rPr>
      <w:rFonts w:ascii="Times New Roman" w:hAnsi="Times New Roman" w:eastAsia="Times New Roman" w:cs="Times New Roman"/>
      <w:position w:val="0"/>
      <w:sz w:val="24"/>
      <w:sz w:val="24"/>
      <w:vertAlign w:val="baseline"/>
    </w:rPr>
  </w:style>
  <w:style w:type="character" w:styleId="ListLabel155">
    <w:name w:val="ListLabel 155"/>
    <w:qFormat/>
    <w:rPr>
      <w:rFonts w:eastAsia="Courier New" w:cs="Courier New"/>
      <w:position w:val="0"/>
      <w:sz w:val="20"/>
      <w:vertAlign w:val="baseline"/>
    </w:rPr>
  </w:style>
  <w:style w:type="character" w:styleId="ListLabel156">
    <w:name w:val="ListLabel 156"/>
    <w:qFormat/>
    <w:rPr>
      <w:rFonts w:eastAsia="Noto Sans Symbols" w:cs="Noto Sans Symbols"/>
      <w:position w:val="0"/>
      <w:sz w:val="20"/>
      <w:vertAlign w:val="baseline"/>
    </w:rPr>
  </w:style>
  <w:style w:type="character" w:styleId="ListLabel157">
    <w:name w:val="ListLabel 157"/>
    <w:qFormat/>
    <w:rPr>
      <w:rFonts w:eastAsia="Noto Sans Symbols" w:cs="Noto Sans Symbols"/>
      <w:position w:val="0"/>
      <w:sz w:val="20"/>
      <w:vertAlign w:val="baseline"/>
    </w:rPr>
  </w:style>
  <w:style w:type="character" w:styleId="ListLabel158">
    <w:name w:val="ListLabel 158"/>
    <w:qFormat/>
    <w:rPr>
      <w:rFonts w:eastAsia="Courier New" w:cs="Courier New"/>
      <w:position w:val="0"/>
      <w:sz w:val="20"/>
      <w:vertAlign w:val="baseline"/>
    </w:rPr>
  </w:style>
  <w:style w:type="character" w:styleId="ListLabel159">
    <w:name w:val="ListLabel 159"/>
    <w:qFormat/>
    <w:rPr>
      <w:rFonts w:eastAsia="Noto Sans Symbols" w:cs="Noto Sans Symbols"/>
      <w:position w:val="0"/>
      <w:sz w:val="20"/>
      <w:vertAlign w:val="baseline"/>
    </w:rPr>
  </w:style>
  <w:style w:type="character" w:styleId="ListLabel160">
    <w:name w:val="ListLabel 160"/>
    <w:qFormat/>
    <w:rPr>
      <w:rFonts w:eastAsia="Noto Sans Symbols" w:cs="Noto Sans Symbols"/>
      <w:position w:val="0"/>
      <w:sz w:val="20"/>
      <w:vertAlign w:val="baseline"/>
    </w:rPr>
  </w:style>
  <w:style w:type="character" w:styleId="ListLabel161">
    <w:name w:val="ListLabel 161"/>
    <w:qFormat/>
    <w:rPr>
      <w:rFonts w:eastAsia="Courier New" w:cs="Courier New"/>
      <w:position w:val="0"/>
      <w:sz w:val="20"/>
      <w:vertAlign w:val="baseline"/>
    </w:rPr>
  </w:style>
  <w:style w:type="character" w:styleId="ListLabel162">
    <w:name w:val="ListLabel 162"/>
    <w:qFormat/>
    <w:rPr>
      <w:rFonts w:eastAsia="Noto Sans Symbols" w:cs="Noto Sans Symbols"/>
      <w:position w:val="0"/>
      <w:sz w:val="20"/>
      <w:vertAlign w:val="baseline"/>
    </w:rPr>
  </w:style>
  <w:style w:type="character" w:styleId="ListLabel163">
    <w:name w:val="ListLabel 163"/>
    <w:qFormat/>
    <w:rPr>
      <w:rFonts w:ascii="Times New Roman" w:hAnsi="Times New Roman"/>
      <w:b w:val="false"/>
      <w:position w:val="0"/>
      <w:sz w:val="24"/>
      <w:sz w:val="24"/>
      <w:vertAlign w:val="baseline"/>
    </w:rPr>
  </w:style>
  <w:style w:type="character" w:styleId="ListLabel164">
    <w:name w:val="ListLabel 164"/>
    <w:qFormat/>
    <w:rPr>
      <w:position w:val="0"/>
      <w:sz w:val="20"/>
      <w:vertAlign w:val="baseline"/>
    </w:rPr>
  </w:style>
  <w:style w:type="character" w:styleId="ListLabel165">
    <w:name w:val="ListLabel 165"/>
    <w:qFormat/>
    <w:rPr>
      <w:position w:val="0"/>
      <w:sz w:val="20"/>
      <w:vertAlign w:val="baseline"/>
    </w:rPr>
  </w:style>
  <w:style w:type="character" w:styleId="ListLabel166">
    <w:name w:val="ListLabel 166"/>
    <w:qFormat/>
    <w:rPr>
      <w:position w:val="0"/>
      <w:sz w:val="20"/>
      <w:vertAlign w:val="baseline"/>
    </w:rPr>
  </w:style>
  <w:style w:type="character" w:styleId="ListLabel167">
    <w:name w:val="ListLabel 167"/>
    <w:qFormat/>
    <w:rPr>
      <w:position w:val="0"/>
      <w:sz w:val="20"/>
      <w:vertAlign w:val="baseline"/>
    </w:rPr>
  </w:style>
  <w:style w:type="character" w:styleId="ListLabel168">
    <w:name w:val="ListLabel 168"/>
    <w:qFormat/>
    <w:rPr>
      <w:position w:val="0"/>
      <w:sz w:val="20"/>
      <w:vertAlign w:val="baseline"/>
    </w:rPr>
  </w:style>
  <w:style w:type="character" w:styleId="ListLabel169">
    <w:name w:val="ListLabel 169"/>
    <w:qFormat/>
    <w:rPr>
      <w:position w:val="0"/>
      <w:sz w:val="20"/>
      <w:vertAlign w:val="baseline"/>
    </w:rPr>
  </w:style>
  <w:style w:type="character" w:styleId="ListLabel170">
    <w:name w:val="ListLabel 170"/>
    <w:qFormat/>
    <w:rPr>
      <w:position w:val="0"/>
      <w:sz w:val="20"/>
      <w:vertAlign w:val="baseline"/>
    </w:rPr>
  </w:style>
  <w:style w:type="character" w:styleId="ListLabel171">
    <w:name w:val="ListLabel 171"/>
    <w:qFormat/>
    <w:rPr>
      <w:position w:val="0"/>
      <w:sz w:val="20"/>
      <w:vertAlign w:val="baseline"/>
    </w:rPr>
  </w:style>
  <w:style w:type="character" w:styleId="ListLabel172">
    <w:name w:val="ListLabel 172"/>
    <w:qFormat/>
    <w:rPr>
      <w:rFonts w:ascii="Times New Roman" w:hAnsi="Times New Roman"/>
      <w:position w:val="0"/>
      <w:sz w:val="20"/>
      <w:vertAlign w:val="baseline"/>
    </w:rPr>
  </w:style>
  <w:style w:type="character" w:styleId="ListLabel173">
    <w:name w:val="ListLabel 173"/>
    <w:qFormat/>
    <w:rPr>
      <w:position w:val="0"/>
      <w:sz w:val="20"/>
      <w:vertAlign w:val="baseline"/>
    </w:rPr>
  </w:style>
  <w:style w:type="character" w:styleId="ListLabel174">
    <w:name w:val="ListLabel 174"/>
    <w:qFormat/>
    <w:rPr>
      <w:position w:val="0"/>
      <w:sz w:val="20"/>
      <w:vertAlign w:val="baseline"/>
    </w:rPr>
  </w:style>
  <w:style w:type="character" w:styleId="ListLabel175">
    <w:name w:val="ListLabel 175"/>
    <w:qFormat/>
    <w:rPr>
      <w:position w:val="0"/>
      <w:sz w:val="20"/>
      <w:vertAlign w:val="baseline"/>
    </w:rPr>
  </w:style>
  <w:style w:type="character" w:styleId="ListLabel176">
    <w:name w:val="ListLabel 176"/>
    <w:qFormat/>
    <w:rPr>
      <w:position w:val="0"/>
      <w:sz w:val="20"/>
      <w:vertAlign w:val="baseline"/>
    </w:rPr>
  </w:style>
  <w:style w:type="character" w:styleId="ListLabel177">
    <w:name w:val="ListLabel 177"/>
    <w:qFormat/>
    <w:rPr>
      <w:position w:val="0"/>
      <w:sz w:val="20"/>
      <w:vertAlign w:val="baseline"/>
    </w:rPr>
  </w:style>
  <w:style w:type="character" w:styleId="ListLabel178">
    <w:name w:val="ListLabel 178"/>
    <w:qFormat/>
    <w:rPr>
      <w:position w:val="0"/>
      <w:sz w:val="20"/>
      <w:vertAlign w:val="baseline"/>
    </w:rPr>
  </w:style>
  <w:style w:type="character" w:styleId="ListLabel179">
    <w:name w:val="ListLabel 179"/>
    <w:qFormat/>
    <w:rPr>
      <w:position w:val="0"/>
      <w:sz w:val="20"/>
      <w:vertAlign w:val="baseline"/>
    </w:rPr>
  </w:style>
  <w:style w:type="character" w:styleId="ListLabel180">
    <w:name w:val="ListLabel 180"/>
    <w:qFormat/>
    <w:rPr>
      <w:position w:val="0"/>
      <w:sz w:val="20"/>
      <w:vertAlign w:val="baseline"/>
    </w:rPr>
  </w:style>
  <w:style w:type="character" w:styleId="ListLabel181">
    <w:name w:val="ListLabel 181"/>
    <w:qFormat/>
    <w:rPr>
      <w:b w:val="false"/>
      <w:position w:val="0"/>
      <w:sz w:val="20"/>
      <w:vertAlign w:val="baseline"/>
    </w:rPr>
  </w:style>
  <w:style w:type="character" w:styleId="ListLabel182">
    <w:name w:val="ListLabel 182"/>
    <w:qFormat/>
    <w:rPr>
      <w:position w:val="0"/>
      <w:sz w:val="20"/>
      <w:vertAlign w:val="baseline"/>
    </w:rPr>
  </w:style>
  <w:style w:type="character" w:styleId="ListLabel183">
    <w:name w:val="ListLabel 183"/>
    <w:qFormat/>
    <w:rPr>
      <w:position w:val="0"/>
      <w:sz w:val="20"/>
      <w:vertAlign w:val="baseline"/>
    </w:rPr>
  </w:style>
  <w:style w:type="character" w:styleId="ListLabel184">
    <w:name w:val="ListLabel 184"/>
    <w:qFormat/>
    <w:rPr>
      <w:position w:val="0"/>
      <w:sz w:val="20"/>
      <w:vertAlign w:val="baseline"/>
    </w:rPr>
  </w:style>
  <w:style w:type="character" w:styleId="ListLabel185">
    <w:name w:val="ListLabel 185"/>
    <w:qFormat/>
    <w:rPr>
      <w:position w:val="0"/>
      <w:sz w:val="20"/>
      <w:vertAlign w:val="baseline"/>
    </w:rPr>
  </w:style>
  <w:style w:type="character" w:styleId="ListLabel186">
    <w:name w:val="ListLabel 186"/>
    <w:qFormat/>
    <w:rPr>
      <w:position w:val="0"/>
      <w:sz w:val="20"/>
      <w:vertAlign w:val="baseline"/>
    </w:rPr>
  </w:style>
  <w:style w:type="character" w:styleId="ListLabel187">
    <w:name w:val="ListLabel 187"/>
    <w:qFormat/>
    <w:rPr>
      <w:position w:val="0"/>
      <w:sz w:val="20"/>
      <w:vertAlign w:val="baseline"/>
    </w:rPr>
  </w:style>
  <w:style w:type="character" w:styleId="ListLabel188">
    <w:name w:val="ListLabel 188"/>
    <w:qFormat/>
    <w:rPr>
      <w:position w:val="0"/>
      <w:sz w:val="20"/>
      <w:vertAlign w:val="baseline"/>
    </w:rPr>
  </w:style>
  <w:style w:type="character" w:styleId="ListLabel189">
    <w:name w:val="ListLabel 189"/>
    <w:qFormat/>
    <w:rPr>
      <w:position w:val="0"/>
      <w:sz w:val="20"/>
      <w:vertAlign w:val="baseline"/>
    </w:rPr>
  </w:style>
  <w:style w:type="character" w:styleId="ListLabel190">
    <w:name w:val="ListLabel 190"/>
    <w:qFormat/>
    <w:rPr>
      <w:rFonts w:ascii="Times New Roman" w:hAnsi="Times New Roman"/>
      <w:b/>
      <w:position w:val="0"/>
      <w:sz w:val="20"/>
      <w:vertAlign w:val="baseline"/>
    </w:rPr>
  </w:style>
  <w:style w:type="character" w:styleId="ListLabel191">
    <w:name w:val="ListLabel 191"/>
    <w:qFormat/>
    <w:rPr>
      <w:position w:val="0"/>
      <w:sz w:val="20"/>
      <w:vertAlign w:val="baseline"/>
    </w:rPr>
  </w:style>
  <w:style w:type="character" w:styleId="ListLabel192">
    <w:name w:val="ListLabel 192"/>
    <w:qFormat/>
    <w:rPr>
      <w:position w:val="0"/>
      <w:sz w:val="20"/>
      <w:vertAlign w:val="baseline"/>
    </w:rPr>
  </w:style>
  <w:style w:type="character" w:styleId="ListLabel193">
    <w:name w:val="ListLabel 193"/>
    <w:qFormat/>
    <w:rPr>
      <w:position w:val="0"/>
      <w:sz w:val="20"/>
      <w:vertAlign w:val="baseline"/>
    </w:rPr>
  </w:style>
  <w:style w:type="character" w:styleId="ListLabel194">
    <w:name w:val="ListLabel 194"/>
    <w:qFormat/>
    <w:rPr>
      <w:position w:val="0"/>
      <w:sz w:val="20"/>
      <w:vertAlign w:val="baseline"/>
    </w:rPr>
  </w:style>
  <w:style w:type="character" w:styleId="ListLabel195">
    <w:name w:val="ListLabel 195"/>
    <w:qFormat/>
    <w:rPr>
      <w:position w:val="0"/>
      <w:sz w:val="20"/>
      <w:vertAlign w:val="baseline"/>
    </w:rPr>
  </w:style>
  <w:style w:type="character" w:styleId="ListLabel196">
    <w:name w:val="ListLabel 196"/>
    <w:qFormat/>
    <w:rPr>
      <w:position w:val="0"/>
      <w:sz w:val="20"/>
      <w:vertAlign w:val="baseline"/>
    </w:rPr>
  </w:style>
  <w:style w:type="character" w:styleId="ListLabel197">
    <w:name w:val="ListLabel 197"/>
    <w:qFormat/>
    <w:rPr>
      <w:position w:val="0"/>
      <w:sz w:val="20"/>
      <w:vertAlign w:val="baseline"/>
    </w:rPr>
  </w:style>
  <w:style w:type="character" w:styleId="ListLabel198">
    <w:name w:val="ListLabel 198"/>
    <w:qFormat/>
    <w:rPr>
      <w:position w:val="0"/>
      <w:sz w:val="20"/>
      <w:vertAlign w:val="baseline"/>
    </w:rPr>
  </w:style>
  <w:style w:type="character" w:styleId="ListLabel199">
    <w:name w:val="ListLabel 199"/>
    <w:qFormat/>
    <w:rPr>
      <w:rFonts w:ascii="Times New Roman" w:hAnsi="Times New Roman"/>
      <w:b/>
      <w:position w:val="0"/>
      <w:sz w:val="24"/>
      <w:sz w:val="24"/>
      <w:vertAlign w:val="baseline"/>
    </w:rPr>
  </w:style>
  <w:style w:type="character" w:styleId="ListLabel200">
    <w:name w:val="ListLabel 200"/>
    <w:qFormat/>
    <w:rPr>
      <w:position w:val="0"/>
      <w:sz w:val="20"/>
      <w:vertAlign w:val="baseline"/>
    </w:rPr>
  </w:style>
  <w:style w:type="character" w:styleId="ListLabel201">
    <w:name w:val="ListLabel 201"/>
    <w:qFormat/>
    <w:rPr>
      <w:position w:val="0"/>
      <w:sz w:val="20"/>
      <w:vertAlign w:val="baseline"/>
    </w:rPr>
  </w:style>
  <w:style w:type="character" w:styleId="ListLabel202">
    <w:name w:val="ListLabel 202"/>
    <w:qFormat/>
    <w:rPr>
      <w:position w:val="0"/>
      <w:sz w:val="20"/>
      <w:vertAlign w:val="baseline"/>
    </w:rPr>
  </w:style>
  <w:style w:type="character" w:styleId="ListLabel203">
    <w:name w:val="ListLabel 203"/>
    <w:qFormat/>
    <w:rPr>
      <w:position w:val="0"/>
      <w:sz w:val="20"/>
      <w:vertAlign w:val="baseline"/>
    </w:rPr>
  </w:style>
  <w:style w:type="character" w:styleId="ListLabel204">
    <w:name w:val="ListLabel 204"/>
    <w:qFormat/>
    <w:rPr>
      <w:position w:val="0"/>
      <w:sz w:val="20"/>
      <w:vertAlign w:val="baseline"/>
    </w:rPr>
  </w:style>
  <w:style w:type="character" w:styleId="ListLabel205">
    <w:name w:val="ListLabel 205"/>
    <w:qFormat/>
    <w:rPr>
      <w:position w:val="0"/>
      <w:sz w:val="20"/>
      <w:vertAlign w:val="baseline"/>
    </w:rPr>
  </w:style>
  <w:style w:type="character" w:styleId="ListLabel206">
    <w:name w:val="ListLabel 206"/>
    <w:qFormat/>
    <w:rPr>
      <w:position w:val="0"/>
      <w:sz w:val="20"/>
      <w:vertAlign w:val="baseline"/>
    </w:rPr>
  </w:style>
  <w:style w:type="character" w:styleId="ListLabel207">
    <w:name w:val="ListLabel 207"/>
    <w:qFormat/>
    <w:rPr>
      <w:position w:val="0"/>
      <w:sz w:val="20"/>
      <w:vertAlign w:val="baseline"/>
    </w:rPr>
  </w:style>
  <w:style w:type="character" w:styleId="ListLabel208">
    <w:name w:val="ListLabel 208"/>
    <w:qFormat/>
    <w:rPr>
      <w:rFonts w:ascii="Times New Roman" w:hAnsi="Times New Roman"/>
      <w:position w:val="0"/>
      <w:sz w:val="20"/>
      <w:vertAlign w:val="baseline"/>
    </w:rPr>
  </w:style>
  <w:style w:type="character" w:styleId="ListLabel209">
    <w:name w:val="ListLabel 209"/>
    <w:qFormat/>
    <w:rPr>
      <w:position w:val="0"/>
      <w:sz w:val="20"/>
      <w:vertAlign w:val="baseline"/>
    </w:rPr>
  </w:style>
  <w:style w:type="character" w:styleId="ListLabel210">
    <w:name w:val="ListLabel 210"/>
    <w:qFormat/>
    <w:rPr>
      <w:position w:val="0"/>
      <w:sz w:val="20"/>
      <w:vertAlign w:val="baseline"/>
    </w:rPr>
  </w:style>
  <w:style w:type="character" w:styleId="ListLabel211">
    <w:name w:val="ListLabel 211"/>
    <w:qFormat/>
    <w:rPr>
      <w:position w:val="0"/>
      <w:sz w:val="20"/>
      <w:vertAlign w:val="baseline"/>
    </w:rPr>
  </w:style>
  <w:style w:type="character" w:styleId="ListLabel212">
    <w:name w:val="ListLabel 212"/>
    <w:qFormat/>
    <w:rPr>
      <w:position w:val="0"/>
      <w:sz w:val="20"/>
      <w:vertAlign w:val="baseline"/>
    </w:rPr>
  </w:style>
  <w:style w:type="character" w:styleId="ListLabel213">
    <w:name w:val="ListLabel 213"/>
    <w:qFormat/>
    <w:rPr>
      <w:position w:val="0"/>
      <w:sz w:val="20"/>
      <w:vertAlign w:val="baseline"/>
    </w:rPr>
  </w:style>
  <w:style w:type="character" w:styleId="ListLabel214">
    <w:name w:val="ListLabel 214"/>
    <w:qFormat/>
    <w:rPr>
      <w:position w:val="0"/>
      <w:sz w:val="20"/>
      <w:vertAlign w:val="baseline"/>
    </w:rPr>
  </w:style>
  <w:style w:type="character" w:styleId="ListLabel215">
    <w:name w:val="ListLabel 215"/>
    <w:qFormat/>
    <w:rPr>
      <w:position w:val="0"/>
      <w:sz w:val="20"/>
      <w:vertAlign w:val="baseline"/>
    </w:rPr>
  </w:style>
  <w:style w:type="character" w:styleId="ListLabel216">
    <w:name w:val="ListLabel 216"/>
    <w:qFormat/>
    <w:rPr>
      <w:position w:val="0"/>
      <w:sz w:val="20"/>
      <w:vertAlign w:val="baseline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Courier New"/>
    </w:rPr>
  </w:style>
  <w:style w:type="character" w:styleId="ListLabel219">
    <w:name w:val="ListLabel 219"/>
    <w:qFormat/>
    <w:rPr>
      <w:rFonts w:cs="Courier New"/>
    </w:rPr>
  </w:style>
  <w:style w:type="character" w:styleId="ListLabel220">
    <w:name w:val="ListLabel 220"/>
    <w:qFormat/>
    <w:rPr>
      <w:rFonts w:ascii="Times New Roman" w:hAnsi="Times New Roman"/>
      <w:b/>
      <w:sz w:val="24"/>
      <w:szCs w:val="24"/>
    </w:rPr>
  </w:style>
  <w:style w:type="character" w:styleId="ListLabel221">
    <w:name w:val="ListLabel 221"/>
    <w:qFormat/>
    <w:rPr>
      <w:rFonts w:ascii="Times New Roman" w:hAnsi="Times New Roman"/>
      <w:sz w:val="24"/>
      <w:szCs w:val="24"/>
    </w:rPr>
  </w:style>
  <w:style w:type="character" w:styleId="ListLabel222">
    <w:name w:val="ListLabel 222"/>
    <w:qFormat/>
    <w:rPr>
      <w:rFonts w:cs="Courier New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Courier New"/>
    </w:rPr>
  </w:style>
  <w:style w:type="character" w:styleId="ListLabel225">
    <w:name w:val="ListLabel 225"/>
    <w:qFormat/>
    <w:rPr>
      <w:rFonts w:ascii="Times New Roman" w:hAnsi="Times New Roman" w:cs="Courier New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Courier New"/>
    </w:rPr>
  </w:style>
  <w:style w:type="character" w:styleId="ListLabel228">
    <w:name w:val="ListLabel 228"/>
    <w:qFormat/>
    <w:rPr>
      <w:rFonts w:cs="Courier New"/>
    </w:rPr>
  </w:style>
  <w:style w:type="character" w:styleId="ListLabel229">
    <w:name w:val="ListLabel 229"/>
    <w:qFormat/>
    <w:rPr>
      <w:rFonts w:ascii="Times New Roman" w:hAnsi="Times New Roman" w:cs="Courier New"/>
    </w:rPr>
  </w:style>
  <w:style w:type="character" w:styleId="ListLabel230">
    <w:name w:val="ListLabel 230"/>
    <w:qFormat/>
    <w:rPr>
      <w:rFonts w:cs="Courier New"/>
    </w:rPr>
  </w:style>
  <w:style w:type="character" w:styleId="ListLabel231">
    <w:name w:val="ListLabel 231"/>
    <w:qFormat/>
    <w:rPr>
      <w:rFonts w:cs="Courier New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ascii="Times New Roman" w:hAnsi="Times New Roman" w:cs="Courier New"/>
    </w:rPr>
  </w:style>
  <w:style w:type="character" w:styleId="ListLabel234">
    <w:name w:val="ListLabel 234"/>
    <w:qFormat/>
    <w:rPr>
      <w:rFonts w:cs="Courier New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Courier New"/>
    </w:rPr>
  </w:style>
  <w:style w:type="character" w:styleId="ListLabel237">
    <w:name w:val="ListLabel 237"/>
    <w:qFormat/>
    <w:rPr>
      <w:rFonts w:ascii="Times New Roman" w:hAnsi="Times New Roman" w:cs="Courier New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Courier New"/>
    </w:rPr>
  </w:style>
  <w:style w:type="character" w:styleId="ListLabel240">
    <w:name w:val="ListLabel 240"/>
    <w:qFormat/>
    <w:rPr>
      <w:rFonts w:cs="Courier New"/>
    </w:rPr>
  </w:style>
  <w:style w:type="character" w:styleId="ListLabel241">
    <w:name w:val="ListLabel 241"/>
    <w:qFormat/>
    <w:rPr>
      <w:rFonts w:ascii="Times New Roman" w:hAnsi="Times New Roman" w:cs="Courier New"/>
    </w:rPr>
  </w:style>
  <w:style w:type="character" w:styleId="ListLabel242">
    <w:name w:val="ListLabel 242"/>
    <w:qFormat/>
    <w:rPr>
      <w:rFonts w:cs="Courier New"/>
    </w:rPr>
  </w:style>
  <w:style w:type="character" w:styleId="ListLabel243">
    <w:name w:val="ListLabel 243"/>
    <w:qFormat/>
    <w:rPr>
      <w:rFonts w:cs="Courier New"/>
    </w:rPr>
  </w:style>
  <w:style w:type="character" w:styleId="ListLabel244">
    <w:name w:val="ListLabel 244"/>
    <w:qFormat/>
    <w:rPr>
      <w:rFonts w:cs="Courier New"/>
    </w:rPr>
  </w:style>
  <w:style w:type="character" w:styleId="ListLabel245">
    <w:name w:val="ListLabel 245"/>
    <w:qFormat/>
    <w:rPr>
      <w:rFonts w:cs="Courier New"/>
    </w:rPr>
  </w:style>
  <w:style w:type="character" w:styleId="ListLabel246">
    <w:name w:val="ListLabel 246"/>
    <w:qFormat/>
    <w:rPr>
      <w:rFonts w:cs="Courier New"/>
    </w:rPr>
  </w:style>
  <w:style w:type="character" w:styleId="ListLabel247">
    <w:name w:val="ListLabel 247"/>
    <w:qFormat/>
    <w:rPr>
      <w:rFonts w:cs="Courier New"/>
    </w:rPr>
  </w:style>
  <w:style w:type="character" w:styleId="ListLabel248">
    <w:name w:val="ListLabel 248"/>
    <w:qFormat/>
    <w:rPr>
      <w:rFonts w:cs="Courier New"/>
    </w:rPr>
  </w:style>
  <w:style w:type="character" w:styleId="ListLabel249">
    <w:name w:val="ListLabel 249"/>
    <w:qFormat/>
    <w:rPr>
      <w:rFonts w:cs="Courier New"/>
    </w:rPr>
  </w:style>
  <w:style w:type="character" w:styleId="ListLabel250">
    <w:name w:val="ListLabel 250"/>
    <w:qFormat/>
    <w:rPr>
      <w:rFonts w:cs="Courier New"/>
    </w:rPr>
  </w:style>
  <w:style w:type="character" w:styleId="ListLabel251">
    <w:name w:val="ListLabel 251"/>
    <w:qFormat/>
    <w:rPr>
      <w:rFonts w:cs="Courier New"/>
    </w:rPr>
  </w:style>
  <w:style w:type="character" w:styleId="ListLabel252">
    <w:name w:val="ListLabel 252"/>
    <w:qFormat/>
    <w:rPr>
      <w:rFonts w:ascii="Times New Roman" w:hAnsi="Times New Roman" w:eastAsia="Times New Roman" w:cs="Times New Roman"/>
    </w:rPr>
  </w:style>
  <w:style w:type="character" w:styleId="ListLabel253">
    <w:name w:val="ListLabel 253"/>
    <w:qFormat/>
    <w:rPr>
      <w:rFonts w:cs="Courier New"/>
    </w:rPr>
  </w:style>
  <w:style w:type="character" w:styleId="ListLabel254">
    <w:name w:val="ListLabel 254"/>
    <w:qFormat/>
    <w:rPr>
      <w:rFonts w:cs="Courier New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ascii="Times New Roman" w:hAnsi="Times New Roman" w:eastAsia="Times New Roman" w:cs="Times New Roman"/>
    </w:rPr>
  </w:style>
  <w:style w:type="character" w:styleId="ListLabel257">
    <w:name w:val="ListLabel 257"/>
    <w:qFormat/>
    <w:rPr>
      <w:rFonts w:cs="Courier New"/>
    </w:rPr>
  </w:style>
  <w:style w:type="character" w:styleId="ListLabel258">
    <w:name w:val="ListLabel 258"/>
    <w:qFormat/>
    <w:rPr>
      <w:rFonts w:cs="Courier New"/>
    </w:rPr>
  </w:style>
  <w:style w:type="character" w:styleId="ListLabel259">
    <w:name w:val="ListLabel 259"/>
    <w:qFormat/>
    <w:rPr>
      <w:rFonts w:cs="Courier New"/>
    </w:rPr>
  </w:style>
  <w:style w:type="character" w:styleId="ListLabel260">
    <w:name w:val="ListLabel 260"/>
    <w:qFormat/>
    <w:rPr>
      <w:rFonts w:ascii="Times New Roman" w:hAnsi="Times New Roman" w:eastAsia="Times New Roman" w:cs="Times New Roman"/>
    </w:rPr>
  </w:style>
  <w:style w:type="character" w:styleId="ListLabel261">
    <w:name w:val="ListLabel 261"/>
    <w:qFormat/>
    <w:rPr>
      <w:rFonts w:cs="Courier New"/>
    </w:rPr>
  </w:style>
  <w:style w:type="character" w:styleId="ListLabel262">
    <w:name w:val="ListLabel 262"/>
    <w:qFormat/>
    <w:rPr>
      <w:rFonts w:cs="Courier New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ascii="Times New Roman" w:hAnsi="Times New Roman" w:eastAsia="Times New Roman" w:cs="Times New Roman"/>
    </w:rPr>
  </w:style>
  <w:style w:type="character" w:styleId="ListLabel265">
    <w:name w:val="ListLabel 265"/>
    <w:qFormat/>
    <w:rPr>
      <w:rFonts w:cs="Courier New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Courier New"/>
    </w:rPr>
  </w:style>
  <w:style w:type="character" w:styleId="ListLabel268">
    <w:name w:val="ListLabel 268"/>
    <w:qFormat/>
    <w:rPr>
      <w:rFonts w:ascii="Times New Roman" w:hAnsi="Times New Roman" w:eastAsia="Times New Roman" w:cs="Times New Roman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Courier New"/>
    </w:rPr>
  </w:style>
  <w:style w:type="character" w:styleId="ListLabel271">
    <w:name w:val="ListLabel 271"/>
    <w:qFormat/>
    <w:rPr>
      <w:rFonts w:cs="Courier New"/>
    </w:rPr>
  </w:style>
  <w:style w:type="character" w:styleId="ListLabel272">
    <w:name w:val="ListLabel 272"/>
    <w:qFormat/>
    <w:rPr>
      <w:rFonts w:ascii="Times New Roman" w:hAnsi="Times New Roman" w:eastAsia="Times New Roman" w:cs="Times New Roman"/>
    </w:rPr>
  </w:style>
  <w:style w:type="character" w:styleId="ListLabel273">
    <w:name w:val="ListLabel 273"/>
    <w:qFormat/>
    <w:rPr>
      <w:rFonts w:cs="Courier New"/>
    </w:rPr>
  </w:style>
  <w:style w:type="character" w:styleId="ListLabel274">
    <w:name w:val="ListLabel 274"/>
    <w:qFormat/>
    <w:rPr>
      <w:rFonts w:cs="Courier New"/>
    </w:rPr>
  </w:style>
  <w:style w:type="character" w:styleId="ListLabel275">
    <w:name w:val="ListLabel 275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1" w:customStyle="1">
    <w:name w:val="LO-normal"/>
    <w:qFormat/>
    <w:rsid w:val="00d318e2"/>
    <w:pPr>
      <w:widowControl/>
      <w:bidi w:val="0"/>
      <w:jc w:val="left"/>
    </w:pPr>
    <w:rPr>
      <w:rFonts w:ascii="Calibri" w:hAnsi="Calibri" w:eastAsia="Calibri" w:cs="Calibri"/>
      <w:color w:val="auto"/>
      <w:sz w:val="20"/>
      <w:szCs w:val="20"/>
      <w:lang w:val="sk-SK" w:eastAsia="sk-SK" w:bidi="ar-SA"/>
    </w:rPr>
  </w:style>
  <w:style w:type="paragraph" w:styleId="Nzov">
    <w:name w:val="Title"/>
    <w:basedOn w:val="Normal1"/>
    <w:next w:val="Normal1"/>
    <w:qFormat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nzov">
    <w:name w:val="Subtitle"/>
    <w:basedOn w:val="Normal1"/>
    <w:next w:val="Normal1"/>
    <w:qFormat/>
    <w:rsid w:val="00d318e2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Application>LibreOffice/5.2.2.2$Windows_X86_64 LibreOffice_project/8f96e87c890bf8fa77463cd4b640a2312823f3ad</Application>
  <Pages>11</Pages>
  <Words>3066</Words>
  <Characters>16632</Characters>
  <CharactersWithSpaces>19659</CharactersWithSpaces>
  <Paragraphs>726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2019-03-22T10:38:00Z</dcterms:created>
  <dc:creator>Fujitsu</dc:creator>
  <dc:description/>
  <dc:language>sk-SK</dc:language>
  <cp:lastModifiedBy/>
  <dcterms:modified xsi:type="dcterms:W3CDTF">2020-03-29T11:13:52Z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