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6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6"/>
          <w:shd w:fill="auto" w:val="clear"/>
        </w:rPr>
        <w:t xml:space="preserve">Poznámky k 31. 12. 2019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Čl. I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Všeobecné údaje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"/>
        </w:numPr>
        <w:tabs>
          <w:tab w:val="left" w:pos="720" w:leader="none"/>
          <w:tab w:val="left" w:pos="284" w:leader="none"/>
        </w:tabs>
        <w:spacing w:before="0" w:after="0" w:line="240"/>
        <w:ind w:right="0" w:left="284" w:hanging="284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Identifika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čné údaje účtovnej jednotky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4781"/>
        <w:gridCol w:w="5479"/>
      </w:tblGrid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a)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Názov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čtovnej jednotky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Materská škola Svr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činovec č. 856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Sídlo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čtovnej jednotky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023 12  Svr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činovec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I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ČO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37904591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01.01. 2004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Spôsob zriadenia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Rozhodnutím zria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ďovateľa v súlade so zákonom o rozpočtových pravidlách verejnej správy 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Názov zria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ďovateľa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Obec Svr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činovec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Sídlo zria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ďovateľa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Svr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činovec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b) Právny dôvod na zostavenie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čtovnej závierky 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riadna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c)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čtovná jednotka je súčasťou konsolidovaného celku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áno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d)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čtovná jednotka je súčasťou súhrnného celku verejnej správy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áno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2"/>
        </w:numPr>
        <w:tabs>
          <w:tab w:val="left" w:pos="720" w:leader="none"/>
          <w:tab w:val="left" w:pos="284" w:leader="none"/>
        </w:tabs>
        <w:spacing w:before="0" w:after="0" w:line="240"/>
        <w:ind w:right="0" w:left="284" w:hanging="284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Opis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činnosti účtovnej jednotky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4781"/>
        <w:gridCol w:w="5479"/>
      </w:tblGrid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Hlavná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činnosť účtovnej jednotky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Predprimárne  vzdelávanie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8"/>
        </w:numPr>
        <w:tabs>
          <w:tab w:val="left" w:pos="720" w:leader="none"/>
          <w:tab w:val="left" w:pos="284" w:leader="none"/>
        </w:tabs>
        <w:spacing w:before="0" w:after="0" w:line="240"/>
        <w:ind w:right="0" w:left="284" w:hanging="284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Informácie o štatutárnych zástupcoch a o organiza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čnej štruktúre účtovnej jednotky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4781"/>
        <w:gridCol w:w="5479"/>
      </w:tblGrid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Štatutárny zástupca (meno a priezvisko)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Funkcia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Martina Petríková  - riadite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ľka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Priemerný 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čet zamestnancov počas účtovného obdobia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13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čet zamestnancov ku dňu, ku ktorému sa zostavuje účtovná závierka účtovnej jednotky z toho:  </w:t>
            </w:r>
          </w:p>
          <w:p>
            <w:pPr>
              <w:numPr>
                <w:ilvl w:val="0"/>
                <w:numId w:val="46"/>
              </w:numPr>
              <w:spacing w:before="0" w:after="0" w:line="240"/>
              <w:ind w:right="0" w:left="176" w:hanging="142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čet vedúcich zamestnancov 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13/3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Organiza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čná štruktúra účtovnej jednotky: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numPr>
                <w:ilvl w:val="0"/>
                <w:numId w:val="51"/>
              </w:numPr>
              <w:spacing w:before="0" w:after="0" w:line="240"/>
              <w:ind w:right="0" w:left="176" w:hanging="142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rozpo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čtové organizácie zriadené obcou 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Obec Svr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činovec, 023 12  Svrčinovec</w:t>
            </w:r>
          </w:p>
        </w:tc>
      </w:tr>
    </w:tbl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Čl. II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Informácie o 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čtovných zásadách a účtovných metódach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6"/>
        </w:numPr>
        <w:tabs>
          <w:tab w:val="left" w:pos="720" w:leader="none"/>
          <w:tab w:val="left" w:pos="284" w:leader="none"/>
        </w:tabs>
        <w:spacing w:before="0" w:after="0" w:line="240"/>
        <w:ind w:right="0" w:left="284" w:hanging="284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čtovná závierka je zostavená za splnenia predpokladu nepretržitého pokračovania účtovnej jednotky vo svojej činnosti             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áno            </w:t>
      </w:r>
    </w:p>
    <w:p>
      <w:pPr>
        <w:spacing w:before="0" w:after="0" w:line="36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8"/>
        </w:numPr>
        <w:tabs>
          <w:tab w:val="left" w:pos="720" w:leader="none"/>
          <w:tab w:val="left" w:pos="284" w:leader="none"/>
        </w:tabs>
        <w:spacing w:before="0" w:after="0" w:line="240"/>
        <w:ind w:right="0" w:left="284" w:hanging="284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Zmeny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čtovných metód a účtovných zásad </w:t>
      </w:r>
    </w:p>
    <w:p>
      <w:pPr>
        <w:spacing w:before="0" w:after="0" w:line="240"/>
        <w:ind w:right="0" w:left="284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 nie</w:t>
      </w:r>
    </w:p>
    <w:p>
      <w:pPr>
        <w:spacing w:before="0" w:after="0" w:line="240"/>
        <w:ind w:right="0" w:left="357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1"/>
        </w:numPr>
        <w:tabs>
          <w:tab w:val="left" w:pos="720" w:leader="none"/>
          <w:tab w:val="left" w:pos="284" w:leader="none"/>
        </w:tabs>
        <w:spacing w:before="0" w:after="0" w:line="240"/>
        <w:ind w:right="0" w:left="284" w:hanging="284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Spôsob ocenenia jednotlivých položiek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6379"/>
        <w:gridCol w:w="3881"/>
      </w:tblGrid>
      <w:tr>
        <w:trPr>
          <w:trHeight w:val="1" w:hRule="atLeast"/>
          <w:jc w:val="left"/>
        </w:trPr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Položky</w:t>
            </w:r>
          </w:p>
        </w:tc>
        <w:tc>
          <w:tcPr>
            <w:tcW w:w="38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Spôsob oce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numPr>
                <w:ilvl w:val="0"/>
                <w:numId w:val="67"/>
              </w:numPr>
              <w:spacing w:before="0" w:after="0" w:line="240"/>
              <w:ind w:right="0" w:left="284" w:hanging="283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obstarávacou cenou</w:t>
            </w:r>
          </w:p>
        </w:tc>
      </w:tr>
      <w:tr>
        <w:trPr>
          <w:trHeight w:val="1" w:hRule="atLeast"/>
          <w:jc w:val="left"/>
        </w:trPr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numPr>
                <w:ilvl w:val="0"/>
                <w:numId w:val="70"/>
              </w:numPr>
              <w:spacing w:before="0" w:after="0" w:line="240"/>
              <w:ind w:right="0" w:left="284" w:hanging="283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dlhodobý nehmotný majetok vytvorený vlastnou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činnosťou</w:t>
            </w:r>
          </w:p>
        </w:tc>
        <w:tc>
          <w:tcPr>
            <w:tcW w:w="38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vlastnými nákladmi </w:t>
            </w:r>
          </w:p>
        </w:tc>
      </w:tr>
      <w:tr>
        <w:trPr>
          <w:trHeight w:val="1" w:hRule="atLeast"/>
          <w:jc w:val="left"/>
        </w:trPr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numPr>
                <w:ilvl w:val="0"/>
                <w:numId w:val="73"/>
              </w:numPr>
              <w:spacing w:before="0" w:after="0" w:line="240"/>
              <w:ind w:right="0" w:left="284" w:hanging="283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obstarávacou cenou</w:t>
            </w:r>
          </w:p>
        </w:tc>
      </w:tr>
      <w:tr>
        <w:trPr>
          <w:trHeight w:val="1" w:hRule="atLeast"/>
          <w:jc w:val="left"/>
        </w:trPr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numPr>
                <w:ilvl w:val="0"/>
                <w:numId w:val="76"/>
              </w:numPr>
              <w:spacing w:before="0" w:after="0" w:line="240"/>
              <w:ind w:right="0" w:left="284" w:hanging="283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dlhodobý hmotný majetok vytvorený vlastnou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činnosťou</w:t>
            </w:r>
          </w:p>
        </w:tc>
        <w:tc>
          <w:tcPr>
            <w:tcW w:w="38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vlastnými nákladmi</w:t>
            </w:r>
          </w:p>
        </w:tc>
      </w:tr>
      <w:tr>
        <w:trPr>
          <w:trHeight w:val="1" w:hRule="atLeast"/>
          <w:jc w:val="left"/>
        </w:trPr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numPr>
                <w:ilvl w:val="0"/>
                <w:numId w:val="79"/>
              </w:numPr>
              <w:spacing w:before="0" w:after="0" w:line="240"/>
              <w:ind w:right="0" w:left="284" w:hanging="283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reálnou hodnotou</w:t>
            </w:r>
          </w:p>
        </w:tc>
      </w:tr>
      <w:tr>
        <w:trPr>
          <w:trHeight w:val="1" w:hRule="atLeast"/>
          <w:jc w:val="left"/>
        </w:trPr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numPr>
                <w:ilvl w:val="0"/>
                <w:numId w:val="82"/>
              </w:numPr>
              <w:spacing w:before="0" w:after="0" w:line="240"/>
              <w:ind w:right="0" w:left="284" w:hanging="283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dlhodobý 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čný majetok</w:t>
            </w:r>
          </w:p>
        </w:tc>
        <w:tc>
          <w:tcPr>
            <w:tcW w:w="38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obstarávacou cenou</w:t>
            </w:r>
          </w:p>
        </w:tc>
      </w:tr>
      <w:tr>
        <w:trPr>
          <w:trHeight w:val="1" w:hRule="atLeast"/>
          <w:jc w:val="left"/>
        </w:trPr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numPr>
                <w:ilvl w:val="0"/>
                <w:numId w:val="85"/>
              </w:numPr>
              <w:spacing w:before="0" w:after="0" w:line="240"/>
              <w:ind w:right="0" w:left="284" w:hanging="283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zásoby nakupované</w:t>
            </w:r>
          </w:p>
        </w:tc>
        <w:tc>
          <w:tcPr>
            <w:tcW w:w="38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obstarávacou cenou</w:t>
            </w:r>
          </w:p>
        </w:tc>
      </w:tr>
      <w:tr>
        <w:trPr>
          <w:trHeight w:val="1" w:hRule="atLeast"/>
          <w:jc w:val="left"/>
        </w:trPr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numPr>
                <w:ilvl w:val="0"/>
                <w:numId w:val="88"/>
              </w:numPr>
              <w:spacing w:before="0" w:after="0" w:line="240"/>
              <w:ind w:right="0" w:left="284" w:hanging="283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zásoby vytvorené vlastnou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činnosťou</w:t>
            </w:r>
          </w:p>
        </w:tc>
        <w:tc>
          <w:tcPr>
            <w:tcW w:w="38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vlastnými nákladmi</w:t>
            </w:r>
          </w:p>
        </w:tc>
      </w:tr>
      <w:tr>
        <w:trPr>
          <w:trHeight w:val="1" w:hRule="atLeast"/>
          <w:jc w:val="left"/>
        </w:trPr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numPr>
                <w:ilvl w:val="0"/>
                <w:numId w:val="91"/>
              </w:numPr>
              <w:spacing w:before="0" w:after="0" w:line="240"/>
              <w:ind w:right="0" w:left="284" w:hanging="283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zásoby získané bezodplatne</w:t>
            </w:r>
          </w:p>
        </w:tc>
        <w:tc>
          <w:tcPr>
            <w:tcW w:w="38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reálnou hodnotou</w:t>
            </w:r>
          </w:p>
        </w:tc>
      </w:tr>
      <w:tr>
        <w:trPr>
          <w:trHeight w:val="1" w:hRule="atLeast"/>
          <w:jc w:val="left"/>
        </w:trPr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numPr>
                <w:ilvl w:val="0"/>
                <w:numId w:val="94"/>
              </w:numPr>
              <w:spacing w:before="0" w:after="0" w:line="240"/>
              <w:ind w:right="0" w:left="284" w:hanging="283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ľadávky </w:t>
            </w:r>
          </w:p>
        </w:tc>
        <w:tc>
          <w:tcPr>
            <w:tcW w:w="38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menovitou hodnotou</w:t>
            </w:r>
          </w:p>
        </w:tc>
      </w:tr>
      <w:tr>
        <w:trPr>
          <w:trHeight w:val="1" w:hRule="atLeast"/>
          <w:jc w:val="left"/>
        </w:trPr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numPr>
                <w:ilvl w:val="0"/>
                <w:numId w:val="97"/>
              </w:numPr>
              <w:spacing w:before="0" w:after="0" w:line="240"/>
              <w:ind w:right="0" w:left="284" w:hanging="283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krátkodobý 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čný majetok </w:t>
            </w:r>
          </w:p>
        </w:tc>
        <w:tc>
          <w:tcPr>
            <w:tcW w:w="38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menovitou hodnotou</w:t>
            </w:r>
          </w:p>
        </w:tc>
      </w:tr>
      <w:tr>
        <w:trPr>
          <w:trHeight w:val="1" w:hRule="atLeast"/>
          <w:jc w:val="left"/>
        </w:trPr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numPr>
                <w:ilvl w:val="0"/>
                <w:numId w:val="100"/>
              </w:numPr>
              <w:spacing w:before="0" w:after="0" w:line="240"/>
              <w:ind w:right="0" w:left="284" w:hanging="283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časové rozlíšenie na strane aktív</w:t>
            </w:r>
          </w:p>
        </w:tc>
        <w:tc>
          <w:tcPr>
            <w:tcW w:w="38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náklady budúcich období a príjmy budúcich období sa vykazujú vo výške, ktorá je potrebná na dodržanie zásady vecnej a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časovej súvislosti s účtovným obdobím.</w:t>
            </w:r>
          </w:p>
        </w:tc>
      </w:tr>
      <w:tr>
        <w:trPr>
          <w:trHeight w:val="1" w:hRule="atLeast"/>
          <w:jc w:val="left"/>
        </w:trPr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numPr>
                <w:ilvl w:val="0"/>
                <w:numId w:val="103"/>
              </w:numPr>
              <w:spacing w:before="0" w:after="0" w:line="240"/>
              <w:ind w:right="0" w:left="284" w:hanging="283"/>
              <w:jc w:val="both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záväzky, vrátane dlhopisov, pôži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čiek a úverov </w:t>
            </w:r>
          </w:p>
          <w:p>
            <w:pPr>
              <w:spacing w:before="0" w:after="0" w:line="240"/>
              <w:ind w:right="0" w:left="284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rezervy</w:t>
            </w:r>
          </w:p>
        </w:tc>
        <w:tc>
          <w:tcPr>
            <w:tcW w:w="38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menovitou hodnotou</w:t>
            </w:r>
          </w:p>
          <w:p>
            <w:pPr>
              <w:spacing w:before="0" w:after="0" w:line="240"/>
              <w:ind w:right="0" w:left="1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oce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ňujú sa v očakávanej výške záväzku</w:t>
            </w:r>
          </w:p>
        </w:tc>
      </w:tr>
      <w:tr>
        <w:trPr>
          <w:trHeight w:val="1" w:hRule="atLeast"/>
          <w:jc w:val="left"/>
        </w:trPr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numPr>
                <w:ilvl w:val="0"/>
                <w:numId w:val="107"/>
              </w:numPr>
              <w:spacing w:before="0" w:after="0" w:line="240"/>
              <w:ind w:right="0" w:left="284" w:hanging="283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časové rozlíšenie na strane pasív</w:t>
            </w:r>
          </w:p>
        </w:tc>
        <w:tc>
          <w:tcPr>
            <w:tcW w:w="38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34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výdavky budúcich období a výnosy budúcich období sa vykazujú vo výške, ktorá je potrebná na dodržanie zásady vecnej a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časovej súvislosti s účtovným obdobím.</w:t>
            </w:r>
          </w:p>
        </w:tc>
      </w:tr>
      <w:tr>
        <w:trPr>
          <w:trHeight w:val="1" w:hRule="atLeast"/>
          <w:jc w:val="left"/>
        </w:trPr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numPr>
                <w:ilvl w:val="0"/>
                <w:numId w:val="110"/>
              </w:numPr>
              <w:spacing w:before="0" w:after="0" w:line="240"/>
              <w:ind w:right="0" w:left="284" w:hanging="283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34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reálnou hodnotou</w:t>
            </w:r>
          </w:p>
        </w:tc>
      </w:tr>
      <w:tr>
        <w:trPr>
          <w:trHeight w:val="1" w:hRule="atLeast"/>
          <w:jc w:val="left"/>
        </w:trPr>
        <w:tc>
          <w:tcPr>
            <w:tcW w:w="63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numPr>
                <w:ilvl w:val="0"/>
                <w:numId w:val="113"/>
              </w:numPr>
              <w:spacing w:before="0" w:after="0" w:line="240"/>
              <w:ind w:right="0" w:left="284" w:hanging="283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majetok a záväzky zabezpe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čené derivátmi</w:t>
            </w:r>
          </w:p>
        </w:tc>
        <w:tc>
          <w:tcPr>
            <w:tcW w:w="38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34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reálnou hodnotou</w:t>
            </w:r>
          </w:p>
        </w:tc>
      </w:tr>
    </w:tbl>
    <w:p>
      <w:pPr>
        <w:spacing w:before="0" w:after="0" w:line="240"/>
        <w:ind w:right="0" w:left="284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17"/>
        </w:numPr>
        <w:tabs>
          <w:tab w:val="left" w:pos="720" w:leader="none"/>
          <w:tab w:val="left" w:pos="284" w:leader="none"/>
        </w:tabs>
        <w:spacing w:before="0" w:after="0" w:line="240"/>
        <w:ind w:right="0" w:left="284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Spôsob zostavenia odpisového plánu pre dlhodobý majetok, doba odpisovania, sadzby odpisov a odpisové metódy pri stanovení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čtovných odpisov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Odpisy dlhodobého nehmotného majetku a dlhodobého hmotného majetku sú stanovené tak, že</w:t>
      </w:r>
      <w:r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sa vychádza z predpokladanej doby jeho užívania a predpokladaného priebehu jeho opotrebenia.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Odpisova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ť sa začína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2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2"/>
          <w:shd w:fill="auto" w:val="clear"/>
        </w:rPr>
        <w:t xml:space="preserve">prvým dňom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mesiaca, v ktorom bol dlhodobý majetok uvedený do používania.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čtovné odpisy sa zaokrúhľujú na celé eurá nahor.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Predpokladaná doba užívania a odpisové sadzby:</w:t>
      </w:r>
    </w:p>
    <w:tbl>
      <w:tblPr>
        <w:tblInd w:w="108" w:type="dxa"/>
      </w:tblPr>
      <w:tblGrid>
        <w:gridCol w:w="2962"/>
        <w:gridCol w:w="3071"/>
        <w:gridCol w:w="4173"/>
      </w:tblGrid>
      <w:tr>
        <w:trPr>
          <w:trHeight w:val="1" w:hRule="atLeast"/>
          <w:jc w:val="left"/>
        </w:trPr>
        <w:tc>
          <w:tcPr>
            <w:tcW w:w="29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Odpisová skupina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Predpokladaná doba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čná odpisová sadzba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</w:tr>
      <w:tr>
        <w:trPr>
          <w:trHeight w:val="1" w:hRule="atLeast"/>
          <w:jc w:val="left"/>
        </w:trPr>
        <w:tc>
          <w:tcPr>
            <w:tcW w:w="29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41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25</w:t>
            </w:r>
          </w:p>
        </w:tc>
      </w:tr>
      <w:tr>
        <w:trPr>
          <w:trHeight w:val="1" w:hRule="atLeast"/>
          <w:jc w:val="left"/>
        </w:trPr>
        <w:tc>
          <w:tcPr>
            <w:tcW w:w="29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41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16,7</w:t>
            </w:r>
          </w:p>
        </w:tc>
      </w:tr>
      <w:tr>
        <w:trPr>
          <w:trHeight w:val="1" w:hRule="atLeast"/>
          <w:jc w:val="left"/>
        </w:trPr>
        <w:tc>
          <w:tcPr>
            <w:tcW w:w="29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</w:p>
        </w:tc>
        <w:tc>
          <w:tcPr>
            <w:tcW w:w="41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8,4</w:t>
            </w:r>
          </w:p>
        </w:tc>
      </w:tr>
      <w:tr>
        <w:trPr>
          <w:trHeight w:val="1" w:hRule="atLeast"/>
          <w:jc w:val="left"/>
        </w:trPr>
        <w:tc>
          <w:tcPr>
            <w:tcW w:w="29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20</w:t>
            </w:r>
          </w:p>
        </w:tc>
        <w:tc>
          <w:tcPr>
            <w:tcW w:w="41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Drobný nehmotný majetok do 33,00 Eur, ktorý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nie je dlhodobým nehmotným majetkom sa účtuje pri obstaraní do nákladov na účet 518 - Ostatné služby.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Drobný hmotný majetok do 33,00Eur, ktorý nie je dlhodobým hmotným majetkom sa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čtuje ako zásoby.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426" w:leader="none"/>
        </w:tabs>
        <w:spacing w:before="0" w:after="0" w:line="240"/>
        <w:ind w:right="0" w:left="425" w:hanging="425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33"/>
        </w:numPr>
        <w:tabs>
          <w:tab w:val="left" w:pos="720" w:leader="none"/>
          <w:tab w:val="left" w:pos="284" w:leader="none"/>
        </w:tabs>
        <w:spacing w:before="0" w:after="0" w:line="240"/>
        <w:ind w:right="0" w:left="284" w:hanging="284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Zásady pre zoh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ľadnenie zníženia hodnoty majetku.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Prechodné zníženie hodnoty majetku sa vyjadruje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opravnou položkou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čtovná jednotka tvorila opravné položky k </w:t>
      </w:r>
    </w:p>
    <w:p>
      <w:pPr>
        <w:numPr>
          <w:ilvl w:val="0"/>
          <w:numId w:val="135"/>
        </w:numPr>
        <w:spacing w:before="0" w:after="0" w:line="240"/>
        <w:ind w:right="0" w:left="678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odpisovanému dlhodobému majetku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nie</w:t>
      </w:r>
    </w:p>
    <w:p>
      <w:pPr>
        <w:numPr>
          <w:ilvl w:val="0"/>
          <w:numId w:val="135"/>
        </w:numPr>
        <w:spacing w:before="0" w:after="0" w:line="240"/>
        <w:ind w:right="0" w:left="678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neodpisovanému dlhodobému majetku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                     </w:t>
        <w:tab/>
        <w:tab/>
        <w:tab/>
        <w:t xml:space="preserve">            nie</w:t>
      </w:r>
    </w:p>
    <w:p>
      <w:pPr>
        <w:numPr>
          <w:ilvl w:val="0"/>
          <w:numId w:val="135"/>
        </w:numPr>
        <w:spacing w:before="0" w:after="0" w:line="240"/>
        <w:ind w:right="0" w:left="678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nedokon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čeným investíciám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 </w:t>
        <w:tab/>
        <w:tab/>
        <w:tab/>
        <w:tab/>
        <w:t xml:space="preserve">                                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135"/>
        </w:numPr>
        <w:spacing w:before="0" w:after="0" w:line="240"/>
        <w:ind w:right="0" w:left="678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dlhodobému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čnému majetku   </w:t>
        <w:tab/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ab/>
        <w:tab/>
        <w:t xml:space="preserve">                                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135"/>
        </w:numPr>
        <w:spacing w:before="0" w:after="0" w:line="240"/>
        <w:ind w:right="0" w:left="678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zásobám                                     </w:t>
        <w:tab/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ab/>
        <w:tab/>
        <w:t xml:space="preserve">                                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135"/>
        </w:numPr>
        <w:spacing w:before="0" w:after="0" w:line="240"/>
        <w:ind w:right="0" w:left="678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ľadávkam                                     </w:t>
        <w:tab/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ab/>
        <w:tab/>
        <w:t xml:space="preserve">                                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numPr>
          <w:ilvl w:val="0"/>
          <w:numId w:val="137"/>
        </w:numPr>
        <w:tabs>
          <w:tab w:val="left" w:pos="720" w:leader="none"/>
          <w:tab w:val="left" w:pos="284" w:leader="none"/>
        </w:tabs>
        <w:spacing w:before="0" w:after="0" w:line="240"/>
        <w:ind w:right="0" w:left="284" w:hanging="284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Zásady pre vykazovanie transferov.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 nároku na dotácie zo štátneho rozpo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 sa účtuje, ak je takmer isté, že sa splnia všetky podmienky súvisiace s dotáciou a súčasne, že sa dotácia poskytne.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Bežný transfer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numPr>
          <w:ilvl w:val="0"/>
          <w:numId w:val="139"/>
        </w:numPr>
        <w:spacing w:before="0" w:after="0" w:line="240"/>
        <w:ind w:right="0" w:left="67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prijatý od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cudzích subjektov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- sa  zú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čtuje do výnosov  vo vecnej a časovej súvislosti s nákladmi</w:t>
      </w:r>
    </w:p>
    <w:p>
      <w:pPr>
        <w:numPr>
          <w:ilvl w:val="0"/>
          <w:numId w:val="139"/>
        </w:numPr>
        <w:spacing w:before="0" w:after="0" w:line="240"/>
        <w:ind w:right="0" w:left="67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prijatý od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zria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ďovateľa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- sa  zúčtuje do výnosov  vo vecnej a časovej súvislosti s výdavkami</w:t>
      </w:r>
    </w:p>
    <w:p>
      <w:pPr>
        <w:numPr>
          <w:ilvl w:val="0"/>
          <w:numId w:val="139"/>
        </w:numPr>
        <w:spacing w:before="0" w:after="0" w:line="240"/>
        <w:ind w:right="0" w:left="67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poskytnutý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cudzím subjektom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- sa  zú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čtuje do nákladov po splnení podmienok</w:t>
      </w:r>
    </w:p>
    <w:p>
      <w:pPr>
        <w:numPr>
          <w:ilvl w:val="0"/>
          <w:numId w:val="139"/>
        </w:numPr>
        <w:spacing w:before="0" w:after="0" w:line="240"/>
        <w:ind w:right="0" w:left="67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poskytnutý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vlastným subjektom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- sa  zú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čtuje do nákladov pri poskytnutí  transferu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Kapitálový transfer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numPr>
          <w:ilvl w:val="0"/>
          <w:numId w:val="141"/>
        </w:numPr>
        <w:spacing w:before="0" w:after="0" w:line="240"/>
        <w:ind w:right="0" w:left="67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prijatý od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cudzích subjektov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- sa  zú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čtuje do výnosov  vo vecnej a časovej súvislosti s nákladmi (napr. s odpismi, s opravnou položkou, so zostatkovou hodnotou vyradeného dlhodobého majetku). </w:t>
      </w:r>
    </w:p>
    <w:p>
      <w:pPr>
        <w:numPr>
          <w:ilvl w:val="0"/>
          <w:numId w:val="141"/>
        </w:numPr>
        <w:spacing w:before="0" w:after="0" w:line="240"/>
        <w:ind w:right="0" w:left="67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prijatý od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zria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ďovateľa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- sa  zúčtuje do výnosov  vo vecnej a časovej súvislosti s nákladmi (napr. s odpismi, s opravnou položkou, so zostatkovou hodnotou vyradeného dlhodobého majetku). </w:t>
      </w:r>
    </w:p>
    <w:p>
      <w:pPr>
        <w:numPr>
          <w:ilvl w:val="0"/>
          <w:numId w:val="141"/>
        </w:numPr>
        <w:spacing w:before="0" w:after="0" w:line="240"/>
        <w:ind w:right="0" w:left="67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poskytnutý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cudzím subjektom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- sa  zú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čtuje do nákladov po splnení podmienok. </w:t>
      </w:r>
    </w:p>
    <w:p>
      <w:pPr>
        <w:numPr>
          <w:ilvl w:val="0"/>
          <w:numId w:val="141"/>
        </w:numPr>
        <w:spacing w:before="0" w:after="0" w:line="240"/>
        <w:ind w:right="0" w:left="67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poskytnutý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vlastným subjektom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- sa  zú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čtuje do nákladov vo vecnej a časovej súvislosti s  nákladmi účtovanými v organizáciách v zriaďovateľskej pôsobnosti obce/mesta.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Čl. III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Informácie o údajoch na strane aktív súvahy</w:t>
      </w:r>
    </w:p>
    <w:p>
      <w:pPr>
        <w:tabs>
          <w:tab w:val="left" w:pos="426" w:leader="none"/>
        </w:tabs>
        <w:spacing w:before="0" w:after="0" w:line="240"/>
        <w:ind w:right="0" w:left="425" w:hanging="425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426" w:leader="none"/>
        </w:tabs>
        <w:spacing w:before="0" w:after="0" w:line="240"/>
        <w:ind w:right="0" w:left="425" w:hanging="425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A Neobežný majetok</w:t>
      </w:r>
    </w:p>
    <w:p>
      <w:pPr>
        <w:numPr>
          <w:ilvl w:val="0"/>
          <w:numId w:val="145"/>
        </w:numPr>
        <w:tabs>
          <w:tab w:val="left" w:pos="720" w:leader="none"/>
          <w:tab w:val="left" w:pos="284" w:leader="none"/>
        </w:tabs>
        <w:spacing w:before="0" w:after="0" w:line="240"/>
        <w:ind w:right="0" w:left="284" w:hanging="284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Dlhodobý nehmotný majetok a dlhodobý hmotný majetok </w:t>
      </w:r>
    </w:p>
    <w:p>
      <w:pPr>
        <w:numPr>
          <w:ilvl w:val="0"/>
          <w:numId w:val="145"/>
        </w:numPr>
        <w:tabs>
          <w:tab w:val="left" w:pos="426" w:leader="none"/>
        </w:tabs>
        <w:spacing w:before="0" w:after="0" w:line="240"/>
        <w:ind w:right="0" w:left="284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preh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ľad o pohybe dlhodobého majetku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(tabuľka č.1)</w:t>
      </w:r>
    </w:p>
    <w:p>
      <w:pPr>
        <w:tabs>
          <w:tab w:val="left" w:pos="426" w:leader="none"/>
        </w:tabs>
        <w:spacing w:before="0" w:after="0" w:line="240"/>
        <w:ind w:right="0" w:left="284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Na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čte 021 - zostatok na účte je 471 332,33 €.</w:t>
      </w:r>
    </w:p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Na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čte 022 - zostatok na účte je 9 521,50 €.</w:t>
      </w:r>
    </w:p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Na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čte 028 - zostatok na účte je 64 313,17 €.</w:t>
      </w:r>
    </w:p>
    <w:p>
      <w:pPr>
        <w:tabs>
          <w:tab w:val="left" w:pos="426" w:leader="none"/>
        </w:tabs>
        <w:spacing w:before="0" w:after="0" w:line="240"/>
        <w:ind w:right="0" w:left="425" w:hanging="425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50"/>
        </w:numPr>
        <w:tabs>
          <w:tab w:val="left" w:pos="426" w:leader="none"/>
        </w:tabs>
        <w:spacing w:before="0" w:after="0" w:line="240"/>
        <w:ind w:right="0" w:left="284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spôsob a výška poistenia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dlhodobého nehmotného majetku a dlhodobého hmotného majetku </w:t>
      </w:r>
    </w:p>
    <w:tbl>
      <w:tblPr>
        <w:tblInd w:w="108" w:type="dxa"/>
      </w:tblPr>
      <w:tblGrid>
        <w:gridCol w:w="3544"/>
        <w:gridCol w:w="3544"/>
        <w:gridCol w:w="3118"/>
      </w:tblGrid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poisteného majetku </w:t>
            </w:r>
          </w:p>
        </w:tc>
        <w:tc>
          <w:tcPr>
            <w:tcW w:w="3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poistenia</w:t>
            </w:r>
          </w:p>
        </w:tc>
        <w:tc>
          <w:tcPr>
            <w:tcW w:w="31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Výška poistenia</w:t>
            </w: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a hmotný majetok</w:t>
            </w:r>
          </w:p>
        </w:tc>
        <w:tc>
          <w:tcPr>
            <w:tcW w:w="3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459,12 </w:t>
              <w:t xml:space="preserve"> </w:t>
            </w:r>
          </w:p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€</w:t>
            </w:r>
          </w:p>
        </w:tc>
      </w:tr>
    </w:tbl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FF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61"/>
        </w:numPr>
        <w:tabs>
          <w:tab w:val="left" w:pos="426" w:leader="none"/>
        </w:tabs>
        <w:spacing w:before="0" w:after="0" w:line="240"/>
        <w:ind w:right="0" w:left="284" w:hanging="284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opis a hodnota dlhodobého majetku vo vlastníctve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čtovnej jednotky alebo v správe účtovnej jednotky </w:t>
      </w:r>
    </w:p>
    <w:tbl>
      <w:tblPr>
        <w:tblInd w:w="108" w:type="dxa"/>
      </w:tblPr>
      <w:tblGrid>
        <w:gridCol w:w="5220"/>
        <w:gridCol w:w="4986"/>
      </w:tblGrid>
      <w:tr>
        <w:trPr>
          <w:trHeight w:val="1" w:hRule="atLeast"/>
          <w:jc w:val="left"/>
        </w:trPr>
        <w:tc>
          <w:tcPr>
            <w:tcW w:w="52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Majetok,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ku ktorému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má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vlastnícke právo</w:t>
            </w:r>
          </w:p>
        </w:tc>
        <w:tc>
          <w:tcPr>
            <w:tcW w:w="498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</w:t>
            </w:r>
          </w:p>
        </w:tc>
      </w:tr>
      <w:tr>
        <w:trPr>
          <w:trHeight w:val="1" w:hRule="atLeast"/>
          <w:jc w:val="left"/>
        </w:trPr>
        <w:tc>
          <w:tcPr>
            <w:tcW w:w="52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Budova</w:t>
            </w:r>
          </w:p>
        </w:tc>
        <w:tc>
          <w:tcPr>
            <w:tcW w:w="498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471 332,33 €</w:t>
            </w:r>
          </w:p>
        </w:tc>
      </w:tr>
      <w:tr>
        <w:trPr>
          <w:trHeight w:val="1" w:hRule="atLeast"/>
          <w:jc w:val="left"/>
        </w:trPr>
        <w:tc>
          <w:tcPr>
            <w:tcW w:w="52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Stroje, prístroje, zariadenia, inventár</w:t>
            </w:r>
          </w:p>
        </w:tc>
        <w:tc>
          <w:tcPr>
            <w:tcW w:w="498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9 521,50 €</w:t>
            </w:r>
          </w:p>
        </w:tc>
      </w:tr>
      <w:tr>
        <w:trPr>
          <w:trHeight w:val="1" w:hRule="atLeast"/>
          <w:jc w:val="left"/>
        </w:trPr>
        <w:tc>
          <w:tcPr>
            <w:tcW w:w="52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Drobný dlhodobý hmotný majetok </w:t>
            </w:r>
          </w:p>
        </w:tc>
        <w:tc>
          <w:tcPr>
            <w:tcW w:w="498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64 313,17  €</w:t>
            </w:r>
          </w:p>
        </w:tc>
      </w:tr>
    </w:tbl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284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2520" w:hanging="252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B  Obežný majetok </w:t>
      </w:r>
    </w:p>
    <w:p>
      <w:pPr>
        <w:numPr>
          <w:ilvl w:val="0"/>
          <w:numId w:val="178"/>
        </w:numPr>
        <w:spacing w:before="0" w:after="0" w:line="240"/>
        <w:ind w:right="0" w:left="284" w:hanging="284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ľadávky</w:t>
      </w:r>
    </w:p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ľadávky podľa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doby splatnosti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(riadky 048 a 060 súvahy) - tabuľka č.4</w:t>
      </w:r>
    </w:p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ľadávky so zostatkovou dobou splatnosti do jedného roka.</w:t>
      </w:r>
    </w:p>
    <w:p>
      <w:pPr>
        <w:tabs>
          <w:tab w:val="left" w:pos="426" w:leader="none"/>
        </w:tabs>
        <w:spacing w:before="0" w:after="0" w:line="240"/>
        <w:ind w:right="0" w:left="284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</w:t>
      </w:r>
    </w:p>
    <w:tbl>
      <w:tblPr>
        <w:tblInd w:w="70" w:type="dxa"/>
      </w:tblPr>
      <w:tblGrid>
        <w:gridCol w:w="2694"/>
        <w:gridCol w:w="850"/>
        <w:gridCol w:w="1559"/>
      </w:tblGrid>
      <w:tr>
        <w:trPr>
          <w:trHeight w:val="1" w:hRule="atLeast"/>
          <w:jc w:val="left"/>
        </w:trPr>
        <w:tc>
          <w:tcPr>
            <w:tcW w:w="26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85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Riadok súvahy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Hodnota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ľadávok </w:t>
            </w:r>
          </w:p>
        </w:tc>
      </w:tr>
      <w:tr>
        <w:trPr>
          <w:trHeight w:val="1" w:hRule="atLeast"/>
          <w:jc w:val="left"/>
        </w:trPr>
        <w:tc>
          <w:tcPr>
            <w:tcW w:w="26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</w:t>
            </w:r>
          </w:p>
        </w:tc>
        <w:tc>
          <w:tcPr>
            <w:tcW w:w="85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060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74 460,65 € </w:t>
            </w:r>
          </w:p>
        </w:tc>
      </w:tr>
    </w:tbl>
    <w:p>
      <w:pPr>
        <w:tabs>
          <w:tab w:val="left" w:pos="426" w:leader="none"/>
        </w:tabs>
        <w:spacing w:before="0" w:after="0" w:line="240"/>
        <w:ind w:right="0" w:left="284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284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90"/>
        </w:numPr>
        <w:spacing w:before="0" w:after="0" w:line="240"/>
        <w:ind w:right="0" w:left="284" w:hanging="284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čný majetok </w:t>
      </w:r>
    </w:p>
    <w:p>
      <w:pPr>
        <w:numPr>
          <w:ilvl w:val="0"/>
          <w:numId w:val="190"/>
        </w:numPr>
        <w:tabs>
          <w:tab w:val="left" w:pos="426" w:leader="none"/>
        </w:tabs>
        <w:spacing w:before="0" w:after="0" w:line="240"/>
        <w:ind w:right="0" w:left="284" w:hanging="284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opis významných zložiek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krátkodobého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čného majetku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(riadok 085 súvahy)</w:t>
      </w:r>
    </w:p>
    <w:tbl>
      <w:tblPr>
        <w:tblInd w:w="70" w:type="dxa"/>
      </w:tblPr>
      <w:tblGrid>
        <w:gridCol w:w="4962"/>
        <w:gridCol w:w="2693"/>
        <w:gridCol w:w="2693"/>
      </w:tblGrid>
      <w:tr>
        <w:trPr>
          <w:trHeight w:val="1" w:hRule="atLeast"/>
          <w:jc w:val="left"/>
        </w:trPr>
        <w:tc>
          <w:tcPr>
            <w:tcW w:w="49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Zostatok k 31.12.2019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Zostatok k 31.12.2018</w:t>
            </w:r>
          </w:p>
        </w:tc>
      </w:tr>
      <w:tr>
        <w:trPr>
          <w:trHeight w:val="1" w:hRule="atLeast"/>
          <w:jc w:val="left"/>
        </w:trPr>
        <w:tc>
          <w:tcPr>
            <w:tcW w:w="49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Bankové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23 385,17 €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24 357,50 €</w:t>
            </w:r>
          </w:p>
        </w:tc>
      </w:tr>
    </w:tbl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284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284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Čl. IV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Informácie o údajoch na strane pasív súvahy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03"/>
        </w:numPr>
        <w:tabs>
          <w:tab w:val="left" w:pos="426" w:leader="none"/>
        </w:tabs>
        <w:spacing w:before="0" w:after="0" w:line="240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Výsledok hospodárenia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(riadky 124 a 125 súvahy) – tabu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ľka č. 5 </w:t>
      </w:r>
    </w:p>
    <w:p>
      <w:pPr>
        <w:tabs>
          <w:tab w:val="left" w:pos="426" w:leader="none"/>
        </w:tabs>
        <w:spacing w:before="0" w:after="0" w:line="240"/>
        <w:ind w:right="0" w:left="72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 zhode so súvahou:</w:t>
      </w:r>
    </w:p>
    <w:p>
      <w:pPr>
        <w:tabs>
          <w:tab w:val="left" w:pos="426" w:leader="none"/>
        </w:tabs>
        <w:spacing w:before="0" w:after="0" w:line="240"/>
        <w:ind w:right="0" w:left="72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 tabu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ľke č. 5 v stĺpci 5 je hodnota – 7 433,97 € z riadku 124 súvahy, </w:t>
      </w:r>
    </w:p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                            v st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ĺpci 6 riadok 1 hodnota – 7 376,92 € z riadku č. 125 a stĺpca 6 súvahy,</w:t>
      </w:r>
    </w:p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                                                        5 hodnota 4 336,30 € z riadku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č. 125 a stĺpca 5 súvahy.</w:t>
      </w:r>
    </w:p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06"/>
        </w:numPr>
        <w:tabs>
          <w:tab w:val="left" w:pos="720" w:leader="none"/>
        </w:tabs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Záväzky pod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ľa doby splatnosti 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   záväzky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doby splatnosti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(riadky 140 a 151 súvahy) - tabuľka č.8</w:t>
      </w:r>
    </w:p>
    <w:p>
      <w:pPr>
        <w:tabs>
          <w:tab w:val="left" w:pos="426" w:leader="none"/>
        </w:tabs>
        <w:spacing w:before="0" w:after="0" w:line="240"/>
        <w:ind w:right="0" w:left="284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Záväzky celkom vo výške 102 022,22 €,</w:t>
      </w:r>
    </w:p>
    <w:p>
      <w:pPr>
        <w:tabs>
          <w:tab w:val="left" w:pos="426" w:leader="none"/>
        </w:tabs>
        <w:spacing w:before="0" w:after="0" w:line="240"/>
        <w:ind w:right="0" w:left="284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z toho:</w:t>
      </w:r>
    </w:p>
    <w:p>
      <w:pPr>
        <w:numPr>
          <w:ilvl w:val="0"/>
          <w:numId w:val="209"/>
        </w:numPr>
        <w:tabs>
          <w:tab w:val="left" w:pos="426" w:leader="none"/>
        </w:tabs>
        <w:spacing w:before="0" w:after="0" w:line="240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záväzky dlhodobé vo výške       6 585,88 €,</w:t>
      </w:r>
    </w:p>
    <w:p>
      <w:pPr>
        <w:numPr>
          <w:ilvl w:val="0"/>
          <w:numId w:val="209"/>
        </w:numPr>
        <w:tabs>
          <w:tab w:val="left" w:pos="426" w:leader="none"/>
        </w:tabs>
        <w:spacing w:before="0" w:after="0" w:line="240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záväzky krátkodobé vo výške  95 436,34 €.       </w:t>
      </w:r>
    </w:p>
    <w:p>
      <w:pPr>
        <w:tabs>
          <w:tab w:val="left" w:pos="426" w:leader="none"/>
        </w:tabs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tbl>
      <w:tblPr>
        <w:tblInd w:w="70" w:type="dxa"/>
      </w:tblPr>
      <w:tblGrid>
        <w:gridCol w:w="7230"/>
        <w:gridCol w:w="1559"/>
        <w:gridCol w:w="1417"/>
      </w:tblGrid>
      <w:tr>
        <w:trPr>
          <w:trHeight w:val="1" w:hRule="atLeast"/>
          <w:jc w:val="left"/>
        </w:trPr>
        <w:tc>
          <w:tcPr>
            <w:tcW w:w="72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Zostatok k 31.12.2018   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Zostatok k 31.12.2019   </w:t>
            </w:r>
          </w:p>
        </w:tc>
      </w:tr>
      <w:tr>
        <w:trPr>
          <w:trHeight w:val="1" w:hRule="atLeast"/>
          <w:jc w:val="left"/>
        </w:trPr>
        <w:tc>
          <w:tcPr>
            <w:tcW w:w="72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z toho: 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72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219"/>
              </w:numPr>
              <w:tabs>
                <w:tab w:val="left" w:pos="720" w:leader="none"/>
              </w:tabs>
              <w:spacing w:before="0" w:after="0" w:line="240"/>
              <w:ind w:right="0" w:left="318" w:hanging="142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zo sociálne ho fondu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5 319,66 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6 585,88</w:t>
            </w:r>
          </w:p>
        </w:tc>
      </w:tr>
      <w:tr>
        <w:trPr>
          <w:trHeight w:val="1" w:hRule="atLeast"/>
          <w:jc w:val="left"/>
        </w:trPr>
        <w:tc>
          <w:tcPr>
            <w:tcW w:w="72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678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72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z toho: 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72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228"/>
              </w:numPr>
              <w:tabs>
                <w:tab w:val="left" w:pos="720" w:leader="none"/>
              </w:tabs>
              <w:spacing w:before="0" w:after="0" w:line="240"/>
              <w:ind w:right="0" w:left="318" w:hanging="142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vo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či dodávateľom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120,67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72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231"/>
              </w:numPr>
              <w:tabs>
                <w:tab w:val="left" w:pos="720" w:leader="none"/>
              </w:tabs>
              <w:spacing w:before="0" w:after="0" w:line="240"/>
              <w:ind w:right="0" w:left="318" w:hanging="142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vo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či zamestnancom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8 224,45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12 096,39</w:t>
            </w:r>
          </w:p>
        </w:tc>
      </w:tr>
      <w:tr>
        <w:trPr>
          <w:trHeight w:val="1" w:hRule="atLeast"/>
          <w:jc w:val="left"/>
        </w:trPr>
        <w:tc>
          <w:tcPr>
            <w:tcW w:w="72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234"/>
              </w:numPr>
              <w:tabs>
                <w:tab w:val="left" w:pos="720" w:leader="none"/>
              </w:tabs>
              <w:spacing w:before="0" w:after="0" w:line="240"/>
              <w:ind w:right="0" w:left="318" w:hanging="142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vo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či daňovému úradu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1 011,31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1 833,99</w:t>
            </w:r>
          </w:p>
        </w:tc>
      </w:tr>
      <w:tr>
        <w:trPr>
          <w:trHeight w:val="1" w:hRule="atLeast"/>
          <w:jc w:val="left"/>
        </w:trPr>
        <w:tc>
          <w:tcPr>
            <w:tcW w:w="72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237"/>
              </w:numPr>
              <w:tabs>
                <w:tab w:val="left" w:pos="720" w:leader="none"/>
              </w:tabs>
              <w:spacing w:before="0" w:after="0" w:line="240"/>
              <w:ind w:right="0" w:left="318" w:hanging="142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prijaté preddavky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71 946,19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71 249,47</w:t>
            </w:r>
          </w:p>
        </w:tc>
      </w:tr>
      <w:tr>
        <w:trPr>
          <w:trHeight w:val="1" w:hRule="atLeast"/>
          <w:jc w:val="left"/>
        </w:trPr>
        <w:tc>
          <w:tcPr>
            <w:tcW w:w="72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240"/>
              </w:numPr>
              <w:tabs>
                <w:tab w:val="left" w:pos="720" w:leader="none"/>
              </w:tabs>
              <w:spacing w:before="0" w:after="0" w:line="240"/>
              <w:ind w:right="0" w:left="318" w:hanging="142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transfery a ostatné zú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so subjektmi mimo verejnej správy 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1 026,72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1 900,78</w:t>
            </w:r>
          </w:p>
        </w:tc>
      </w:tr>
      <w:tr>
        <w:trPr>
          <w:trHeight w:val="1" w:hRule="atLeast"/>
          <w:jc w:val="left"/>
        </w:trPr>
        <w:tc>
          <w:tcPr>
            <w:tcW w:w="72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243"/>
              </w:numPr>
              <w:tabs>
                <w:tab w:val="left" w:pos="720" w:leader="none"/>
              </w:tabs>
              <w:spacing w:before="0" w:after="0" w:line="240"/>
              <w:ind w:right="0" w:left="318" w:hanging="142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záväzky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1 188,24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8 355,71</w:t>
            </w:r>
          </w:p>
        </w:tc>
      </w:tr>
    </w:tbl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426" w:leader="none"/>
        </w:tabs>
        <w:spacing w:before="0" w:after="0" w:line="240"/>
        <w:ind w:right="0" w:left="284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Čl. V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Informácie o výnosoch a nákladoch </w:t>
      </w:r>
    </w:p>
    <w:p>
      <w:pPr>
        <w:tabs>
          <w:tab w:val="left" w:pos="426" w:leader="none"/>
        </w:tabs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426" w:leader="none"/>
        </w:tabs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50"/>
        </w:numPr>
        <w:spacing w:before="0" w:after="0" w:line="240"/>
        <w:ind w:right="0" w:left="284" w:hanging="284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Výnosy - popis a výška významných položiek výnosov</w:t>
      </w:r>
    </w:p>
    <w:tbl>
      <w:tblPr>
        <w:tblInd w:w="70" w:type="dxa"/>
      </w:tblPr>
      <w:tblGrid>
        <w:gridCol w:w="6096"/>
        <w:gridCol w:w="2268"/>
        <w:gridCol w:w="1984"/>
      </w:tblGrid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Popis /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číslo účtu a názov/ 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k 31.12.2018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k 31.12.2019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255"/>
              </w:numPr>
              <w:spacing w:before="0" w:after="0" w:line="240"/>
              <w:ind w:right="0" w:left="185" w:hanging="185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602 - Tržby z predaja služieb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24 442,17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23 759,73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691 - Výnosy z bežných transferov z rozpo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čtu obce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204 879,62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248 837,77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692 - Výnosy z kapitálových transferov z rozpo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čtu obce</w:t>
            </w:r>
          </w:p>
          <w:p>
            <w:pPr>
              <w:numPr>
                <w:ilvl w:val="0"/>
                <w:numId w:val="266"/>
              </w:numPr>
              <w:spacing w:before="0" w:after="0" w:line="240"/>
              <w:ind w:right="0" w:left="678" w:hanging="36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kapitálového transferu zriaďovateľa                                            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24 776,00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24 776,00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693 – Výnosy samosprávy z bežných transferov zo ŠR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4 105,42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9 235,79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697 - Výnosy samosprávy z bežných transferov od ostatných subjektov mimo verejnej správy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59,90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657,75</w:t>
            </w:r>
          </w:p>
        </w:tc>
      </w:tr>
    </w:tbl>
    <w:p>
      <w:pPr>
        <w:spacing w:before="0" w:after="0" w:line="240"/>
        <w:ind w:right="0" w:left="284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284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284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284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284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284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284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284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76"/>
        </w:numPr>
        <w:spacing w:before="0" w:after="0" w:line="240"/>
        <w:ind w:right="0" w:left="284" w:hanging="284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Náklady - popis a výška významných položiek nákladov</w:t>
      </w:r>
    </w:p>
    <w:tbl>
      <w:tblPr>
        <w:tblInd w:w="70" w:type="dxa"/>
      </w:tblPr>
      <w:tblGrid>
        <w:gridCol w:w="6096"/>
        <w:gridCol w:w="2268"/>
        <w:gridCol w:w="2268"/>
      </w:tblGrid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Popis /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číslo účtu a názov/ 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k 31.12.2018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k 31.12.2019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281"/>
              </w:numPr>
              <w:spacing w:before="0" w:after="0" w:line="240"/>
              <w:ind w:right="0" w:left="185" w:hanging="185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501 - Spotreba materiálu 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19 962,49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31 798,74</w:t>
            </w:r>
          </w:p>
        </w:tc>
      </w:tr>
      <w:tr>
        <w:trPr>
          <w:trHeight w:val="307" w:hRule="auto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502 - Spotreba energie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17 103,35</w:t>
            </w:r>
          </w:p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7 496,87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293"/>
              </w:numPr>
              <w:spacing w:before="0" w:after="0" w:line="240"/>
              <w:ind w:right="0" w:left="185" w:hanging="185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služby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511 - Opravy a udržiavanie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2 871,66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518 – Ostatné služby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7 231,15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4 811,95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304"/>
              </w:numPr>
              <w:spacing w:before="0" w:after="0" w:line="240"/>
              <w:ind w:right="0" w:left="185" w:hanging="185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125 897,98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168 099,83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524 - Zákonné sociálne náklady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44 167,95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41 071,34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990,20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1 266,22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318"/>
              </w:numPr>
              <w:spacing w:before="0" w:after="0" w:line="240"/>
              <w:ind w:right="0" w:left="185" w:hanging="185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551 - Odpisy  DNM a DHM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24 776,00</w:t>
            </w:r>
          </w:p>
          <w:p>
            <w:pPr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24 776,00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326"/>
              </w:numPr>
              <w:spacing w:before="0" w:after="0" w:line="240"/>
              <w:ind w:right="0" w:left="185" w:hanging="185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588 - Náklady z odvodu príjmov</w:t>
            </w:r>
          </w:p>
          <w:p>
            <w:pPr>
              <w:numPr>
                <w:ilvl w:val="0"/>
                <w:numId w:val="331"/>
              </w:numPr>
              <w:spacing w:before="0" w:after="0" w:line="240"/>
              <w:ind w:right="0" w:left="678" w:hanging="36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predpis odvodu príjmov RO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25 510,91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20 738,13</w:t>
            </w:r>
          </w:p>
        </w:tc>
      </w:tr>
    </w:tbl>
    <w:p>
      <w:pPr>
        <w:spacing w:before="0" w:after="0" w:line="240"/>
        <w:ind w:right="0" w:left="284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426" w:leader="none"/>
        </w:tabs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Čl. VI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Informácie o rozpo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čte a hodnotenie plnenia rozpočtu 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Informácie o rozpo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čte a hodnotenie plnenia rozpočtu -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tabuľka č.12-14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Rozpo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čet Materskej školy Svrčinovec č. 856 bol schválený obecným zastupiteľstvom dňa 26. 10. 2018,   Uznesením č. 95/2018.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Zmeny rozpo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čtu: </w:t>
      </w:r>
    </w:p>
    <w:p>
      <w:pPr>
        <w:numPr>
          <w:ilvl w:val="0"/>
          <w:numId w:val="338"/>
        </w:numPr>
        <w:tabs>
          <w:tab w:val="left" w:pos="720" w:leader="none"/>
        </w:tabs>
        <w:spacing w:before="0" w:after="0" w:line="240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prvá  zmena  schválená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ňa 24. 04. 2019,    Uznesením č. 33/2019,</w:t>
      </w:r>
    </w:p>
    <w:p>
      <w:pPr>
        <w:numPr>
          <w:ilvl w:val="0"/>
          <w:numId w:val="338"/>
        </w:numPr>
        <w:tabs>
          <w:tab w:val="left" w:pos="720" w:leader="none"/>
        </w:tabs>
        <w:spacing w:before="0" w:after="0" w:line="240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druhá zmena schválená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ňa 04. 09. 2019,  Uznesením č. 83/2019,</w:t>
      </w:r>
    </w:p>
    <w:p>
      <w:pPr>
        <w:numPr>
          <w:ilvl w:val="0"/>
          <w:numId w:val="338"/>
        </w:numPr>
        <w:tabs>
          <w:tab w:val="left" w:pos="720" w:leader="none"/>
        </w:tabs>
        <w:spacing w:before="0" w:after="0" w:line="240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tretia zmena  schválená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ňa 11. 12. 2019,  Uznesením č. 128/2019  a Uznesením č. 130/2019.</w:t>
      </w:r>
    </w:p>
    <w:p>
      <w:pPr>
        <w:spacing w:before="0" w:after="0" w:line="240"/>
        <w:ind w:right="0" w:left="36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Čl. VII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Informácie o skuto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čnostiach, ktoré nastali po dni, ku ktorému sa zostavuje účtovná závierka 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do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ňa zostavenia účtovnej závierky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 31. decembri 2019 nenastali také udalosti, ktoré by si vyžadovali zverejnenie alebo vykázanie v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čtovnej závierke za rok 2019.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vo Svr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činovci, 10. 03. 2020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360"/>
        <w:ind w:right="0" w:left="0" w:firstLine="0"/>
        <w:jc w:val="righ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36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Martina Petríková</w:t>
      </w:r>
    </w:p>
    <w:p>
      <w:pPr>
        <w:spacing w:before="0" w:after="0" w:line="36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riadite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ľka MŠ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abstractNum w:abstractNumId="222">
    <w:lvl w:ilvl="0">
      <w:start w:val="1"/>
      <w:numFmt w:val="bullet"/>
      <w:lvlText w:val="•"/>
    </w:lvl>
  </w:abstractNum>
  <w:abstractNum w:abstractNumId="228">
    <w:lvl w:ilvl="0">
      <w:start w:val="1"/>
      <w:numFmt w:val="bullet"/>
      <w:lvlText w:val="•"/>
    </w:lvl>
  </w:abstractNum>
  <w:abstractNum w:abstractNumId="234">
    <w:lvl w:ilvl="0">
      <w:start w:val="1"/>
      <w:numFmt w:val="bullet"/>
      <w:lvlText w:val="•"/>
    </w:lvl>
  </w:abstractNum>
  <w:abstractNum w:abstractNumId="240">
    <w:lvl w:ilvl="0">
      <w:start w:val="1"/>
      <w:numFmt w:val="bullet"/>
      <w:lvlText w:val="•"/>
    </w:lvl>
  </w:abstractNum>
  <w:abstractNum w:abstractNumId="246">
    <w:lvl w:ilvl="0">
      <w:start w:val="1"/>
      <w:numFmt w:val="bullet"/>
      <w:lvlText w:val="•"/>
    </w:lvl>
  </w:abstractNum>
  <w:abstractNum w:abstractNumId="252">
    <w:lvl w:ilvl="0">
      <w:start w:val="1"/>
      <w:numFmt w:val="bullet"/>
      <w:lvlText w:val="•"/>
    </w:lvl>
  </w:abstractNum>
  <w:abstractNum w:abstractNumId="258">
    <w:lvl w:ilvl="0">
      <w:start w:val="1"/>
      <w:numFmt w:val="bullet"/>
      <w:lvlText w:val="•"/>
    </w:lvl>
  </w:abstractNum>
  <w:abstractNum w:abstractNumId="264">
    <w:lvl w:ilvl="0">
      <w:start w:val="1"/>
      <w:numFmt w:val="bullet"/>
      <w:lvlText w:val="•"/>
    </w:lvl>
  </w:abstractNum>
  <w:abstractNum w:abstractNumId="270">
    <w:lvl w:ilvl="0">
      <w:start w:val="1"/>
      <w:numFmt w:val="bullet"/>
      <w:lvlText w:val="•"/>
    </w:lvl>
  </w:abstractNum>
  <w:abstractNum w:abstractNumId="276">
    <w:lvl w:ilvl="0">
      <w:start w:val="1"/>
      <w:numFmt w:val="bullet"/>
      <w:lvlText w:val="•"/>
    </w:lvl>
  </w:abstractNum>
  <w:abstractNum w:abstractNumId="282">
    <w:lvl w:ilvl="0">
      <w:start w:val="1"/>
      <w:numFmt w:val="bullet"/>
      <w:lvlText w:val="•"/>
    </w:lvl>
  </w:abstractNum>
  <w:abstractNum w:abstractNumId="288">
    <w:lvl w:ilvl="0">
      <w:start w:val="1"/>
      <w:numFmt w:val="bullet"/>
      <w:lvlText w:val="•"/>
    </w:lvl>
  </w:abstractNum>
  <w:abstractNum w:abstractNumId="294">
    <w:lvl w:ilvl="0">
      <w:start w:val="1"/>
      <w:numFmt w:val="bullet"/>
      <w:lvlText w:val="•"/>
    </w:lvl>
  </w:abstractNum>
  <w:abstractNum w:abstractNumId="300">
    <w:lvl w:ilvl="0">
      <w:start w:val="1"/>
      <w:numFmt w:val="bullet"/>
      <w:lvlText w:val="•"/>
    </w:lvl>
  </w:abstractNum>
  <w:abstractNum w:abstractNumId="306">
    <w:lvl w:ilvl="0">
      <w:start w:val="1"/>
      <w:numFmt w:val="bullet"/>
      <w:lvlText w:val="•"/>
    </w:lvl>
  </w:abstractNum>
  <w:abstractNum w:abstractNumId="312">
    <w:lvl w:ilvl="0">
      <w:start w:val="1"/>
      <w:numFmt w:val="bullet"/>
      <w:lvlText w:val="•"/>
    </w:lvl>
  </w:abstractNum>
  <w:abstractNum w:abstractNumId="318">
    <w:lvl w:ilvl="0">
      <w:start w:val="1"/>
      <w:numFmt w:val="bullet"/>
      <w:lvlText w:val="•"/>
    </w:lvl>
  </w:abstractNum>
  <w:abstractNum w:abstractNumId="324">
    <w:lvl w:ilvl="0">
      <w:start w:val="1"/>
      <w:numFmt w:val="bullet"/>
      <w:lvlText w:val="•"/>
    </w:lvl>
  </w:abstractNum>
  <w:abstractNum w:abstractNumId="330">
    <w:lvl w:ilvl="0">
      <w:start w:val="1"/>
      <w:numFmt w:val="bullet"/>
      <w:lvlText w:val="•"/>
    </w:lvl>
  </w:abstractNum>
  <w:num w:numId="4">
    <w:abstractNumId w:val="330"/>
  </w:num>
  <w:num w:numId="32">
    <w:abstractNumId w:val="324"/>
  </w:num>
  <w:num w:numId="38">
    <w:abstractNumId w:val="318"/>
  </w:num>
  <w:num w:numId="46">
    <w:abstractNumId w:val="312"/>
  </w:num>
  <w:num w:numId="51">
    <w:abstractNumId w:val="306"/>
  </w:num>
  <w:num w:numId="56">
    <w:abstractNumId w:val="300"/>
  </w:num>
  <w:num w:numId="58">
    <w:abstractNumId w:val="294"/>
  </w:num>
  <w:num w:numId="61">
    <w:abstractNumId w:val="288"/>
  </w:num>
  <w:num w:numId="67">
    <w:abstractNumId w:val="282"/>
  </w:num>
  <w:num w:numId="70">
    <w:abstractNumId w:val="276"/>
  </w:num>
  <w:num w:numId="73">
    <w:abstractNumId w:val="270"/>
  </w:num>
  <w:num w:numId="76">
    <w:abstractNumId w:val="264"/>
  </w:num>
  <w:num w:numId="79">
    <w:abstractNumId w:val="258"/>
  </w:num>
  <w:num w:numId="82">
    <w:abstractNumId w:val="252"/>
  </w:num>
  <w:num w:numId="85">
    <w:abstractNumId w:val="246"/>
  </w:num>
  <w:num w:numId="88">
    <w:abstractNumId w:val="240"/>
  </w:num>
  <w:num w:numId="91">
    <w:abstractNumId w:val="234"/>
  </w:num>
  <w:num w:numId="94">
    <w:abstractNumId w:val="228"/>
  </w:num>
  <w:num w:numId="97">
    <w:abstractNumId w:val="222"/>
  </w:num>
  <w:num w:numId="100">
    <w:abstractNumId w:val="216"/>
  </w:num>
  <w:num w:numId="103">
    <w:abstractNumId w:val="210"/>
  </w:num>
  <w:num w:numId="107">
    <w:abstractNumId w:val="204"/>
  </w:num>
  <w:num w:numId="110">
    <w:abstractNumId w:val="198"/>
  </w:num>
  <w:num w:numId="113">
    <w:abstractNumId w:val="192"/>
  </w:num>
  <w:num w:numId="117">
    <w:abstractNumId w:val="186"/>
  </w:num>
  <w:num w:numId="133">
    <w:abstractNumId w:val="180"/>
  </w:num>
  <w:num w:numId="135">
    <w:abstractNumId w:val="174"/>
  </w:num>
  <w:num w:numId="137">
    <w:abstractNumId w:val="168"/>
  </w:num>
  <w:num w:numId="139">
    <w:abstractNumId w:val="162"/>
  </w:num>
  <w:num w:numId="141">
    <w:abstractNumId w:val="156"/>
  </w:num>
  <w:num w:numId="145">
    <w:abstractNumId w:val="150"/>
  </w:num>
  <w:num w:numId="150">
    <w:abstractNumId w:val="144"/>
  </w:num>
  <w:num w:numId="161">
    <w:abstractNumId w:val="138"/>
  </w:num>
  <w:num w:numId="178">
    <w:abstractNumId w:val="132"/>
  </w:num>
  <w:num w:numId="190">
    <w:abstractNumId w:val="126"/>
  </w:num>
  <w:num w:numId="203">
    <w:abstractNumId w:val="120"/>
  </w:num>
  <w:num w:numId="206">
    <w:abstractNumId w:val="114"/>
  </w:num>
  <w:num w:numId="209">
    <w:abstractNumId w:val="108"/>
  </w:num>
  <w:num w:numId="219">
    <w:abstractNumId w:val="102"/>
  </w:num>
  <w:num w:numId="228">
    <w:abstractNumId w:val="96"/>
  </w:num>
  <w:num w:numId="231">
    <w:abstractNumId w:val="90"/>
  </w:num>
  <w:num w:numId="234">
    <w:abstractNumId w:val="84"/>
  </w:num>
  <w:num w:numId="237">
    <w:abstractNumId w:val="78"/>
  </w:num>
  <w:num w:numId="240">
    <w:abstractNumId w:val="72"/>
  </w:num>
  <w:num w:numId="243">
    <w:abstractNumId w:val="66"/>
  </w:num>
  <w:num w:numId="250">
    <w:abstractNumId w:val="60"/>
  </w:num>
  <w:num w:numId="255">
    <w:abstractNumId w:val="54"/>
  </w:num>
  <w:num w:numId="266">
    <w:abstractNumId w:val="48"/>
  </w:num>
  <w:num w:numId="276">
    <w:abstractNumId w:val="42"/>
  </w:num>
  <w:num w:numId="281">
    <w:abstractNumId w:val="36"/>
  </w:num>
  <w:num w:numId="293">
    <w:abstractNumId w:val="30"/>
  </w:num>
  <w:num w:numId="304">
    <w:abstractNumId w:val="24"/>
  </w:num>
  <w:num w:numId="318">
    <w:abstractNumId w:val="18"/>
  </w:num>
  <w:num w:numId="326">
    <w:abstractNumId w:val="12"/>
  </w:num>
  <w:num w:numId="331">
    <w:abstractNumId w:val="6"/>
  </w:num>
  <w:num w:numId="338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