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D1ADE" w:rsidRDefault="00CD1ADE" w:rsidP="008D3B20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</w:t>
      </w:r>
    </w:p>
    <w:p w:rsidR="00CD1ADE" w:rsidRDefault="00CD1ADE" w:rsidP="008D3B20">
      <w:pPr>
        <w:jc w:val="center"/>
        <w:rPr>
          <w:b/>
          <w:bCs/>
        </w:rPr>
      </w:pPr>
      <w:r>
        <w:rPr>
          <w:b/>
          <w:bCs/>
        </w:rPr>
        <w:t>Všeobecné informácie</w:t>
      </w:r>
    </w:p>
    <w:p w:rsidR="00CD1ADE" w:rsidRDefault="00CD1ADE" w:rsidP="008D3B20">
      <w:pPr>
        <w:jc w:val="center"/>
        <w:rPr>
          <w:b/>
          <w:bCs/>
        </w:rPr>
      </w:pPr>
    </w:p>
    <w:p w:rsidR="00CD1ADE" w:rsidRDefault="00CD1ADE" w:rsidP="00514810">
      <w:pPr>
        <w:ind w:left="426" w:hanging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(1)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Obchodné meno:</w:t>
      </w:r>
      <w:r w:rsidRPr="002D0E3B"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Agronovaz</w:t>
      </w:r>
      <w:proofErr w:type="spellEnd"/>
      <w:r>
        <w:rPr>
          <w:rFonts w:ascii="Arial" w:hAnsi="Arial" w:cs="Arial"/>
          <w:sz w:val="20"/>
          <w:szCs w:val="20"/>
        </w:rPr>
        <w:t xml:space="preserve"> a.s.</w:t>
      </w:r>
    </w:p>
    <w:p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Sídlo: </w:t>
      </w:r>
      <w:r w:rsidR="002B7F98">
        <w:rPr>
          <w:rFonts w:ascii="Arial" w:hAnsi="Arial" w:cs="Arial"/>
          <w:sz w:val="20"/>
          <w:szCs w:val="20"/>
        </w:rPr>
        <w:t>Banská 2613/6</w:t>
      </w:r>
    </w:p>
    <w:p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IČO: 31411576</w:t>
      </w:r>
    </w:p>
    <w:p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DIČ: 2020380480</w:t>
      </w:r>
    </w:p>
    <w:p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Opis vykonávanej činnosti spoločnosti (ďalej len ,,spoločnosť“):</w:t>
      </w:r>
    </w:p>
    <w:p w:rsidR="00CD1ADE" w:rsidRDefault="00CD1ADE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(2)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Dátum schválenia účtovnej závierky za bezprostredne predchádzajúce účtovné obdobie príslušným orgánom spoločnosti: účtovná závierka k 31. 12. 201</w:t>
      </w:r>
      <w:r w:rsidR="002B7F98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8 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bola schválená dňa .2</w:t>
      </w:r>
      <w:r w:rsidR="00304981">
        <w:rPr>
          <w:rFonts w:ascii="Arial" w:hAnsi="Arial" w:cs="Arial"/>
          <w:color w:val="000000"/>
          <w:sz w:val="20"/>
          <w:szCs w:val="20"/>
          <w:shd w:val="clear" w:color="auto" w:fill="FFFFFF"/>
        </w:rPr>
        <w:t>0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.6.201</w:t>
      </w:r>
      <w:r w:rsidR="002B7F98">
        <w:rPr>
          <w:rFonts w:ascii="Arial" w:hAnsi="Arial" w:cs="Arial"/>
          <w:color w:val="000000"/>
          <w:sz w:val="20"/>
          <w:szCs w:val="20"/>
          <w:shd w:val="clear" w:color="auto" w:fill="FFFFFF"/>
        </w:rPr>
        <w:t>9</w:t>
      </w:r>
    </w:p>
    <w:p w:rsidR="00CD1ADE" w:rsidRDefault="00CD1ADE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(3)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Právny dôvod na zostavenie účtovnej závierky: účtovná závierka spoločnosti k 31. 12. 201</w:t>
      </w:r>
      <w:r w:rsidR="002B7F98">
        <w:rPr>
          <w:rFonts w:ascii="Arial" w:hAnsi="Arial" w:cs="Arial"/>
          <w:color w:val="000000"/>
          <w:sz w:val="20"/>
          <w:szCs w:val="20"/>
          <w:shd w:val="clear" w:color="auto" w:fill="FFFFFF"/>
        </w:rPr>
        <w:t>9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je zostavená ako riadna účtovná závierka podľa § 17 ods. 6 zákona č. 431/2002 Z. z. o účtovníctve  za účtovné obdobie od 1. 1. 201</w:t>
      </w:r>
      <w:r w:rsidR="002B7F98">
        <w:rPr>
          <w:rFonts w:ascii="Arial" w:hAnsi="Arial" w:cs="Arial"/>
          <w:color w:val="000000"/>
          <w:sz w:val="20"/>
          <w:szCs w:val="20"/>
          <w:shd w:val="clear" w:color="auto" w:fill="FFFFFF"/>
        </w:rPr>
        <w:t>9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do 31. 12.</w:t>
      </w:r>
      <w:r w:rsidR="002B7F98">
        <w:rPr>
          <w:rFonts w:ascii="Arial" w:hAnsi="Arial" w:cs="Arial"/>
          <w:color w:val="000000"/>
          <w:sz w:val="20"/>
          <w:szCs w:val="20"/>
          <w:shd w:val="clear" w:color="auto" w:fill="FFFFFF"/>
        </w:rPr>
        <w:t>2019</w:t>
      </w:r>
    </w:p>
    <w:p w:rsidR="00CD1ADE" w:rsidRDefault="00CD1ADE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(4)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Údaje o skupine účtovných jednotiek: Spoločnosť nie je súčasťou žiadnej skupiny.</w:t>
      </w:r>
    </w:p>
    <w:p w:rsidR="00CD1ADE" w:rsidRDefault="00CD1ADE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(5)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Priemerný prepočítaný počet zamestnancov účtovnej jednotky: </w:t>
      </w:r>
    </w:p>
    <w:p w:rsidR="00CD1ADE" w:rsidRDefault="00CD1ADE" w:rsidP="00912479">
      <w:pPr>
        <w:ind w:left="567" w:hanging="567"/>
        <w:rPr>
          <w:rFonts w:ascii="Arial" w:hAnsi="Arial" w:cs="Arial"/>
          <w:sz w:val="24"/>
          <w:szCs w:val="24"/>
        </w:rPr>
      </w:pPr>
    </w:p>
    <w:p w:rsidR="00CD1ADE" w:rsidRPr="00912479" w:rsidRDefault="00CD1ADE" w:rsidP="00912479">
      <w:pPr>
        <w:pStyle w:val="Nadpis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</w:p>
    <w:p w:rsidR="00CD1ADE" w:rsidRPr="00912479" w:rsidRDefault="00CD1ADE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>Informácie o orgánoch spoločnosti</w:t>
      </w:r>
    </w:p>
    <w:p w:rsidR="00CD1ADE" w:rsidRDefault="00CD1ADE" w:rsidP="00912479">
      <w:pPr>
        <w:rPr>
          <w:b/>
          <w:bCs/>
        </w:rPr>
      </w:pPr>
    </w:p>
    <w:p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 w:rsidRPr="00912479">
        <w:rPr>
          <w:rFonts w:ascii="Arial" w:hAnsi="Arial" w:cs="Arial"/>
          <w:sz w:val="20"/>
          <w:szCs w:val="20"/>
        </w:rPr>
        <w:t>Pre členov štatutárneho orgánu neboli poskytnuté záruky, žiadne zabezpečenia, pôžičky.</w:t>
      </w:r>
    </w:p>
    <w:p w:rsidR="00CD1ADE" w:rsidRDefault="00CD1ADE" w:rsidP="00912479">
      <w:pPr>
        <w:rPr>
          <w:rFonts w:ascii="Arial" w:hAnsi="Arial" w:cs="Arial"/>
          <w:sz w:val="20"/>
          <w:szCs w:val="20"/>
        </w:rPr>
      </w:pPr>
    </w:p>
    <w:p w:rsidR="00CD1ADE" w:rsidRPr="00912479" w:rsidRDefault="00CD1ADE" w:rsidP="00912479">
      <w:pPr>
        <w:pStyle w:val="Nadpis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  <w:r>
        <w:rPr>
          <w:rFonts w:ascii="Arial" w:hAnsi="Arial" w:cs="Arial"/>
        </w:rPr>
        <w:t>I</w:t>
      </w:r>
    </w:p>
    <w:p w:rsidR="00CD1ADE" w:rsidRDefault="00CD1ADE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 xml:space="preserve">Informácie </w:t>
      </w:r>
      <w:r>
        <w:rPr>
          <w:rFonts w:ascii="Arial" w:hAnsi="Arial" w:cs="Arial"/>
          <w:b/>
          <w:bCs/>
        </w:rPr>
        <w:t>o prijatých postupoch</w:t>
      </w:r>
    </w:p>
    <w:p w:rsidR="00CD1ADE" w:rsidRDefault="00CD1ADE" w:rsidP="00912479">
      <w:pPr>
        <w:rPr>
          <w:rFonts w:ascii="Arial" w:hAnsi="Arial" w:cs="Arial"/>
          <w:b/>
          <w:bCs/>
        </w:rPr>
      </w:pPr>
    </w:p>
    <w:p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(1)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Účtovná závierka bola vypracovaná v súlade so zákonom č. 431/2002 Z. z. o účtovníctve v znení neskorších predpisov a opatrením MF SR č. 23054/2002-92, ktorým sa ustanovujú podrobnosti o postupoch účtovania a rámcovej účtovej osnove pre podnikateľov v znení neskorších predpisov. Menou pre vykazovanie je EURO.</w:t>
      </w:r>
    </w:p>
    <w:p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Táto účtovná závierka bola vypracovaná na základe historických cien a za predpokladu nepretržitého trvania účtovnej jednotky, t. j. vychádza z predpokladu, že spoločnosť bude realizovať svoje aktíva, záväzky a dohody v rámci riadneho chodu svojej činnosti. </w:t>
      </w:r>
    </w:p>
    <w:p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(2)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Účtovníctvo je vedené na akruálnom princípe, t. j. o nákladoch a výnosoch sa účtuje v momente, keď sú plnené bez ohľadu na dátum ich úhrady, inkasa alebo deň vyrovnania iným spôsobom. Dodržuje sa pritom zásada časovej a vecnej súvislosti nákladov a výnosov. Pri oceňovaní sa uplatňuje princíp historických cien. Položky, ktoré sa oceňujú v reálnej hodnote spoločnosť nevlastní. </w:t>
      </w:r>
    </w:p>
    <w:p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(3)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Spôsob ocenenia jednotlivých zložiek majetku:</w:t>
      </w:r>
    </w:p>
    <w:p w:rsidR="00CD1ADE" w:rsidRDefault="00CD1ADE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(a)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Dlhodobý nehmotný a hmotný majetok</w:t>
      </w:r>
    </w:p>
    <w:p w:rsidR="00CD1ADE" w:rsidRDefault="00CD1ADE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Ocenenie pri obstaraní</w:t>
      </w:r>
    </w:p>
    <w:p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Dlhodobý nehmotný a hmotný majetok sa vykazuje v obstarávacích cenách znížených o oprávky a straty zo zníženia hodnoty (opravné položky). Obstarávacia cena zahŕňa cenu obstarania a náklady súvisiace s obstaraním (clo, prepravu, montáž, a pod.). Súčasťou obstarávacej ceny nie sú úroky z úverov.</w:t>
      </w:r>
    </w:p>
    <w:p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zatiaľ nevedie kategóriu dlhodobého nehmotného majetku, ktorého obstarávacia cena je 2400 € a nižšie.</w:t>
      </w:r>
    </w:p>
    <w:p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vedie kategóriu drobného dlhodobého hmotného majetku, ktorého ocenenie je rovné alebo nižšie ako 1700 €. Hmotný majetok, ktorého obstarávacia cena je 1700 € a nižšia, sa pri obstaraní účtuje do dlhodobého majetku na základe individuálneho posúdenia.</w:t>
      </w:r>
    </w:p>
    <w:p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CD1ADE" w:rsidRDefault="00CD1ADE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ab/>
      </w:r>
      <w:r>
        <w:rPr>
          <w:rFonts w:ascii="Arial" w:hAnsi="Arial" w:cs="Arial"/>
          <w:b/>
          <w:bCs/>
          <w:sz w:val="20"/>
          <w:szCs w:val="20"/>
        </w:rPr>
        <w:t>Tvorba odpisového plánu</w:t>
      </w:r>
    </w:p>
    <w:p w:rsidR="00CD1ADE" w:rsidRDefault="00CD1ADE" w:rsidP="00514810">
      <w:pPr>
        <w:ind w:left="567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- Dlhodobý hmotný majetok</w:t>
      </w:r>
      <w:r>
        <w:rPr>
          <w:rFonts w:ascii="Arial" w:hAnsi="Arial" w:cs="Arial"/>
          <w:sz w:val="20"/>
          <w:szCs w:val="20"/>
        </w:rPr>
        <w:t xml:space="preserve"> </w:t>
      </w:r>
    </w:p>
    <w:p w:rsidR="00CD1ADE" w:rsidRDefault="00CD1ADE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Odpisy dlhodobého hmotného majetku sú stanovené vychádzajúc z predpokladanej doby jeho používania a predpokladaného priebehu jeho opotrebovania.</w:t>
      </w:r>
    </w:p>
    <w:p w:rsidR="00CD1ADE" w:rsidRDefault="00CD1ADE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Odpisovať sa začína počnúc mesiacom zaradenia dlhodobého majetku do používania. Pozemky sa neodpisujú.</w:t>
      </w:r>
    </w:p>
    <w:p w:rsidR="00CD1ADE" w:rsidRPr="00D23C23" w:rsidRDefault="00CD1ADE" w:rsidP="00D916A1">
      <w:pPr>
        <w:ind w:left="709" w:hanging="426"/>
        <w:rPr>
          <w:rFonts w:ascii="Arial" w:hAnsi="Arial" w:cs="Arial"/>
          <w:sz w:val="20"/>
          <w:szCs w:val="20"/>
        </w:rPr>
      </w:pPr>
    </w:p>
    <w:tbl>
      <w:tblPr>
        <w:tblW w:w="8783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5"/>
        <w:gridCol w:w="2126"/>
        <w:gridCol w:w="1843"/>
        <w:gridCol w:w="1559"/>
      </w:tblGrid>
      <w:tr w:rsidR="00CD1ADE">
        <w:trPr>
          <w:trHeight w:val="627"/>
        </w:trPr>
        <w:tc>
          <w:tcPr>
            <w:tcW w:w="3255" w:type="dxa"/>
          </w:tcPr>
          <w:p w:rsidR="00CD1ADE" w:rsidRPr="00B20CC3" w:rsidRDefault="00CD1ADE" w:rsidP="007E00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Predpokladaná doba používania v rokoch</w:t>
            </w:r>
          </w:p>
        </w:tc>
        <w:tc>
          <w:tcPr>
            <w:tcW w:w="1843" w:type="dxa"/>
            <w:vAlign w:val="center"/>
          </w:tcPr>
          <w:p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Metóda odpisovania</w:t>
            </w:r>
          </w:p>
        </w:tc>
        <w:tc>
          <w:tcPr>
            <w:tcW w:w="1559" w:type="dxa"/>
            <w:vAlign w:val="center"/>
          </w:tcPr>
          <w:p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Ročná odpisová sadzba v %</w:t>
            </w:r>
          </w:p>
        </w:tc>
      </w:tr>
      <w:tr w:rsidR="00CD1ADE">
        <w:trPr>
          <w:trHeight w:val="267"/>
        </w:trPr>
        <w:tc>
          <w:tcPr>
            <w:tcW w:w="3255" w:type="dxa"/>
            <w:vAlign w:val="center"/>
          </w:tcPr>
          <w:p w:rsidR="00CD1ADE" w:rsidRPr="00B20CC3" w:rsidRDefault="00CD1ADE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Stroje, prístroje a zariadenia</w:t>
            </w:r>
          </w:p>
        </w:tc>
        <w:tc>
          <w:tcPr>
            <w:tcW w:w="2126" w:type="dxa"/>
            <w:vAlign w:val="center"/>
          </w:tcPr>
          <w:p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843" w:type="dxa"/>
            <w:vAlign w:val="center"/>
          </w:tcPr>
          <w:p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559" w:type="dxa"/>
            <w:vAlign w:val="center"/>
          </w:tcPr>
          <w:p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16,66</w:t>
            </w:r>
          </w:p>
        </w:tc>
      </w:tr>
      <w:tr w:rsidR="00CD1ADE">
        <w:trPr>
          <w:trHeight w:val="272"/>
        </w:trPr>
        <w:tc>
          <w:tcPr>
            <w:tcW w:w="3255" w:type="dxa"/>
            <w:vAlign w:val="center"/>
          </w:tcPr>
          <w:p w:rsidR="00CD1ADE" w:rsidRPr="00B20CC3" w:rsidRDefault="00CD1ADE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Dopravné prostriedky</w:t>
            </w:r>
          </w:p>
        </w:tc>
        <w:tc>
          <w:tcPr>
            <w:tcW w:w="2126" w:type="dxa"/>
            <w:vAlign w:val="center"/>
          </w:tcPr>
          <w:p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843" w:type="dxa"/>
            <w:vAlign w:val="center"/>
          </w:tcPr>
          <w:p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559" w:type="dxa"/>
            <w:vAlign w:val="center"/>
          </w:tcPr>
          <w:p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25</w:t>
            </w:r>
          </w:p>
        </w:tc>
      </w:tr>
      <w:tr w:rsidR="00CD1ADE">
        <w:trPr>
          <w:trHeight w:val="276"/>
        </w:trPr>
        <w:tc>
          <w:tcPr>
            <w:tcW w:w="3255" w:type="dxa"/>
            <w:vAlign w:val="center"/>
          </w:tcPr>
          <w:p w:rsidR="00CD1ADE" w:rsidRPr="00B20CC3" w:rsidRDefault="00CD1ADE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Drobný dlhodobý hmotný majetok</w:t>
            </w:r>
          </w:p>
        </w:tc>
        <w:tc>
          <w:tcPr>
            <w:tcW w:w="2126" w:type="dxa"/>
            <w:vAlign w:val="center"/>
          </w:tcPr>
          <w:p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rôzna</w:t>
            </w:r>
          </w:p>
        </w:tc>
        <w:tc>
          <w:tcPr>
            <w:tcW w:w="1843" w:type="dxa"/>
            <w:vAlign w:val="center"/>
          </w:tcPr>
          <w:p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B20CC3">
              <w:rPr>
                <w:rFonts w:ascii="Arial" w:hAnsi="Arial" w:cs="Arial"/>
                <w:sz w:val="18"/>
                <w:szCs w:val="18"/>
              </w:rPr>
              <w:t>jednorázový</w:t>
            </w:r>
            <w:proofErr w:type="spellEnd"/>
            <w:r w:rsidRPr="00B20CC3">
              <w:rPr>
                <w:rFonts w:ascii="Arial" w:hAnsi="Arial" w:cs="Arial"/>
                <w:sz w:val="18"/>
                <w:szCs w:val="18"/>
              </w:rPr>
              <w:t xml:space="preserve"> odpis</w:t>
            </w:r>
          </w:p>
        </w:tc>
        <w:tc>
          <w:tcPr>
            <w:tcW w:w="1559" w:type="dxa"/>
            <w:vAlign w:val="center"/>
          </w:tcPr>
          <w:p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</w:tbl>
    <w:p w:rsidR="00CD1ADE" w:rsidRDefault="00CD1ADE" w:rsidP="00912479">
      <w:pPr>
        <w:rPr>
          <w:b/>
          <w:bCs/>
        </w:rPr>
      </w:pPr>
    </w:p>
    <w:p w:rsidR="00CD1ADE" w:rsidRDefault="00CD1ADE" w:rsidP="00514810">
      <w:pPr>
        <w:ind w:left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Zníženie hodnoty majetku – opravné položky</w:t>
      </w:r>
    </w:p>
    <w:p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Zostatkové hodnoty majetku spoločnosti sa každý rok ku dňu, ku ktorému sa zostavuje účtovná závierka, preverujú, či nedochádza k zníženiu ich hodnoty, a to v súlade s postupmi účtovania pre podnikateľov. Ak existujú predpoklady, že k takému zníženiu dochádza, odhadne sa predpokladaná suma budúcich ekonomických úžitkov, ktorá bude plynúť z používania majetku v budúcnosti.</w:t>
      </w:r>
    </w:p>
    <w:p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je táto suma nižšia ako zostatková hodnota majetku, zaúčtuje sa strata zo zníženia hodnoty ako tvorba opravnej položky. Ak sa dá zistiť predpokladaná predajná cena majetku (znížená o náklady predaja) a táto je vyššia ako odhadnutá predpokladaná suma, ktorá bude plynúť z používania majetku, použije sa táto vyššia suma na porovnanie s účtovnou hodnotou majetku. Spoločnosť netvorila opravnú položku k dlhodobému majetku.</w:t>
      </w:r>
    </w:p>
    <w:p w:rsidR="00CD1ADE" w:rsidRPr="00BA042E" w:rsidRDefault="00CD1ADE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(b)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Zásoby</w:t>
      </w:r>
    </w:p>
    <w:p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Nakupované zásoby sú účtované v obstarávacích cenách.</w:t>
      </w:r>
    </w:p>
    <w:p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Zníženie hodnoty zásob sa upravuje vytvorením opravnej položky.</w:t>
      </w:r>
    </w:p>
    <w:p w:rsidR="00CD1ADE" w:rsidRDefault="00CD1ADE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(c)</w:t>
      </w:r>
      <w:r>
        <w:rPr>
          <w:rFonts w:ascii="Arial" w:hAnsi="Arial" w:cs="Arial"/>
          <w:b/>
          <w:bCs/>
          <w:sz w:val="20"/>
          <w:szCs w:val="20"/>
        </w:rPr>
        <w:tab/>
        <w:t>Pohľadávky</w:t>
      </w:r>
    </w:p>
    <w:p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Pohľadávky sa pri ich vzniku oceňujú ich menovitou hodnotou; postúpené pohľadávky a pohľadávky nadobudnuté vkladom do základného imania sa oceňujú obstarávacou cenou vrátane nákladov súvisiacich s obstaraním. Toto ocenenie sa znižuje o pochybné a nevymožiteľné pohľadávky tvorbou opravnej položky. Spoločnosť netvorila opravné položky k pohľadávkam.</w:t>
      </w:r>
    </w:p>
    <w:p w:rsidR="00CD1ADE" w:rsidRPr="007E0075" w:rsidRDefault="00CD1ADE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(d)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Peňažné prostriedky a ceniny</w:t>
      </w:r>
    </w:p>
    <w:p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Peňažné prostriedky a ceniny sa oceňujú ich menovitou hodnotou. Zníženie ich hodnoty sa vyjadruje opravnou položkou. Spoločnosť netvorila opravnú položku k peňažným prostriedkom a ceninám.</w:t>
      </w:r>
    </w:p>
    <w:p w:rsidR="00CD1ADE" w:rsidRDefault="00CD1ADE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(e)</w:t>
      </w:r>
      <w:r>
        <w:rPr>
          <w:rFonts w:ascii="Arial" w:hAnsi="Arial" w:cs="Arial"/>
          <w:b/>
          <w:bCs/>
          <w:sz w:val="20"/>
          <w:szCs w:val="20"/>
        </w:rPr>
        <w:tab/>
        <w:t xml:space="preserve">Náklady budúcich období, </w:t>
      </w:r>
      <w:r w:rsidRPr="00BA042E">
        <w:rPr>
          <w:rFonts w:ascii="Arial" w:hAnsi="Arial" w:cs="Arial"/>
          <w:b/>
          <w:bCs/>
          <w:sz w:val="20"/>
          <w:szCs w:val="20"/>
        </w:rPr>
        <w:t>príjmy budúcich období</w:t>
      </w:r>
      <w:r>
        <w:rPr>
          <w:rFonts w:ascii="Arial" w:hAnsi="Arial" w:cs="Arial"/>
          <w:b/>
          <w:bCs/>
          <w:sz w:val="20"/>
          <w:szCs w:val="20"/>
        </w:rPr>
        <w:t>, výdavky budúcich období a výnosy budúcich období</w:t>
      </w:r>
    </w:p>
    <w:p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Náklady budúcich období, príjmy budúcich období, výdavky budúcich období a výnosy budúcich období sa vykazujú vo výške, ktorá je potrebná na dodržiavanie zásady vecnej a časovej súvislosti s účtovným obdobím.</w:t>
      </w:r>
    </w:p>
    <w:p w:rsidR="00CD1ADE" w:rsidRDefault="00CD1ADE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(f)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Rezervy</w:t>
      </w:r>
    </w:p>
    <w:p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CD1ADE" w:rsidRDefault="00CD1ADE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(g)</w:t>
      </w:r>
      <w:r>
        <w:rPr>
          <w:rFonts w:ascii="Arial" w:hAnsi="Arial" w:cs="Arial"/>
          <w:b/>
          <w:bCs/>
          <w:sz w:val="20"/>
          <w:szCs w:val="20"/>
        </w:rPr>
        <w:tab/>
        <w:t>Záväzky</w:t>
      </w:r>
    </w:p>
    <w:p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Záväzky pri ich vzniku sa oceňujú menovitou hodnotou. Záväzky pri ich prevzatí sa oceňujú obstarávacou cenou.</w:t>
      </w:r>
    </w:p>
    <w:p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sa pri inventarizácii zistí, že suma záväzkov je iná ako ich výška v účtovníctve, uvedú sa záväzky v účtovníctve a v účtovnej závierke v tomto zistenom ocenení.</w:t>
      </w:r>
    </w:p>
    <w:p w:rsidR="00CD1ADE" w:rsidRPr="00BA042E" w:rsidRDefault="00CD1ADE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(h)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 xml:space="preserve">Finančný prenájom </w:t>
      </w:r>
    </w:p>
    <w:p w:rsidR="00CD1ADE" w:rsidRDefault="00CD1ADE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Majetok prenajatý formou finančného prenájmu účtuje a vykazuje ako svoj majetok nájomca.</w:t>
      </w:r>
    </w:p>
    <w:p w:rsidR="00CD1ADE" w:rsidRPr="00BA042E" w:rsidRDefault="00CD1ADE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(i)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Daň z príjmov</w:t>
      </w:r>
    </w:p>
    <w:p w:rsidR="00CD1ADE" w:rsidRPr="00800B56" w:rsidRDefault="00CD1ADE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Daň z príjmov sa skladá zo splatnej dane, o odloženej dani Spoločnosť neúčtuje. Splatná daň z príjmov sa počíta za rok 201</w:t>
      </w:r>
      <w:r w:rsidR="002B7F98">
        <w:rPr>
          <w:rFonts w:ascii="Arial" w:hAnsi="Arial" w:cs="Arial"/>
          <w:sz w:val="20"/>
          <w:szCs w:val="20"/>
        </w:rPr>
        <w:t>9</w:t>
      </w:r>
      <w:r>
        <w:rPr>
          <w:rFonts w:ascii="Arial" w:hAnsi="Arial" w:cs="Arial"/>
          <w:sz w:val="20"/>
          <w:szCs w:val="20"/>
        </w:rPr>
        <w:t>vo výške 2</w:t>
      </w:r>
      <w:r w:rsidR="00304981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% daňového základu, ktorý sa vypočítal úpravou účtovného výsledku hospodárenia pred daňou o pripočítateľné a odpočítateľné položky.</w:t>
      </w:r>
    </w:p>
    <w:p w:rsidR="00CD1ADE" w:rsidRDefault="00CD1ADE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(j)</w:t>
      </w:r>
      <w:r>
        <w:rPr>
          <w:rFonts w:ascii="Arial" w:hAnsi="Arial" w:cs="Arial"/>
          <w:b/>
          <w:bCs/>
          <w:sz w:val="20"/>
          <w:szCs w:val="20"/>
        </w:rPr>
        <w:tab/>
        <w:t>Poskytnuté dotácie na obstaranie majetku s uvedením zložky majetku a ich ocenenie</w:t>
      </w:r>
    </w:p>
    <w:p w:rsidR="00CD1ADE" w:rsidRDefault="00CD1ADE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neeviduje dotácie poskytnuté na obstaranie majetku.</w:t>
      </w:r>
    </w:p>
    <w:p w:rsidR="00CD1ADE" w:rsidRDefault="00CD1ADE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(k)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Oprava významných chýb minulých účtovných období sa účtuje v bežnom účtovnom období s vplyvom na nerozdelený zisk minulých rokov alebo na neuhradenú stratu minulých rokov. </w:t>
      </w:r>
    </w:p>
    <w:p w:rsidR="00CD1ADE" w:rsidRPr="00891FDA" w:rsidRDefault="00CD1ADE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Oprava nevýznamných chýb minulých účtovných období sa účtuje v bežnom účtovnom období s vplyvom na výsledok hospodárenia bežného účtovného obdobia.</w:t>
      </w:r>
    </w:p>
    <w:p w:rsidR="00CD1ADE" w:rsidRDefault="00CD1ADE" w:rsidP="00514810">
      <w:pPr>
        <w:pStyle w:val="Nadpis1"/>
        <w:jc w:val="center"/>
        <w:rPr>
          <w:rFonts w:ascii="Arial" w:hAnsi="Arial" w:cs="Arial"/>
        </w:rPr>
      </w:pPr>
    </w:p>
    <w:p w:rsidR="00CD1ADE" w:rsidRPr="00912479" w:rsidRDefault="00CD1ADE" w:rsidP="00514810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IV</w:t>
      </w:r>
    </w:p>
    <w:p w:rsidR="00CD1ADE" w:rsidRDefault="00CD1ADE" w:rsidP="00514810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Informácie, ktoré vysvetľujú a dopĺňajú súvahu a výkaz ziskov a strát</w:t>
      </w:r>
    </w:p>
    <w:p w:rsidR="00CD1ADE" w:rsidRDefault="00CD1ADE" w:rsidP="00514810">
      <w:pPr>
        <w:ind w:left="426" w:hanging="426"/>
        <w:rPr>
          <w:rFonts w:ascii="Arial" w:hAnsi="Arial" w:cs="Arial"/>
          <w:sz w:val="20"/>
          <w:szCs w:val="20"/>
        </w:rPr>
      </w:pPr>
    </w:p>
    <w:p w:rsidR="00CD1ADE" w:rsidRPr="00DC5D4C" w:rsidRDefault="00CD1ADE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CD1ADE" w:rsidRPr="00912479" w:rsidRDefault="00CD1ADE" w:rsidP="00891FDA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</w:t>
      </w:r>
    </w:p>
    <w:p w:rsidR="00CD1ADE" w:rsidRDefault="00CD1ADE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 iných aktívach a iných pasívach</w:t>
      </w:r>
    </w:p>
    <w:p w:rsidR="00CD1ADE" w:rsidRPr="006A5295" w:rsidRDefault="00CD1ADE" w:rsidP="005213AE">
      <w:pPr>
        <w:jc w:val="both"/>
        <w:rPr>
          <w:rFonts w:ascii="Arial" w:hAnsi="Arial" w:cs="Arial"/>
          <w:sz w:val="20"/>
          <w:szCs w:val="20"/>
        </w:rPr>
      </w:pPr>
    </w:p>
    <w:p w:rsidR="00CD1ADE" w:rsidRPr="00DC5D4C" w:rsidRDefault="00CD1ADE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:rsidR="00CD1ADE" w:rsidRPr="006A5295" w:rsidRDefault="00CD1ADE" w:rsidP="00DC5D4C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CD1ADE" w:rsidRPr="006A5295" w:rsidRDefault="00CD1ADE" w:rsidP="006C2BCB">
      <w:pPr>
        <w:rPr>
          <w:rFonts w:ascii="Arial" w:hAnsi="Arial" w:cs="Arial"/>
          <w:sz w:val="20"/>
          <w:szCs w:val="20"/>
        </w:rPr>
      </w:pPr>
    </w:p>
    <w:p w:rsidR="00CD1ADE" w:rsidRPr="00912479" w:rsidRDefault="00CD1ADE" w:rsidP="00891FDA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</w:t>
      </w:r>
    </w:p>
    <w:p w:rsidR="00CD1ADE" w:rsidRDefault="00CD1ADE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Udalosti, ktoré nastali po dni, ku ktorému sa zostavuje účtovná závierka</w:t>
      </w:r>
    </w:p>
    <w:p w:rsidR="00CD1ADE" w:rsidRDefault="00CD1ADE" w:rsidP="00891FDA">
      <w:pPr>
        <w:jc w:val="center"/>
        <w:rPr>
          <w:rFonts w:ascii="Arial" w:hAnsi="Arial" w:cs="Arial"/>
          <w:b/>
          <w:bCs/>
        </w:rPr>
      </w:pPr>
    </w:p>
    <w:p w:rsidR="00CD1ADE" w:rsidRDefault="00CD1ADE" w:rsidP="005213AE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 31. decembri 20</w:t>
      </w:r>
      <w:r w:rsidR="002B7F98">
        <w:rPr>
          <w:rFonts w:ascii="Arial" w:hAnsi="Arial" w:cs="Arial"/>
          <w:sz w:val="20"/>
          <w:szCs w:val="20"/>
        </w:rPr>
        <w:t>19</w:t>
      </w:r>
      <w:r>
        <w:rPr>
          <w:rFonts w:ascii="Arial" w:hAnsi="Arial" w:cs="Arial"/>
          <w:sz w:val="20"/>
          <w:szCs w:val="20"/>
        </w:rPr>
        <w:t xml:space="preserve"> do dňa zostavenia účtovnej závierky nenastali žiadne významné skutočnosti, ktoré by ovplyvnili výsledok hospodárenia Spoločnosti za rok </w:t>
      </w:r>
      <w:r w:rsidR="002B7F98">
        <w:rPr>
          <w:rFonts w:ascii="Arial" w:hAnsi="Arial" w:cs="Arial"/>
          <w:sz w:val="20"/>
          <w:szCs w:val="20"/>
        </w:rPr>
        <w:t>2019</w:t>
      </w:r>
    </w:p>
    <w:p w:rsidR="00CD1ADE" w:rsidRDefault="00CD1ADE" w:rsidP="005213AE">
      <w:pPr>
        <w:jc w:val="both"/>
        <w:rPr>
          <w:rFonts w:ascii="Arial" w:hAnsi="Arial" w:cs="Arial"/>
          <w:sz w:val="20"/>
          <w:szCs w:val="20"/>
        </w:rPr>
      </w:pPr>
    </w:p>
    <w:p w:rsidR="00CD1ADE" w:rsidRPr="00912479" w:rsidRDefault="00CD1ADE" w:rsidP="00DC5D4C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VII</w:t>
      </w:r>
    </w:p>
    <w:p w:rsidR="00CD1ADE" w:rsidRDefault="00CD1ADE" w:rsidP="00DC5D4C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</w:rPr>
        <w:t>Ostatné informácie</w:t>
      </w:r>
    </w:p>
    <w:p w:rsidR="00CD1ADE" w:rsidRPr="00DC5D4C" w:rsidRDefault="00CD1ADE" w:rsidP="00DC5D4C">
      <w:pPr>
        <w:jc w:val="both"/>
        <w:rPr>
          <w:rFonts w:ascii="Arial" w:hAnsi="Arial" w:cs="Arial"/>
          <w:sz w:val="20"/>
          <w:szCs w:val="20"/>
        </w:rPr>
      </w:pPr>
    </w:p>
    <w:p w:rsidR="00CD1ADE" w:rsidRPr="00DC5D4C" w:rsidRDefault="00CD1ADE" w:rsidP="00DC5D4C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:rsidR="00CD1ADE" w:rsidRPr="00DC5D4C" w:rsidRDefault="00CD1ADE" w:rsidP="006C2BCB">
      <w:pPr>
        <w:rPr>
          <w:rFonts w:ascii="Arial" w:hAnsi="Arial" w:cs="Arial"/>
          <w:sz w:val="20"/>
          <w:szCs w:val="20"/>
        </w:rPr>
      </w:pPr>
    </w:p>
    <w:p w:rsidR="00CD1ADE" w:rsidRPr="0041513A" w:rsidRDefault="00CD1ADE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  <w:bookmarkStart w:id="0" w:name="_GoBack"/>
      <w:bookmarkEnd w:id="0"/>
    </w:p>
    <w:sectPr w:rsidR="00CD1ADE" w:rsidRPr="0041513A" w:rsidSect="00B53C51">
      <w:headerReference w:type="default" r:id="rId7"/>
      <w:footerReference w:type="default" r:id="rId8"/>
      <w:pgSz w:w="11907" w:h="16839" w:code="9"/>
      <w:pgMar w:top="1100" w:right="1361" w:bottom="851" w:left="1361" w:header="0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C078C" w:rsidRPr="00D26E73" w:rsidRDefault="002C078C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2C078C" w:rsidRPr="00D26E73" w:rsidRDefault="002C078C">
      <w:pPr>
        <w:rPr>
          <w:sz w:val="21"/>
          <w:szCs w:val="21"/>
        </w:rPr>
      </w:pPr>
    </w:p>
  </w:endnote>
  <w:endnote w:type="continuationSeparator" w:id="0">
    <w:p w:rsidR="002C078C" w:rsidRPr="00D26E73" w:rsidRDefault="002C078C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2C078C" w:rsidRPr="00D26E73" w:rsidRDefault="002C078C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D1ADE" w:rsidRPr="00D26E73" w:rsidRDefault="00CD1ADE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>
      <w:rPr>
        <w:noProof/>
        <w:sz w:val="21"/>
        <w:szCs w:val="21"/>
      </w:rPr>
      <w:t>3</w:t>
    </w:r>
    <w:r w:rsidRPr="00D26E73">
      <w:rPr>
        <w:sz w:val="21"/>
        <w:szCs w:val="21"/>
      </w:rPr>
      <w:fldChar w:fldCharType="end"/>
    </w:r>
  </w:p>
  <w:p w:rsidR="00CD1ADE" w:rsidRPr="00D26E73" w:rsidRDefault="00CD1ADE">
    <w:pPr>
      <w:pStyle w:val="Pta"/>
      <w:rPr>
        <w:sz w:val="19"/>
        <w:szCs w:val="19"/>
      </w:rPr>
    </w:pPr>
  </w:p>
  <w:p w:rsidR="00CD1ADE" w:rsidRPr="00D26E73" w:rsidRDefault="00CD1ADE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C078C" w:rsidRPr="00D26E73" w:rsidRDefault="002C078C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2C078C" w:rsidRPr="00D26E73" w:rsidRDefault="002C078C">
      <w:pPr>
        <w:rPr>
          <w:sz w:val="21"/>
          <w:szCs w:val="21"/>
        </w:rPr>
      </w:pPr>
    </w:p>
  </w:footnote>
  <w:footnote w:type="continuationSeparator" w:id="0">
    <w:p w:rsidR="002C078C" w:rsidRPr="00D26E73" w:rsidRDefault="002C078C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2C078C" w:rsidRPr="00D26E73" w:rsidRDefault="002C078C">
      <w:pPr>
        <w:rPr>
          <w:sz w:val="21"/>
          <w:szCs w:val="21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D1ADE" w:rsidRDefault="00CD1ADE">
    <w:pPr>
      <w:pStyle w:val="Hlavika"/>
    </w:pPr>
  </w:p>
  <w:p w:rsidR="00CD1ADE" w:rsidRDefault="00CD1ADE">
    <w:pPr>
      <w:pStyle w:val="Hlavika"/>
    </w:pPr>
  </w:p>
  <w:tbl>
    <w:tblPr>
      <w:tblW w:w="9181" w:type="dxa"/>
      <w:tblInd w:w="2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1720"/>
      <w:gridCol w:w="1839"/>
      <w:gridCol w:w="222"/>
      <w:gridCol w:w="222"/>
      <w:gridCol w:w="222"/>
      <w:gridCol w:w="222"/>
      <w:gridCol w:w="222"/>
      <w:gridCol w:w="222"/>
      <w:gridCol w:w="222"/>
      <w:gridCol w:w="222"/>
      <w:gridCol w:w="1626"/>
      <w:gridCol w:w="222"/>
      <w:gridCol w:w="222"/>
      <w:gridCol w:w="222"/>
      <w:gridCol w:w="222"/>
      <w:gridCol w:w="222"/>
      <w:gridCol w:w="222"/>
      <w:gridCol w:w="222"/>
      <w:gridCol w:w="222"/>
      <w:gridCol w:w="222"/>
      <w:gridCol w:w="222"/>
    </w:tblGrid>
    <w:tr w:rsidR="00CD1ADE" w:rsidRPr="009D1462">
      <w:trPr>
        <w:trHeight w:val="225"/>
      </w:trPr>
      <w:tc>
        <w:tcPr>
          <w:tcW w:w="17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 xml:space="preserve"> POD 3-01</w:t>
          </w:r>
        </w:p>
      </w:tc>
      <w:tc>
        <w:tcPr>
          <w:tcW w:w="1839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1626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</w:tr>
  </w:tbl>
  <w:p w:rsidR="00CD1ADE" w:rsidRDefault="00CD1AD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oNotTrackMoves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C1AC8"/>
    <w:rsid w:val="0000421F"/>
    <w:rsid w:val="00004693"/>
    <w:rsid w:val="00012405"/>
    <w:rsid w:val="00012DBD"/>
    <w:rsid w:val="00014352"/>
    <w:rsid w:val="00014483"/>
    <w:rsid w:val="00016E12"/>
    <w:rsid w:val="00017FE5"/>
    <w:rsid w:val="00024B40"/>
    <w:rsid w:val="00031B52"/>
    <w:rsid w:val="00033C52"/>
    <w:rsid w:val="0003543D"/>
    <w:rsid w:val="0003760C"/>
    <w:rsid w:val="00047292"/>
    <w:rsid w:val="000500D2"/>
    <w:rsid w:val="00051C18"/>
    <w:rsid w:val="00052F8B"/>
    <w:rsid w:val="00056B96"/>
    <w:rsid w:val="00056D07"/>
    <w:rsid w:val="00061B5A"/>
    <w:rsid w:val="00061CE4"/>
    <w:rsid w:val="00072310"/>
    <w:rsid w:val="00074E75"/>
    <w:rsid w:val="00075AEB"/>
    <w:rsid w:val="00082CD0"/>
    <w:rsid w:val="00084610"/>
    <w:rsid w:val="00085793"/>
    <w:rsid w:val="00085E53"/>
    <w:rsid w:val="000923BB"/>
    <w:rsid w:val="000923BC"/>
    <w:rsid w:val="00096B3D"/>
    <w:rsid w:val="000A00D1"/>
    <w:rsid w:val="000A5024"/>
    <w:rsid w:val="000A55A3"/>
    <w:rsid w:val="000A5993"/>
    <w:rsid w:val="000A758F"/>
    <w:rsid w:val="000A7F45"/>
    <w:rsid w:val="000B227D"/>
    <w:rsid w:val="000B5322"/>
    <w:rsid w:val="000B6809"/>
    <w:rsid w:val="000B7B40"/>
    <w:rsid w:val="000C38FE"/>
    <w:rsid w:val="000C7FB7"/>
    <w:rsid w:val="000D7105"/>
    <w:rsid w:val="000E25A4"/>
    <w:rsid w:val="000E316E"/>
    <w:rsid w:val="00101349"/>
    <w:rsid w:val="00106469"/>
    <w:rsid w:val="00111969"/>
    <w:rsid w:val="00113CBB"/>
    <w:rsid w:val="0011538B"/>
    <w:rsid w:val="00115DCE"/>
    <w:rsid w:val="00117E26"/>
    <w:rsid w:val="00131CD2"/>
    <w:rsid w:val="001334F4"/>
    <w:rsid w:val="0014163D"/>
    <w:rsid w:val="0014565D"/>
    <w:rsid w:val="00146201"/>
    <w:rsid w:val="00146BA5"/>
    <w:rsid w:val="001501C5"/>
    <w:rsid w:val="00150E7E"/>
    <w:rsid w:val="001564E7"/>
    <w:rsid w:val="00162748"/>
    <w:rsid w:val="00171E43"/>
    <w:rsid w:val="00180861"/>
    <w:rsid w:val="0018141C"/>
    <w:rsid w:val="00182957"/>
    <w:rsid w:val="00186B91"/>
    <w:rsid w:val="00195B21"/>
    <w:rsid w:val="00195E21"/>
    <w:rsid w:val="00197137"/>
    <w:rsid w:val="001A0A1C"/>
    <w:rsid w:val="001A1FD1"/>
    <w:rsid w:val="001A6F05"/>
    <w:rsid w:val="001B13F4"/>
    <w:rsid w:val="001B3D43"/>
    <w:rsid w:val="001B6409"/>
    <w:rsid w:val="001C0FB7"/>
    <w:rsid w:val="001C11E9"/>
    <w:rsid w:val="001C185F"/>
    <w:rsid w:val="001C39CF"/>
    <w:rsid w:val="001C7319"/>
    <w:rsid w:val="001D0C92"/>
    <w:rsid w:val="001D14E4"/>
    <w:rsid w:val="001D331E"/>
    <w:rsid w:val="001D3B33"/>
    <w:rsid w:val="001D6959"/>
    <w:rsid w:val="001D6B70"/>
    <w:rsid w:val="001E60E4"/>
    <w:rsid w:val="001F0BA0"/>
    <w:rsid w:val="001F3791"/>
    <w:rsid w:val="001F5639"/>
    <w:rsid w:val="001F6C66"/>
    <w:rsid w:val="00202548"/>
    <w:rsid w:val="00204817"/>
    <w:rsid w:val="00205F85"/>
    <w:rsid w:val="0020703C"/>
    <w:rsid w:val="00212D3C"/>
    <w:rsid w:val="00214729"/>
    <w:rsid w:val="002275BC"/>
    <w:rsid w:val="00227B7F"/>
    <w:rsid w:val="00233922"/>
    <w:rsid w:val="00247BEA"/>
    <w:rsid w:val="00250612"/>
    <w:rsid w:val="002507B0"/>
    <w:rsid w:val="00250F36"/>
    <w:rsid w:val="0025422D"/>
    <w:rsid w:val="002546F2"/>
    <w:rsid w:val="00256348"/>
    <w:rsid w:val="00262C13"/>
    <w:rsid w:val="002718F7"/>
    <w:rsid w:val="002738BD"/>
    <w:rsid w:val="00274949"/>
    <w:rsid w:val="002777B2"/>
    <w:rsid w:val="00277FE1"/>
    <w:rsid w:val="0028309C"/>
    <w:rsid w:val="002842EE"/>
    <w:rsid w:val="00290896"/>
    <w:rsid w:val="00294F14"/>
    <w:rsid w:val="002961B3"/>
    <w:rsid w:val="002968DB"/>
    <w:rsid w:val="00297350"/>
    <w:rsid w:val="002A46B5"/>
    <w:rsid w:val="002A4B4F"/>
    <w:rsid w:val="002A5796"/>
    <w:rsid w:val="002A7291"/>
    <w:rsid w:val="002B03F2"/>
    <w:rsid w:val="002B2E75"/>
    <w:rsid w:val="002B7F98"/>
    <w:rsid w:val="002C0485"/>
    <w:rsid w:val="002C078C"/>
    <w:rsid w:val="002C41CC"/>
    <w:rsid w:val="002C7A15"/>
    <w:rsid w:val="002D0E3B"/>
    <w:rsid w:val="002D283B"/>
    <w:rsid w:val="002D6145"/>
    <w:rsid w:val="002D6170"/>
    <w:rsid w:val="002E325E"/>
    <w:rsid w:val="002E4BC3"/>
    <w:rsid w:val="002E7805"/>
    <w:rsid w:val="002F3139"/>
    <w:rsid w:val="002F4594"/>
    <w:rsid w:val="002F6401"/>
    <w:rsid w:val="002F665C"/>
    <w:rsid w:val="002F7346"/>
    <w:rsid w:val="00302E77"/>
    <w:rsid w:val="00303A5C"/>
    <w:rsid w:val="00304981"/>
    <w:rsid w:val="00307EED"/>
    <w:rsid w:val="003132CA"/>
    <w:rsid w:val="003134CC"/>
    <w:rsid w:val="00313B9F"/>
    <w:rsid w:val="00314983"/>
    <w:rsid w:val="00315CAD"/>
    <w:rsid w:val="00316F2D"/>
    <w:rsid w:val="0032182E"/>
    <w:rsid w:val="00324C96"/>
    <w:rsid w:val="0032778B"/>
    <w:rsid w:val="00330138"/>
    <w:rsid w:val="00330954"/>
    <w:rsid w:val="0033639E"/>
    <w:rsid w:val="00337B82"/>
    <w:rsid w:val="00345278"/>
    <w:rsid w:val="00360B00"/>
    <w:rsid w:val="00363386"/>
    <w:rsid w:val="003645BF"/>
    <w:rsid w:val="00365FF2"/>
    <w:rsid w:val="00366C8B"/>
    <w:rsid w:val="0036702E"/>
    <w:rsid w:val="00374CF4"/>
    <w:rsid w:val="00374E95"/>
    <w:rsid w:val="00375BAD"/>
    <w:rsid w:val="00377535"/>
    <w:rsid w:val="0038099B"/>
    <w:rsid w:val="00380E65"/>
    <w:rsid w:val="0038374E"/>
    <w:rsid w:val="00384744"/>
    <w:rsid w:val="003908CB"/>
    <w:rsid w:val="003920E7"/>
    <w:rsid w:val="00394B73"/>
    <w:rsid w:val="0039715E"/>
    <w:rsid w:val="003A2D1D"/>
    <w:rsid w:val="003A4D6C"/>
    <w:rsid w:val="003A5CA2"/>
    <w:rsid w:val="003A6CDE"/>
    <w:rsid w:val="003B1B28"/>
    <w:rsid w:val="003B70DE"/>
    <w:rsid w:val="003C0AC4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5862"/>
    <w:rsid w:val="004068AD"/>
    <w:rsid w:val="00411424"/>
    <w:rsid w:val="00412E23"/>
    <w:rsid w:val="0041513A"/>
    <w:rsid w:val="00417A83"/>
    <w:rsid w:val="00417BC7"/>
    <w:rsid w:val="00421987"/>
    <w:rsid w:val="00424A60"/>
    <w:rsid w:val="00426E29"/>
    <w:rsid w:val="004358EA"/>
    <w:rsid w:val="00436664"/>
    <w:rsid w:val="00440D26"/>
    <w:rsid w:val="0044306F"/>
    <w:rsid w:val="00447448"/>
    <w:rsid w:val="00450BF3"/>
    <w:rsid w:val="00453B94"/>
    <w:rsid w:val="00454B93"/>
    <w:rsid w:val="00455407"/>
    <w:rsid w:val="004576AF"/>
    <w:rsid w:val="00461C1F"/>
    <w:rsid w:val="00462BF0"/>
    <w:rsid w:val="0046438F"/>
    <w:rsid w:val="00465B39"/>
    <w:rsid w:val="004700F3"/>
    <w:rsid w:val="00476D13"/>
    <w:rsid w:val="00480433"/>
    <w:rsid w:val="00482742"/>
    <w:rsid w:val="00484617"/>
    <w:rsid w:val="00492324"/>
    <w:rsid w:val="00496FE9"/>
    <w:rsid w:val="004B4444"/>
    <w:rsid w:val="004C0112"/>
    <w:rsid w:val="004C10D5"/>
    <w:rsid w:val="004C2789"/>
    <w:rsid w:val="004C2E8B"/>
    <w:rsid w:val="004C6E98"/>
    <w:rsid w:val="004D6E31"/>
    <w:rsid w:val="004F3181"/>
    <w:rsid w:val="0050056D"/>
    <w:rsid w:val="005013CA"/>
    <w:rsid w:val="0051251D"/>
    <w:rsid w:val="0051294A"/>
    <w:rsid w:val="00514810"/>
    <w:rsid w:val="005148EA"/>
    <w:rsid w:val="00515FC4"/>
    <w:rsid w:val="00517A7A"/>
    <w:rsid w:val="005213AE"/>
    <w:rsid w:val="00524073"/>
    <w:rsid w:val="00525A7B"/>
    <w:rsid w:val="005319D2"/>
    <w:rsid w:val="00536923"/>
    <w:rsid w:val="00536FE3"/>
    <w:rsid w:val="00542A47"/>
    <w:rsid w:val="005440C4"/>
    <w:rsid w:val="00546689"/>
    <w:rsid w:val="00561E1F"/>
    <w:rsid w:val="00567021"/>
    <w:rsid w:val="00572215"/>
    <w:rsid w:val="00572616"/>
    <w:rsid w:val="00576DC5"/>
    <w:rsid w:val="005803C8"/>
    <w:rsid w:val="00580682"/>
    <w:rsid w:val="005845AF"/>
    <w:rsid w:val="00586763"/>
    <w:rsid w:val="00594B7D"/>
    <w:rsid w:val="00597D51"/>
    <w:rsid w:val="005A6E3A"/>
    <w:rsid w:val="005B27A1"/>
    <w:rsid w:val="005B7432"/>
    <w:rsid w:val="005B773F"/>
    <w:rsid w:val="005C22E0"/>
    <w:rsid w:val="005C40D6"/>
    <w:rsid w:val="005D1DD6"/>
    <w:rsid w:val="005D43C0"/>
    <w:rsid w:val="005D4EC4"/>
    <w:rsid w:val="005E396B"/>
    <w:rsid w:val="005F2670"/>
    <w:rsid w:val="005F3646"/>
    <w:rsid w:val="005F4162"/>
    <w:rsid w:val="005F7836"/>
    <w:rsid w:val="00602B4C"/>
    <w:rsid w:val="0062000F"/>
    <w:rsid w:val="0062053D"/>
    <w:rsid w:val="00623D5A"/>
    <w:rsid w:val="006359CC"/>
    <w:rsid w:val="00641C72"/>
    <w:rsid w:val="00652B41"/>
    <w:rsid w:val="00653BC7"/>
    <w:rsid w:val="006555D7"/>
    <w:rsid w:val="00655718"/>
    <w:rsid w:val="006570BF"/>
    <w:rsid w:val="006572C0"/>
    <w:rsid w:val="00660D2D"/>
    <w:rsid w:val="006633D7"/>
    <w:rsid w:val="0067039F"/>
    <w:rsid w:val="00670EC7"/>
    <w:rsid w:val="00672C83"/>
    <w:rsid w:val="00674FE6"/>
    <w:rsid w:val="00681E5E"/>
    <w:rsid w:val="006838A9"/>
    <w:rsid w:val="00686068"/>
    <w:rsid w:val="00687407"/>
    <w:rsid w:val="00694D1A"/>
    <w:rsid w:val="006962CC"/>
    <w:rsid w:val="006A0D35"/>
    <w:rsid w:val="006A1453"/>
    <w:rsid w:val="006A39C1"/>
    <w:rsid w:val="006A4B4D"/>
    <w:rsid w:val="006A5295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D5A48"/>
    <w:rsid w:val="006D7B56"/>
    <w:rsid w:val="006F09EC"/>
    <w:rsid w:val="006F0F9D"/>
    <w:rsid w:val="006F50F2"/>
    <w:rsid w:val="006F6649"/>
    <w:rsid w:val="0070502C"/>
    <w:rsid w:val="0070743D"/>
    <w:rsid w:val="007079C1"/>
    <w:rsid w:val="0071668C"/>
    <w:rsid w:val="00725253"/>
    <w:rsid w:val="00727478"/>
    <w:rsid w:val="007316F0"/>
    <w:rsid w:val="0073586D"/>
    <w:rsid w:val="00740AFE"/>
    <w:rsid w:val="00742272"/>
    <w:rsid w:val="00742D3E"/>
    <w:rsid w:val="007433F5"/>
    <w:rsid w:val="00747FD4"/>
    <w:rsid w:val="007574A3"/>
    <w:rsid w:val="00766442"/>
    <w:rsid w:val="00770199"/>
    <w:rsid w:val="00775E4A"/>
    <w:rsid w:val="007760DE"/>
    <w:rsid w:val="0078641E"/>
    <w:rsid w:val="007970E4"/>
    <w:rsid w:val="007A1018"/>
    <w:rsid w:val="007A2143"/>
    <w:rsid w:val="007A4117"/>
    <w:rsid w:val="007B19C0"/>
    <w:rsid w:val="007C3558"/>
    <w:rsid w:val="007C3CD9"/>
    <w:rsid w:val="007C40F2"/>
    <w:rsid w:val="007D5258"/>
    <w:rsid w:val="007D5EAF"/>
    <w:rsid w:val="007E0075"/>
    <w:rsid w:val="007E087F"/>
    <w:rsid w:val="007E5117"/>
    <w:rsid w:val="007E5C83"/>
    <w:rsid w:val="007E6384"/>
    <w:rsid w:val="007E6CB2"/>
    <w:rsid w:val="007E7B36"/>
    <w:rsid w:val="007F2BF6"/>
    <w:rsid w:val="00800B56"/>
    <w:rsid w:val="00801D2D"/>
    <w:rsid w:val="0080218D"/>
    <w:rsid w:val="00805704"/>
    <w:rsid w:val="008060E5"/>
    <w:rsid w:val="0081014C"/>
    <w:rsid w:val="00810738"/>
    <w:rsid w:val="00812CDD"/>
    <w:rsid w:val="00815896"/>
    <w:rsid w:val="008207D6"/>
    <w:rsid w:val="0082671E"/>
    <w:rsid w:val="00830390"/>
    <w:rsid w:val="00831D0C"/>
    <w:rsid w:val="00843862"/>
    <w:rsid w:val="008439CA"/>
    <w:rsid w:val="0084517F"/>
    <w:rsid w:val="00854540"/>
    <w:rsid w:val="008554E1"/>
    <w:rsid w:val="00857A4C"/>
    <w:rsid w:val="00857E56"/>
    <w:rsid w:val="00860879"/>
    <w:rsid w:val="008626A4"/>
    <w:rsid w:val="00863739"/>
    <w:rsid w:val="008644D7"/>
    <w:rsid w:val="00867974"/>
    <w:rsid w:val="008709EA"/>
    <w:rsid w:val="008725EA"/>
    <w:rsid w:val="008764A5"/>
    <w:rsid w:val="00885C74"/>
    <w:rsid w:val="00891FDA"/>
    <w:rsid w:val="0089664C"/>
    <w:rsid w:val="008A043F"/>
    <w:rsid w:val="008A7BBA"/>
    <w:rsid w:val="008B6EBB"/>
    <w:rsid w:val="008C47DE"/>
    <w:rsid w:val="008C5E3E"/>
    <w:rsid w:val="008C74A6"/>
    <w:rsid w:val="008D3B20"/>
    <w:rsid w:val="008D6E2D"/>
    <w:rsid w:val="008E42B0"/>
    <w:rsid w:val="008E45B2"/>
    <w:rsid w:val="008E6318"/>
    <w:rsid w:val="008E653B"/>
    <w:rsid w:val="008E78DE"/>
    <w:rsid w:val="008F4E43"/>
    <w:rsid w:val="008F6C74"/>
    <w:rsid w:val="009006E7"/>
    <w:rsid w:val="00906CB4"/>
    <w:rsid w:val="00907263"/>
    <w:rsid w:val="00912479"/>
    <w:rsid w:val="00912B61"/>
    <w:rsid w:val="009379A7"/>
    <w:rsid w:val="009400A7"/>
    <w:rsid w:val="00946110"/>
    <w:rsid w:val="009479A0"/>
    <w:rsid w:val="00950578"/>
    <w:rsid w:val="0095109B"/>
    <w:rsid w:val="00954DB7"/>
    <w:rsid w:val="0096156A"/>
    <w:rsid w:val="0096175A"/>
    <w:rsid w:val="00964303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046E"/>
    <w:rsid w:val="009D0952"/>
    <w:rsid w:val="009D1462"/>
    <w:rsid w:val="009D4EAD"/>
    <w:rsid w:val="009D54C2"/>
    <w:rsid w:val="009E30DA"/>
    <w:rsid w:val="009E5CF1"/>
    <w:rsid w:val="009E6C99"/>
    <w:rsid w:val="009F2DF1"/>
    <w:rsid w:val="009F5CE6"/>
    <w:rsid w:val="00A02477"/>
    <w:rsid w:val="00A13DDF"/>
    <w:rsid w:val="00A13FCD"/>
    <w:rsid w:val="00A160E7"/>
    <w:rsid w:val="00A20518"/>
    <w:rsid w:val="00A21089"/>
    <w:rsid w:val="00A212D4"/>
    <w:rsid w:val="00A248C1"/>
    <w:rsid w:val="00A25E96"/>
    <w:rsid w:val="00A26EBE"/>
    <w:rsid w:val="00A30662"/>
    <w:rsid w:val="00A31D89"/>
    <w:rsid w:val="00A334D8"/>
    <w:rsid w:val="00A37014"/>
    <w:rsid w:val="00A4011B"/>
    <w:rsid w:val="00A43492"/>
    <w:rsid w:val="00A4688B"/>
    <w:rsid w:val="00A6037A"/>
    <w:rsid w:val="00A609FE"/>
    <w:rsid w:val="00A64A2C"/>
    <w:rsid w:val="00A73167"/>
    <w:rsid w:val="00A77693"/>
    <w:rsid w:val="00A8290E"/>
    <w:rsid w:val="00A96741"/>
    <w:rsid w:val="00AA48E7"/>
    <w:rsid w:val="00AA720A"/>
    <w:rsid w:val="00AB0F5D"/>
    <w:rsid w:val="00AC0DBD"/>
    <w:rsid w:val="00AC13D7"/>
    <w:rsid w:val="00AC4B75"/>
    <w:rsid w:val="00AD02F5"/>
    <w:rsid w:val="00AD2D9A"/>
    <w:rsid w:val="00AD73A8"/>
    <w:rsid w:val="00AE07DB"/>
    <w:rsid w:val="00AE1431"/>
    <w:rsid w:val="00AE1E70"/>
    <w:rsid w:val="00AE35F3"/>
    <w:rsid w:val="00AE7B6B"/>
    <w:rsid w:val="00AF1000"/>
    <w:rsid w:val="00AF25E7"/>
    <w:rsid w:val="00B00B5A"/>
    <w:rsid w:val="00B01EFC"/>
    <w:rsid w:val="00B10775"/>
    <w:rsid w:val="00B13B48"/>
    <w:rsid w:val="00B17A56"/>
    <w:rsid w:val="00B17AC6"/>
    <w:rsid w:val="00B20CC3"/>
    <w:rsid w:val="00B22212"/>
    <w:rsid w:val="00B24AC0"/>
    <w:rsid w:val="00B24DDA"/>
    <w:rsid w:val="00B33099"/>
    <w:rsid w:val="00B43145"/>
    <w:rsid w:val="00B51558"/>
    <w:rsid w:val="00B51E6F"/>
    <w:rsid w:val="00B53C51"/>
    <w:rsid w:val="00B61F66"/>
    <w:rsid w:val="00B644C4"/>
    <w:rsid w:val="00B81C56"/>
    <w:rsid w:val="00B831FF"/>
    <w:rsid w:val="00B91660"/>
    <w:rsid w:val="00B92A03"/>
    <w:rsid w:val="00B93241"/>
    <w:rsid w:val="00B958BA"/>
    <w:rsid w:val="00B95935"/>
    <w:rsid w:val="00BA042E"/>
    <w:rsid w:val="00BA27B1"/>
    <w:rsid w:val="00BA2B2B"/>
    <w:rsid w:val="00BA486C"/>
    <w:rsid w:val="00BB1081"/>
    <w:rsid w:val="00BB3C97"/>
    <w:rsid w:val="00BB51F2"/>
    <w:rsid w:val="00BB53B0"/>
    <w:rsid w:val="00BC2488"/>
    <w:rsid w:val="00BC31CB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0957"/>
    <w:rsid w:val="00BE4FFF"/>
    <w:rsid w:val="00BE7095"/>
    <w:rsid w:val="00BE78E3"/>
    <w:rsid w:val="00BF2C43"/>
    <w:rsid w:val="00C019E3"/>
    <w:rsid w:val="00C03A30"/>
    <w:rsid w:val="00C107F9"/>
    <w:rsid w:val="00C11AC2"/>
    <w:rsid w:val="00C12330"/>
    <w:rsid w:val="00C20BBC"/>
    <w:rsid w:val="00C2255F"/>
    <w:rsid w:val="00C22D81"/>
    <w:rsid w:val="00C232E1"/>
    <w:rsid w:val="00C233AA"/>
    <w:rsid w:val="00C24E22"/>
    <w:rsid w:val="00C26E65"/>
    <w:rsid w:val="00C30921"/>
    <w:rsid w:val="00C30B11"/>
    <w:rsid w:val="00C3102D"/>
    <w:rsid w:val="00C32AB4"/>
    <w:rsid w:val="00C36265"/>
    <w:rsid w:val="00C3790A"/>
    <w:rsid w:val="00C408DF"/>
    <w:rsid w:val="00C459FB"/>
    <w:rsid w:val="00C47B78"/>
    <w:rsid w:val="00C47DD6"/>
    <w:rsid w:val="00C5295F"/>
    <w:rsid w:val="00C61289"/>
    <w:rsid w:val="00C64005"/>
    <w:rsid w:val="00C6517C"/>
    <w:rsid w:val="00C7387F"/>
    <w:rsid w:val="00C76045"/>
    <w:rsid w:val="00C7776B"/>
    <w:rsid w:val="00C83611"/>
    <w:rsid w:val="00C868B1"/>
    <w:rsid w:val="00C963E6"/>
    <w:rsid w:val="00CA037E"/>
    <w:rsid w:val="00CA0ED2"/>
    <w:rsid w:val="00CA1EB3"/>
    <w:rsid w:val="00CA6B28"/>
    <w:rsid w:val="00CA71D2"/>
    <w:rsid w:val="00CB34CE"/>
    <w:rsid w:val="00CB41A9"/>
    <w:rsid w:val="00CC5D25"/>
    <w:rsid w:val="00CC63F1"/>
    <w:rsid w:val="00CC6E01"/>
    <w:rsid w:val="00CD0C87"/>
    <w:rsid w:val="00CD1793"/>
    <w:rsid w:val="00CD181B"/>
    <w:rsid w:val="00CD1ADE"/>
    <w:rsid w:val="00CD3B27"/>
    <w:rsid w:val="00CD7078"/>
    <w:rsid w:val="00CE0E61"/>
    <w:rsid w:val="00CE4CC1"/>
    <w:rsid w:val="00CE7478"/>
    <w:rsid w:val="00D00B9E"/>
    <w:rsid w:val="00D01871"/>
    <w:rsid w:val="00D14B81"/>
    <w:rsid w:val="00D15638"/>
    <w:rsid w:val="00D20C71"/>
    <w:rsid w:val="00D234CA"/>
    <w:rsid w:val="00D23C23"/>
    <w:rsid w:val="00D26E73"/>
    <w:rsid w:val="00D31D10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66025"/>
    <w:rsid w:val="00D72173"/>
    <w:rsid w:val="00D72E2A"/>
    <w:rsid w:val="00D82958"/>
    <w:rsid w:val="00D82D50"/>
    <w:rsid w:val="00D84695"/>
    <w:rsid w:val="00D86587"/>
    <w:rsid w:val="00D869A6"/>
    <w:rsid w:val="00D91101"/>
    <w:rsid w:val="00D911D9"/>
    <w:rsid w:val="00D91657"/>
    <w:rsid w:val="00D916A1"/>
    <w:rsid w:val="00D93C1B"/>
    <w:rsid w:val="00D94126"/>
    <w:rsid w:val="00D97050"/>
    <w:rsid w:val="00D97C7D"/>
    <w:rsid w:val="00DA3DFE"/>
    <w:rsid w:val="00DA4C73"/>
    <w:rsid w:val="00DA5FDE"/>
    <w:rsid w:val="00DA6AF3"/>
    <w:rsid w:val="00DB0A03"/>
    <w:rsid w:val="00DC42FA"/>
    <w:rsid w:val="00DC5D4C"/>
    <w:rsid w:val="00DC7F0E"/>
    <w:rsid w:val="00DD7E90"/>
    <w:rsid w:val="00DE373D"/>
    <w:rsid w:val="00DE3F6E"/>
    <w:rsid w:val="00DE678D"/>
    <w:rsid w:val="00DE6A97"/>
    <w:rsid w:val="00DF11DD"/>
    <w:rsid w:val="00DF3FA7"/>
    <w:rsid w:val="00E045AB"/>
    <w:rsid w:val="00E05249"/>
    <w:rsid w:val="00E059C0"/>
    <w:rsid w:val="00E204B4"/>
    <w:rsid w:val="00E20EA5"/>
    <w:rsid w:val="00E21EEF"/>
    <w:rsid w:val="00E24B9D"/>
    <w:rsid w:val="00E31FDD"/>
    <w:rsid w:val="00E34371"/>
    <w:rsid w:val="00E34840"/>
    <w:rsid w:val="00E36F78"/>
    <w:rsid w:val="00E3730C"/>
    <w:rsid w:val="00E3749A"/>
    <w:rsid w:val="00E3763F"/>
    <w:rsid w:val="00E428B2"/>
    <w:rsid w:val="00E5320F"/>
    <w:rsid w:val="00E56806"/>
    <w:rsid w:val="00E571EB"/>
    <w:rsid w:val="00E6200C"/>
    <w:rsid w:val="00E62593"/>
    <w:rsid w:val="00E62E31"/>
    <w:rsid w:val="00E66242"/>
    <w:rsid w:val="00E67734"/>
    <w:rsid w:val="00E746CE"/>
    <w:rsid w:val="00E811FB"/>
    <w:rsid w:val="00E83708"/>
    <w:rsid w:val="00E839B0"/>
    <w:rsid w:val="00E9049B"/>
    <w:rsid w:val="00E90AFD"/>
    <w:rsid w:val="00E90C6F"/>
    <w:rsid w:val="00E94387"/>
    <w:rsid w:val="00E96184"/>
    <w:rsid w:val="00EA0B60"/>
    <w:rsid w:val="00EA2869"/>
    <w:rsid w:val="00EA3E59"/>
    <w:rsid w:val="00EB0103"/>
    <w:rsid w:val="00EB1AC4"/>
    <w:rsid w:val="00EB676B"/>
    <w:rsid w:val="00EC04B2"/>
    <w:rsid w:val="00EC4313"/>
    <w:rsid w:val="00EC7A02"/>
    <w:rsid w:val="00ED449C"/>
    <w:rsid w:val="00ED47B8"/>
    <w:rsid w:val="00ED53C4"/>
    <w:rsid w:val="00EF3D95"/>
    <w:rsid w:val="00EF6532"/>
    <w:rsid w:val="00EF6A82"/>
    <w:rsid w:val="00F07033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185D"/>
    <w:rsid w:val="00F521EA"/>
    <w:rsid w:val="00F526BB"/>
    <w:rsid w:val="00F55204"/>
    <w:rsid w:val="00F56C09"/>
    <w:rsid w:val="00F608C1"/>
    <w:rsid w:val="00F60C25"/>
    <w:rsid w:val="00F614CB"/>
    <w:rsid w:val="00F62FD6"/>
    <w:rsid w:val="00F6743B"/>
    <w:rsid w:val="00F71A47"/>
    <w:rsid w:val="00F747EE"/>
    <w:rsid w:val="00F76BCB"/>
    <w:rsid w:val="00F803A4"/>
    <w:rsid w:val="00F8136A"/>
    <w:rsid w:val="00F81B13"/>
    <w:rsid w:val="00F82FEC"/>
    <w:rsid w:val="00F85E0F"/>
    <w:rsid w:val="00F9084E"/>
    <w:rsid w:val="00F92DD8"/>
    <w:rsid w:val="00F934F2"/>
    <w:rsid w:val="00F94F27"/>
    <w:rsid w:val="00FA28CE"/>
    <w:rsid w:val="00FA5C30"/>
    <w:rsid w:val="00FA6EFD"/>
    <w:rsid w:val="00FB3040"/>
    <w:rsid w:val="00FB5B64"/>
    <w:rsid w:val="00FB643B"/>
    <w:rsid w:val="00FB6EC9"/>
    <w:rsid w:val="00FD63DB"/>
    <w:rsid w:val="00FD6E73"/>
    <w:rsid w:val="00FD7650"/>
    <w:rsid w:val="00FD78EA"/>
    <w:rsid w:val="00FE12F9"/>
    <w:rsid w:val="00FE304F"/>
    <w:rsid w:val="00FE42BA"/>
    <w:rsid w:val="00FE7E62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12FCF39"/>
  <w15:docId w15:val="{E5C80DA3-EF7A-4D7D-86BA-A7E6B460E5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unhideWhenUsed="1" w:qFormat="1"/>
    <w:lsdException w:name="heading 4" w:locked="1" w:uiPriority="0" w:unhideWhenUsed="1" w:qFormat="1"/>
    <w:lsdException w:name="heading 5" w:locked="1" w:uiPriority="0" w:unhideWhenUsed="1" w:qFormat="1"/>
    <w:lsdException w:name="heading 6" w:locked="1" w:uiPriority="0" w:unhideWhenUsed="1" w:qFormat="1"/>
    <w:lsdException w:name="heading 7" w:locked="1" w:uiPriority="0" w:unhideWhenUsed="1" w:qFormat="1"/>
    <w:lsdException w:name="heading 8" w:locked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E6CB2"/>
    <w:pPr>
      <w:keepNext/>
      <w:spacing w:before="240" w:after="60"/>
      <w:outlineLvl w:val="0"/>
    </w:pPr>
    <w:rPr>
      <w:b/>
      <w:bCs/>
      <w:kern w:val="32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E6CB2"/>
    <w:rPr>
      <w:rFonts w:ascii="Arial Narrow" w:hAnsi="Arial Narrow" w:cs="Arial Narrow"/>
      <w:b/>
      <w:bCs/>
      <w:kern w:val="32"/>
      <w:sz w:val="28"/>
      <w:szCs w:val="28"/>
      <w:lang w:eastAsia="en-US"/>
    </w:rPr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Vrazn">
    <w:name w:val="Strong"/>
    <w:uiPriority w:val="99"/>
    <w:qFormat/>
    <w:rsid w:val="00E90C6F"/>
    <w:rPr>
      <w:b/>
      <w:bCs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Centered">
    <w:name w:val="Value Centered"/>
    <w:basedOn w:val="Value"/>
    <w:link w:val="ValueCenteredChar"/>
    <w:uiPriority w:val="99"/>
    <w:rsid w:val="005803C8"/>
    <w:pPr>
      <w:jc w:val="center"/>
    </w:pPr>
  </w:style>
  <w:style w:type="paragraph" w:customStyle="1" w:styleId="Value">
    <w:name w:val="Value"/>
    <w:basedOn w:val="Normlny"/>
    <w:link w:val="ValueChar"/>
    <w:uiPriority w:val="99"/>
    <w:rsid w:val="008A043F"/>
    <w:pPr>
      <w:jc w:val="right"/>
    </w:pPr>
  </w:style>
  <w:style w:type="character" w:customStyle="1" w:styleId="ValueChar">
    <w:name w:val="Value Char"/>
    <w:link w:val="Value"/>
    <w:uiPriority w:val="99"/>
    <w:locked/>
    <w:rsid w:val="008A043F"/>
    <w:rPr>
      <w:rFonts w:ascii="Arial Narrow" w:hAnsi="Arial Narrow" w:cs="Arial Narrow"/>
      <w:sz w:val="24"/>
      <w:szCs w:val="24"/>
      <w:lang w:val="sk-SK"/>
    </w:rPr>
  </w:style>
  <w:style w:type="character" w:customStyle="1" w:styleId="ValueCenteredChar">
    <w:name w:val="Value Centered Char"/>
    <w:link w:val="ValueCentered"/>
    <w:uiPriority w:val="99"/>
    <w:locked/>
    <w:rsid w:val="005803C8"/>
    <w:rPr>
      <w:rFonts w:ascii="Arial Narrow" w:hAnsi="Arial Narrow" w:cs="Arial Narrow"/>
      <w:sz w:val="24"/>
      <w:szCs w:val="24"/>
      <w:lang w:val="sk-SK"/>
    </w:rPr>
  </w:style>
  <w:style w:type="character" w:customStyle="1" w:styleId="apple-converted-space">
    <w:name w:val="apple-converted-space"/>
    <w:basedOn w:val="Predvolenpsmoodseku"/>
    <w:uiPriority w:val="99"/>
    <w:rsid w:val="002D0E3B"/>
  </w:style>
  <w:style w:type="character" w:customStyle="1" w:styleId="ra">
    <w:name w:val="ra"/>
    <w:basedOn w:val="Predvolenpsmoodseku"/>
    <w:uiPriority w:val="99"/>
    <w:rsid w:val="002D0E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08109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1074</Words>
  <Characters>6126</Characters>
  <Application>Microsoft Office Word</Application>
  <DocSecurity>0</DocSecurity>
  <Lines>51</Lines>
  <Paragraphs>14</Paragraphs>
  <ScaleCrop>false</ScaleCrop>
  <Company>IBL Software Engineering</Company>
  <LinksUpToDate>false</LinksUpToDate>
  <CharactersWithSpaces>7186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jm</dc:creator>
  <cp:keywords/>
  <dc:description/>
  <cp:lastModifiedBy>User</cp:lastModifiedBy>
  <cp:revision>8</cp:revision>
  <cp:lastPrinted>2015-03-19T10:00:00Z</cp:lastPrinted>
  <dcterms:created xsi:type="dcterms:W3CDTF">2017-03-29T08:51:00Z</dcterms:created>
  <dcterms:modified xsi:type="dcterms:W3CDTF">2020-03-30T17:34:00Z</dcterms:modified>
</cp:coreProperties>
</file>