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1"/>
        <w:numPr>
          <w:ilvl w:val="0"/>
          <w:numId w:val="0"/>
        </w:numPr>
        <w:shd w:val="clear" w:fill="FFFFFF"/>
        <w:spacing w:before="120" w:after="120"/>
        <w:rPr/>
      </w:pPr>
      <w:bookmarkStart w:id="0" w:name="_Toc474124301"/>
      <w:bookmarkStart w:id="1" w:name="_Toc474124189"/>
      <w:bookmarkEnd w:id="0"/>
      <w:bookmarkEnd w:id="1"/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1. Popis spoločnosti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Ramonte  s.r.o. (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ďalej len „spoločnosť”) je spoločnosť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 xml:space="preserve"> s ručením obmedzeným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, ktorá bola založená dňa 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 xml:space="preserve">08/01/2013. 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Dňa 06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 xml:space="preserve">/02/2013 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bola zapísaná do Obchodného registra vedenom na Okresnom súde Bratislava I, oddiel Sro, vložka 87163/B. Spoločnosť sídli  na Hrušovskej 29, 821 07  Bratislava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,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Slovenská republika, identifikačné číslo 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46988351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. </w:t>
      </w:r>
    </w:p>
    <w:p>
      <w:pPr>
        <w:pStyle w:val="Normal"/>
        <w:keepNext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V roku 201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9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ne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boli uskutočnené 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 xml:space="preserve"> žiadne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zmeny v zápise do Obchodného registra. Hlavným predmetom činnosti je: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i/>
          <w:i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1.počítačové služby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i/>
          <w:i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2.služby súvisiace s počítačovým spracovaním údajov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b/>
          <w:b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>Informácie o počte zamestnancov</w:t>
      </w:r>
    </w:p>
    <w:tbl>
      <w:tblPr>
        <w:tblW w:w="9212" w:type="dxa"/>
        <w:jc w:val="left"/>
        <w:tblInd w:w="-39" w:type="dxa"/>
        <w:tblBorders>
          <w:top w:val="single" w:sz="4" w:space="0" w:color="00000A"/>
          <w:left w:val="single" w:sz="8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3794"/>
        <w:gridCol w:w="2709"/>
        <w:gridCol w:w="2709"/>
      </w:tblGrid>
      <w:tr>
        <w:trPr>
          <w:trHeight w:val="855" w:hRule="exact"/>
        </w:trPr>
        <w:tc>
          <w:tcPr>
            <w:tcW w:w="3794" w:type="dxa"/>
            <w:tcBorders>
              <w:top w:val="single" w:sz="4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>
        <w:trPr>
          <w:trHeight w:val="497" w:hRule="exact"/>
        </w:trPr>
        <w:tc>
          <w:tcPr>
            <w:tcW w:w="3794" w:type="dxa"/>
            <w:tcBorders>
              <w:top w:val="single" w:sz="12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24" w:hanging="0"/>
              <w:jc w:val="right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31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</w:tr>
      <w:tr>
        <w:trPr>
          <w:trHeight w:val="560" w:hRule="exact"/>
        </w:trPr>
        <w:tc>
          <w:tcPr>
            <w:tcW w:w="3794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24" w:hanging="0"/>
              <w:jc w:val="right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31" w:hanging="0"/>
              <w:jc w:val="right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</w:tr>
      <w:tr>
        <w:trPr>
          <w:trHeight w:val="425" w:hRule="exact"/>
        </w:trPr>
        <w:tc>
          <w:tcPr>
            <w:tcW w:w="3794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24" w:hanging="0"/>
              <w:jc w:val="right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331" w:hanging="0"/>
              <w:jc w:val="right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0</w:t>
            </w:r>
          </w:p>
        </w:tc>
      </w:tr>
    </w:tbl>
    <w:p>
      <w:pPr>
        <w:pStyle w:val="Normal"/>
        <w:keepNext/>
        <w:spacing w:before="0" w:after="120"/>
        <w:rPr>
          <w:rFonts w:ascii="Calibri" w:hAnsi="Calibri" w:cs="Calibri" w:asciiTheme="minorHAnsi" w:cstheme="minorHAnsi" w:hAnsiTheme="minorHAnsi"/>
          <w:b/>
          <w:b/>
          <w:sz w:val="22"/>
          <w:szCs w:val="22"/>
          <w:lang w:val="sk-SK"/>
        </w:rPr>
      </w:pPr>
      <w:r>
        <w:rPr>
          <w:rFonts w:cs="Calibri" w:cstheme="minorHAnsi" w:ascii="Calibri" w:hAnsi="Calibri"/>
          <w:b/>
          <w:sz w:val="22"/>
          <w:szCs w:val="22"/>
          <w:lang w:val="sk-SK"/>
        </w:rPr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b/>
          <w:b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 xml:space="preserve">Informácie o štruktúre spoločníkov ku dňu, ku ktorému sa zostavuje účtovná závierka. </w:t>
      </w:r>
    </w:p>
    <w:tbl>
      <w:tblPr>
        <w:tblW w:w="9212" w:type="dxa"/>
        <w:jc w:val="left"/>
        <w:tblInd w:w="-39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6" w:space="0" w:color="00000A"/>
          <w:insideH w:val="single" w:sz="4" w:space="0" w:color="00000A"/>
          <w:insideV w:val="single" w:sz="6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2373"/>
        <w:gridCol w:w="1560"/>
        <w:gridCol w:w="1590"/>
        <w:gridCol w:w="4"/>
        <w:gridCol w:w="1839"/>
        <w:gridCol w:w="3"/>
        <w:gridCol w:w="1843"/>
      </w:tblGrid>
      <w:tr>
        <w:trPr/>
        <w:tc>
          <w:tcPr>
            <w:tcW w:w="2373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24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cstheme="minorHAnsi" w:ascii="Calibri" w:hAnsi="Calibri"/>
                <w:b/>
                <w:lang w:val="sk-SK"/>
              </w:rPr>
            </w:r>
          </w:p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gridSpan w:val="2"/>
            <w:tcBorders>
              <w:top w:val="single" w:sz="8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Podiel na hlasovacích právach v %</w:t>
            </w:r>
          </w:p>
        </w:tc>
        <w:tc>
          <w:tcPr>
            <w:tcW w:w="1846" w:type="dxa"/>
            <w:gridSpan w:val="2"/>
            <w:tcBorders>
              <w:top w:val="single" w:sz="8" w:space="0" w:color="00000A"/>
              <w:left w:val="single" w:sz="6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Iný podiel na ostatných položkách VI ako na ZI v %</w:t>
            </w:r>
          </w:p>
        </w:tc>
      </w:tr>
      <w:tr>
        <w:trPr/>
        <w:tc>
          <w:tcPr>
            <w:tcW w:w="2373" w:type="dxa"/>
            <w:vMerge w:val="continue"/>
            <w:tcBorders>
              <w:top w:val="single" w:sz="4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cstheme="minorHAnsi" w:ascii="Calibri" w:hAnsi="Calibri"/>
                <w:b/>
                <w:lang w:val="sk-SK"/>
              </w:rPr>
            </w:r>
          </w:p>
        </w:tc>
        <w:tc>
          <w:tcPr>
            <w:tcW w:w="15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absolútne</w:t>
            </w:r>
          </w:p>
        </w:tc>
        <w:tc>
          <w:tcPr>
            <w:tcW w:w="1594" w:type="dxa"/>
            <w:gridSpan w:val="2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v %</w:t>
            </w:r>
          </w:p>
        </w:tc>
        <w:tc>
          <w:tcPr>
            <w:tcW w:w="1842" w:type="dxa"/>
            <w:gridSpan w:val="2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cstheme="minorHAnsi" w:ascii="Calibri" w:hAnsi="Calibri"/>
                <w:b/>
                <w:lang w:val="sk-SK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cstheme="minorHAnsi" w:ascii="Calibri" w:hAnsi="Calibri"/>
                <w:b/>
                <w:lang w:val="sk-SK"/>
              </w:rPr>
            </w:r>
          </w:p>
        </w:tc>
      </w:tr>
      <w:tr>
        <w:trPr>
          <w:trHeight w:val="425" w:hRule="exact"/>
        </w:trPr>
        <w:tc>
          <w:tcPr>
            <w:tcW w:w="2373" w:type="dxa"/>
            <w:tcBorders>
              <w:top w:val="single" w:sz="12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Ivan Klimo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5 000</w:t>
            </w:r>
          </w:p>
        </w:tc>
        <w:tc>
          <w:tcPr>
            <w:tcW w:w="15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100</w:t>
            </w:r>
          </w:p>
        </w:tc>
        <w:tc>
          <w:tcPr>
            <w:tcW w:w="18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100</w:t>
            </w:r>
          </w:p>
        </w:tc>
      </w:tr>
      <w:tr>
        <w:trPr>
          <w:trHeight w:val="425" w:hRule="exact"/>
        </w:trPr>
        <w:tc>
          <w:tcPr>
            <w:tcW w:w="2373" w:type="dxa"/>
            <w:tcBorders>
              <w:top w:val="single" w:sz="6" w:space="0" w:color="00000A"/>
              <w:left w:val="single" w:sz="8" w:space="0" w:color="00000A"/>
              <w:bottom w:val="single" w:sz="8" w:space="0" w:color="00000A"/>
              <w:right w:val="single" w:sz="6" w:space="0" w:color="00000A"/>
              <w:insideH w:val="single" w:sz="8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left" w:pos="1110" w:leader="none"/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Spolu</w:t>
              <w:tab/>
            </w:r>
          </w:p>
        </w:tc>
        <w:tc>
          <w:tcPr>
            <w:tcW w:w="1560" w:type="dxa"/>
            <w:tcBorders>
              <w:top w:val="single" w:sz="6" w:space="0" w:color="00000A"/>
              <w:left w:val="single" w:sz="6" w:space="0" w:color="00000A"/>
              <w:bottom w:val="single" w:sz="8" w:space="0" w:color="00000A"/>
              <w:right w:val="single" w:sz="6" w:space="0" w:color="00000A"/>
              <w:insideH w:val="single" w:sz="8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5 000</w:t>
            </w:r>
          </w:p>
        </w:tc>
        <w:tc>
          <w:tcPr>
            <w:tcW w:w="1594" w:type="dxa"/>
            <w:gridSpan w:val="2"/>
            <w:tcBorders>
              <w:top w:val="single" w:sz="6" w:space="0" w:color="00000A"/>
              <w:left w:val="single" w:sz="6" w:space="0" w:color="00000A"/>
              <w:bottom w:val="single" w:sz="8" w:space="0" w:color="00000A"/>
              <w:right w:val="single" w:sz="6" w:space="0" w:color="00000A"/>
              <w:insideH w:val="single" w:sz="8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100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6" w:space="0" w:color="00000A"/>
              <w:bottom w:val="single" w:sz="8" w:space="0" w:color="00000A"/>
              <w:right w:val="single" w:sz="6" w:space="0" w:color="00000A"/>
              <w:insideH w:val="single" w:sz="8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176" w:hanging="0"/>
              <w:jc w:val="righ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100</w:t>
            </w:r>
          </w:p>
        </w:tc>
      </w:tr>
    </w:tbl>
    <w:p>
      <w:pPr>
        <w:pStyle w:val="Normal"/>
        <w:keepNext/>
        <w:spacing w:before="0" w:after="0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spacing w:before="0" w:after="0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i/>
          <w:i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Spoločnosť nie je neobmedzene ručiacim spoločníkom v inej účtovnej jednotke.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b/>
          <w:b/>
          <w:sz w:val="22"/>
          <w:szCs w:val="22"/>
          <w:lang w:val="sk-SK"/>
        </w:rPr>
      </w:pPr>
      <w:r>
        <w:rPr>
          <w:rFonts w:cs="Calibri" w:cstheme="minorHAnsi" w:ascii="Calibri" w:hAnsi="Calibri"/>
          <w:b/>
          <w:sz w:val="22"/>
          <w:szCs w:val="22"/>
          <w:lang w:val="sk-SK"/>
        </w:rPr>
      </w:r>
    </w:p>
    <w:p>
      <w:pPr>
        <w:pStyle w:val="Normal"/>
        <w:keepNext/>
        <w:rPr/>
      </w:pP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>Členovia štatutárnych orgánov k 31. decembru 201</w:t>
      </w: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>9</w:t>
      </w: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>: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tbl>
      <w:tblPr>
        <w:tblW w:w="4784" w:type="dxa"/>
        <w:jc w:val="left"/>
        <w:tblInd w:w="108" w:type="dxa"/>
        <w:tblBorders>
          <w:bottom w:val="single" w:sz="8" w:space="0" w:color="808080"/>
          <w:insideH w:val="single" w:sz="8" w:space="0" w:color="808080"/>
        </w:tblBorders>
        <w:tblCellMar>
          <w:top w:w="0" w:type="dxa"/>
          <w:left w:w="72" w:type="dxa"/>
          <w:bottom w:w="0" w:type="dxa"/>
          <w:right w:w="72" w:type="dxa"/>
        </w:tblCellMar>
        <w:tblLook w:val="00b7"/>
      </w:tblPr>
      <w:tblGrid>
        <w:gridCol w:w="1289"/>
        <w:gridCol w:w="3494"/>
      </w:tblGrid>
      <w:tr>
        <w:trPr>
          <w:trHeight w:val="177" w:hRule="atLeast"/>
        </w:trPr>
        <w:tc>
          <w:tcPr>
            <w:tcW w:w="4783" w:type="dxa"/>
            <w:gridSpan w:val="2"/>
            <w:tcBorders>
              <w:bottom w:val="single" w:sz="8" w:space="0" w:color="808080"/>
              <w:insideH w:val="single" w:sz="8" w:space="0" w:color="808080"/>
            </w:tcBorders>
            <w:shd w:fill="auto" w:val="clear"/>
            <w:vAlign w:val="center"/>
          </w:tcPr>
          <w:p>
            <w:pPr>
              <w:pStyle w:val="TableHeader"/>
              <w:keepNext/>
              <w:spacing w:before="60" w:after="60"/>
              <w:rPr>
                <w:rFonts w:ascii="Calibri" w:hAnsi="Calibri" w:cs="Calibri" w:asciiTheme="minorHAnsi" w:cstheme="minorHAnsi" w:hAnsiTheme="minorHAnsi"/>
                <w:b/>
                <w:b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i/>
                <w:sz w:val="22"/>
                <w:szCs w:val="22"/>
                <w:lang w:val="sk-SK"/>
              </w:rPr>
              <w:t>Konateľ spoločnosti</w:t>
            </w:r>
          </w:p>
        </w:tc>
      </w:tr>
      <w:tr>
        <w:trPr>
          <w:trHeight w:val="227" w:hRule="atLeast"/>
        </w:trPr>
        <w:tc>
          <w:tcPr>
            <w:tcW w:w="1289" w:type="dxa"/>
            <w:tcBorders>
              <w:top w:val="single" w:sz="8" w:space="0" w:color="808080"/>
              <w:bottom w:val="single" w:sz="8" w:space="0" w:color="808080"/>
              <w:insideH w:val="single" w:sz="8" w:space="0" w:color="808080"/>
            </w:tcBorders>
            <w:shd w:fill="auto" w:val="clear"/>
            <w:vAlign w:val="bottom"/>
          </w:tcPr>
          <w:p>
            <w:pPr>
              <w:pStyle w:val="TableFirstLine"/>
              <w:keepNext/>
              <w:spacing w:before="0" w:after="0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sz w:val="22"/>
                <w:szCs w:val="22"/>
                <w:lang w:val="sk-SK"/>
              </w:rPr>
              <w:t>Člen: I.Klimo</w:t>
            </w:r>
          </w:p>
        </w:tc>
        <w:tc>
          <w:tcPr>
            <w:tcW w:w="3494" w:type="dxa"/>
            <w:tcBorders>
              <w:top w:val="single" w:sz="8" w:space="0" w:color="808080"/>
              <w:bottom w:val="single" w:sz="8" w:space="0" w:color="808080"/>
              <w:insideH w:val="single" w:sz="8" w:space="0" w:color="808080"/>
            </w:tcBorders>
            <w:shd w:fill="auto" w:val="clear"/>
            <w:vAlign w:val="bottom"/>
          </w:tcPr>
          <w:p>
            <w:pPr>
              <w:pStyle w:val="TableFirstLine"/>
              <w:keepNext/>
              <w:spacing w:before="60" w:after="60"/>
              <w:rPr>
                <w:rFonts w:ascii="Calibri" w:hAnsi="Calibri" w:cs="Calibri" w:asciiTheme="minorHAnsi" w:cstheme="minorHAnsi" w:hAnsiTheme="minorHAnsi"/>
                <w:sz w:val="22"/>
                <w:szCs w:val="22"/>
                <w:lang w:val="sk-SK"/>
              </w:rPr>
            </w:pPr>
            <w:r>
              <w:rPr>
                <w:rFonts w:cs="Calibri" w:cstheme="minorHAnsi" w:ascii="Calibri" w:hAnsi="Calibri"/>
                <w:sz w:val="22"/>
                <w:szCs w:val="22"/>
                <w:lang w:val="sk-SK"/>
              </w:rPr>
            </w:r>
          </w:p>
        </w:tc>
      </w:tr>
    </w:tbl>
    <w:p>
      <w:pPr>
        <w:pStyle w:val="Heading1"/>
        <w:keepNext/>
        <w:numPr>
          <w:ilvl w:val="0"/>
          <w:numId w:val="1"/>
        </w:numPr>
        <w:shd w:val="clear" w:fill="FFFFFF"/>
        <w:rPr/>
      </w:pPr>
      <w:bookmarkStart w:id="2" w:name="_Toc474124302"/>
      <w:bookmarkStart w:id="3" w:name="_Toc474124190"/>
      <w:bookmarkEnd w:id="2"/>
      <w:bookmarkEnd w:id="3"/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ZákladnÉ východiskÁ prE ZostavenIE účTOVNEJ závIErky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>
        <w:rPr>
          <w:rFonts w:cs="Calibri" w:ascii="Calibri" w:hAnsi="Calibri" w:asciiTheme="minorHAnsi" w:cstheme="minorHAnsi" w:hAnsiTheme="minorHAnsi"/>
          <w:i/>
          <w:sz w:val="22"/>
          <w:szCs w:val="22"/>
          <w:lang w:val="sk-SK"/>
        </w:rPr>
        <w:t>riadna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účtovná závierka. </w:t>
      </w:r>
    </w:p>
    <w:p>
      <w:pPr>
        <w:pStyle w:val="Heading1"/>
        <w:keepNext/>
        <w:numPr>
          <w:ilvl w:val="0"/>
          <w:numId w:val="1"/>
        </w:numPr>
        <w:shd w:val="clear" w:fill="FFFFFF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VŠEOBECNÉ účTOVNÉ zásady A METÓDY</w:t>
      </w:r>
    </w:p>
    <w:p>
      <w:pPr>
        <w:pStyle w:val="Normal"/>
        <w:keepNext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Účtovné zásady a metódy, ktoré spoločnosť používala pri zostavení účtovnej závierky za rok 201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9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sú nasledovné: </w:t>
      </w:r>
    </w:p>
    <w:p>
      <w:pPr>
        <w:pStyle w:val="Normal"/>
        <w:rPr>
          <w:b/>
          <w:b/>
          <w:bCs/>
        </w:rPr>
      </w:pPr>
      <w:r>
        <w:rPr>
          <w:rFonts w:cs="Calibri" w:ascii="Calibri" w:hAnsi="Calibri" w:asciiTheme="minorHAnsi" w:cstheme="minorHAnsi" w:hAnsiTheme="minorHAnsi"/>
          <w:b/>
          <w:bCs/>
          <w:sz w:val="22"/>
          <w:szCs w:val="22"/>
          <w:lang w:val="sk-SK"/>
        </w:rPr>
        <w:t>a) Finančný majetok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Reálna hodnota predstavuje trhovú hodnotu, ktorá je vyhlásená na tuzemskej či zahraničnej burze, prípadne ocenenie kvalifikovaným odhadom alebo posudkom znalca v prípade, že trhová hodnota nie je k dispozícii.</w:t>
      </w:r>
    </w:p>
    <w:p>
      <w:pPr>
        <w:pStyle w:val="Heading1"/>
        <w:keepNext/>
        <w:numPr>
          <w:ilvl w:val="0"/>
          <w:numId w:val="0"/>
        </w:numPr>
        <w:shd w:val="clear" w:fill="FFFFFF"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3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. Finančné účty</w:t>
      </w:r>
    </w:p>
    <w:p>
      <w:pPr>
        <w:pStyle w:val="Normal"/>
        <w:keepNext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Informácie o krátkodobom finančnom majetku:</w:t>
      </w:r>
    </w:p>
    <w:tbl>
      <w:tblPr>
        <w:tblW w:w="9214" w:type="dxa"/>
        <w:jc w:val="left"/>
        <w:tblInd w:w="-39" w:type="dxa"/>
        <w:tblBorders>
          <w:top w:val="single" w:sz="4" w:space="0" w:color="00000A"/>
          <w:left w:val="single" w:sz="8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3526"/>
        <w:gridCol w:w="2830"/>
        <w:gridCol w:w="2858"/>
      </w:tblGrid>
      <w:tr>
        <w:trPr>
          <w:trHeight w:val="609" w:hRule="exact"/>
        </w:trPr>
        <w:tc>
          <w:tcPr>
            <w:tcW w:w="3526" w:type="dxa"/>
            <w:tcBorders>
              <w:top w:val="single" w:sz="4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Bezprostredne predchádzajúce účtovné obdobie</w:t>
            </w:r>
          </w:p>
        </w:tc>
      </w:tr>
      <w:tr>
        <w:trPr>
          <w:trHeight w:val="425" w:hRule="exact"/>
        </w:trPr>
        <w:tc>
          <w:tcPr>
            <w:tcW w:w="3526" w:type="dxa"/>
            <w:tcBorders>
              <w:top w:val="single" w:sz="12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3 440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3 440</w:t>
            </w:r>
          </w:p>
        </w:tc>
      </w:tr>
      <w:tr>
        <w:trPr>
          <w:trHeight w:val="425" w:hRule="exact"/>
        </w:trPr>
        <w:tc>
          <w:tcPr>
            <w:tcW w:w="3526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429</w:t>
            </w:r>
          </w:p>
        </w:tc>
        <w:tc>
          <w:tcPr>
            <w:tcW w:w="2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475</w:t>
            </w:r>
          </w:p>
        </w:tc>
      </w:tr>
      <w:tr>
        <w:trPr>
          <w:trHeight w:val="425" w:hRule="exact"/>
        </w:trPr>
        <w:tc>
          <w:tcPr>
            <w:tcW w:w="3526" w:type="dxa"/>
            <w:tcBorders>
              <w:top w:val="single" w:sz="6" w:space="0" w:color="00000A"/>
              <w:left w:val="single" w:sz="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/>
                <w:b/>
                <w:lang w:val="sk-SK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3 869</w:t>
            </w:r>
          </w:p>
        </w:tc>
        <w:tc>
          <w:tcPr>
            <w:tcW w:w="28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tabs>
                <w:tab w:val="center" w:pos="4536" w:leader="none"/>
                <w:tab w:val="right" w:pos="9072" w:leader="none"/>
              </w:tabs>
              <w:spacing w:before="0" w:after="0"/>
              <w:ind w:right="436" w:hanging="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lang w:val="sk-SK"/>
              </w:rPr>
              <w:t>3 915</w:t>
            </w:r>
          </w:p>
        </w:tc>
      </w:tr>
    </w:tbl>
    <w:p>
      <w:pPr>
        <w:pStyle w:val="Heading1"/>
        <w:keepNext/>
        <w:numPr>
          <w:ilvl w:val="0"/>
          <w:numId w:val="0"/>
        </w:numPr>
        <w:shd w:val="clear" w:fill="FFFFFF"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5. VlasTNÉ IMANIE</w:t>
      </w:r>
    </w:p>
    <w:tbl>
      <w:tblPr>
        <w:tblW w:w="9244" w:type="dxa"/>
        <w:jc w:val="left"/>
        <w:tblInd w:w="-2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597"/>
        <w:gridCol w:w="2552"/>
        <w:gridCol w:w="1559"/>
        <w:gridCol w:w="992"/>
        <w:gridCol w:w="853"/>
        <w:gridCol w:w="1137"/>
        <w:gridCol w:w="1553"/>
      </w:tblGrid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/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Účet</w:t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Popis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Počiatočný stav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Prírastky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Úbytky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Presuny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i/>
                <w:i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Konečný zostatok</w:t>
            </w:r>
          </w:p>
        </w:tc>
      </w:tr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411</w:t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keepNext/>
              <w:widowControl/>
              <w:bidi w:val="0"/>
              <w:spacing w:before="0" w:after="240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Základné imanie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5 000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-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-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  <w:i/>
              </w:rPr>
              <w:t>-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5 000</w:t>
            </w:r>
          </w:p>
        </w:tc>
      </w:tr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421</w:t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keepNext/>
              <w:widowControl/>
              <w:bidi w:val="0"/>
              <w:spacing w:before="0" w:after="240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428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cstheme="minorHAnsi"/>
              </w:rPr>
              <w:t>-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cstheme="minorHAnsi"/>
              </w:rPr>
              <w:t>-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-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428</w:t>
            </w:r>
          </w:p>
        </w:tc>
      </w:tr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429</w:t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keepNext/>
              <w:widowControl/>
              <w:bidi w:val="0"/>
              <w:spacing w:before="0" w:after="240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Neuhradená strata min.rokov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ascii="Calibri" w:hAnsi="Calibri"/>
              </w:rPr>
              <w:t>-1 472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/>
            </w:pPr>
            <w:r>
              <w:rPr>
                <w:rFonts w:ascii="Calibri" w:hAnsi="Calibri"/>
              </w:rPr>
              <w:t>-</w:t>
            </w:r>
            <w:r>
              <w:rPr>
                <w:rFonts w:ascii="Calibri" w:hAnsi="Calibri"/>
              </w:rPr>
              <w:t>41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ascii="Calibri" w:hAnsi="Calibri"/>
              </w:rPr>
              <w:t>-</w:t>
            </w:r>
            <w:r>
              <w:rPr>
                <w:rFonts w:ascii="Calibri" w:hAnsi="Calibri"/>
              </w:rPr>
              <w:t>1 513</w:t>
            </w:r>
          </w:p>
        </w:tc>
      </w:tr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431</w:t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keepNext/>
              <w:widowControl/>
              <w:bidi w:val="0"/>
              <w:spacing w:before="0" w:after="240"/>
              <w:jc w:val="both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 xml:space="preserve">Výsledok hospodárenia za účtovné obdobie 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>
                <w:rFonts w:ascii="Calibri" w:hAnsi="Calibri" w:eastAsia="Times New Roman" w:cs="Times New Roman"/>
                <w:color w:val="00000A"/>
                <w:sz w:val="20"/>
                <w:szCs w:val="20"/>
                <w:lang w:val="cs-CZ" w:eastAsia="en-US" w:bidi="ar-SA"/>
              </w:rPr>
            </w:pPr>
            <w:r>
              <w:rPr>
                <w:rFonts w:eastAsia="Times New Roman" w:cs="Times New Roman" w:ascii="Calibri" w:hAnsi="Calibri"/>
                <w:color w:val="00000A"/>
                <w:sz w:val="20"/>
                <w:szCs w:val="20"/>
                <w:lang w:val="cs-CZ" w:eastAsia="en-US" w:bidi="ar-SA"/>
              </w:rPr>
              <w:t>-41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 w:eastAsia="Times New Roman" w:cs="Times New Roman"/>
                <w:color w:val="00000A"/>
                <w:sz w:val="20"/>
                <w:szCs w:val="20"/>
                <w:lang w:val="cs-CZ" w:eastAsia="en-US" w:bidi="ar-SA"/>
              </w:rPr>
            </w:pPr>
            <w:r>
              <w:rPr>
                <w:rFonts w:eastAsia="Times New Roman" w:cs="Times New Roman" w:ascii="Calibri" w:hAnsi="Calibri"/>
                <w:color w:val="00000A"/>
                <w:sz w:val="20"/>
                <w:szCs w:val="20"/>
                <w:lang w:val="cs-CZ" w:eastAsia="en-US" w:bidi="ar-SA"/>
              </w:rPr>
              <w:t>-</w:t>
            </w:r>
            <w:r>
              <w:rPr>
                <w:rFonts w:eastAsia="Times New Roman" w:cs="Times New Roman" w:ascii="Calibri" w:hAnsi="Calibri"/>
                <w:color w:val="00000A"/>
                <w:sz w:val="20"/>
                <w:szCs w:val="20"/>
                <w:lang w:val="cs-CZ" w:eastAsia="en-US" w:bidi="ar-SA"/>
              </w:rPr>
              <w:t>46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-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41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-4</w:t>
            </w:r>
            <w:r>
              <w:rPr>
                <w:rFonts w:cs="Calibri" w:ascii="Calibri" w:hAnsi="Calibri" w:asciiTheme="minorHAnsi" w:cstheme="minorHAnsi" w:hAnsiTheme="minorHAnsi"/>
              </w:rPr>
              <w:t>6</w:t>
            </w:r>
          </w:p>
        </w:tc>
      </w:tr>
      <w:tr>
        <w:trPr>
          <w:trHeight w:val="256" w:hRule="atLeast"/>
        </w:trPr>
        <w:tc>
          <w:tcPr>
            <w:tcW w:w="5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before="0" w:after="240"/>
              <w:jc w:val="right"/>
              <w:rPr>
                <w:rFonts w:ascii="Calibri" w:hAnsi="Calibri" w:cs="Calibri" w:asciiTheme="minorHAnsi" w:cstheme="minorHAnsi" w:hAnsiTheme="minorHAnsi"/>
                <w:b/>
                <w:b/>
              </w:rPr>
            </w:pPr>
            <w:r>
              <w:rPr>
                <w:rFonts w:cs="Calibri" w:cstheme="minorHAnsi" w:ascii="Calibri" w:hAnsi="Calibri"/>
                <w:b/>
              </w:rPr>
            </w:r>
          </w:p>
        </w:tc>
        <w:tc>
          <w:tcPr>
            <w:tcW w:w="25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keepNext/>
              <w:widowControl/>
              <w:bidi w:val="0"/>
              <w:spacing w:before="0" w:after="240"/>
              <w:jc w:val="both"/>
              <w:rPr>
                <w:rFonts w:ascii="Calibri" w:hAnsi="Calibri" w:cs="Calibri" w:asciiTheme="minorHAnsi" w:cstheme="minorHAnsi" w:hAnsiTheme="minorHAnsi"/>
                <w:b/>
                <w:b/>
              </w:rPr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3 915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/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-</w:t>
            </w:r>
            <w:r>
              <w:rPr>
                <w:rFonts w:cs="Calibri" w:ascii="Calibri" w:hAnsi="Calibri" w:asciiTheme="minorHAnsi" w:cstheme="minorHAnsi" w:hAnsiTheme="minorHAnsi"/>
                <w:b/>
              </w:rPr>
              <w:t>46</w:t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-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center"/>
              <w:rPr>
                <w:rFonts w:ascii="Calibri" w:hAnsi="Calibri"/>
              </w:rPr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-</w:t>
            </w:r>
          </w:p>
        </w:tc>
        <w:tc>
          <w:tcPr>
            <w:tcW w:w="15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3 869</w:t>
            </w:r>
          </w:p>
        </w:tc>
      </w:tr>
    </w:tbl>
    <w:p>
      <w:pPr>
        <w:pStyle w:val="Normal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/>
      </w:r>
    </w:p>
    <w:p>
      <w:pPr>
        <w:pStyle w:val="Normal"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Účtovná závierka za rok 201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8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bola schválená 31.5.201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9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a strata vo výške 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41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eur bola preúčtovaná na neuhradenú stratu min.rokov.</w:t>
      </w:r>
    </w:p>
    <w:p>
      <w:pPr>
        <w:pStyle w:val="Heading1"/>
        <w:keepNext/>
        <w:numPr>
          <w:ilvl w:val="0"/>
          <w:numId w:val="0"/>
        </w:numPr>
        <w:shd w:val="clear" w:fill="FFFFFF"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6</w:t>
      </w: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. Výnosy A Náklady</w:t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b/>
          <w:b/>
          <w:bCs w:val="false"/>
          <w:sz w:val="22"/>
          <w:szCs w:val="22"/>
          <w:lang w:val="sk-SK"/>
        </w:rPr>
      </w:pPr>
      <w:r>
        <w:rPr>
          <w:rFonts w:cs="Calibri" w:cstheme="minorHAnsi" w:ascii="Calibri" w:hAnsi="Calibri"/>
          <w:b/>
          <w:bCs w:val="false"/>
          <w:sz w:val="22"/>
          <w:szCs w:val="22"/>
          <w:lang w:val="sk-SK"/>
        </w:rPr>
      </w:r>
    </w:p>
    <w:tbl>
      <w:tblPr>
        <w:tblW w:w="9000" w:type="dxa"/>
        <w:jc w:val="left"/>
        <w:tblInd w:w="4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  <w:tblLook w:val="0000"/>
      </w:tblPr>
      <w:tblGrid>
        <w:gridCol w:w="603"/>
        <w:gridCol w:w="954"/>
        <w:gridCol w:w="4918"/>
        <w:gridCol w:w="1260"/>
        <w:gridCol w:w="1265"/>
      </w:tblGrid>
      <w:tr>
        <w:trPr/>
        <w:tc>
          <w:tcPr>
            <w:tcW w:w="6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Účet</w:t>
            </w:r>
          </w:p>
        </w:tc>
        <w:tc>
          <w:tcPr>
            <w:tcW w:w="9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Výkaz r.</w:t>
            </w:r>
          </w:p>
        </w:tc>
        <w:tc>
          <w:tcPr>
            <w:tcW w:w="49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Položka</w:t>
            </w:r>
          </w:p>
        </w:tc>
        <w:tc>
          <w:tcPr>
            <w:tcW w:w="12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Bežné obdobie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Minulé obdobie</w:t>
            </w:r>
          </w:p>
        </w:tc>
      </w:tr>
      <w:tr>
        <w:trPr/>
        <w:tc>
          <w:tcPr>
            <w:tcW w:w="6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663</w:t>
            </w:r>
          </w:p>
        </w:tc>
        <w:tc>
          <w:tcPr>
            <w:tcW w:w="9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42</w:t>
            </w:r>
          </w:p>
        </w:tc>
        <w:tc>
          <w:tcPr>
            <w:tcW w:w="49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Kurzové zisky</w:t>
            </w:r>
          </w:p>
        </w:tc>
        <w:tc>
          <w:tcPr>
            <w:tcW w:w="12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8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19</w:t>
            </w:r>
          </w:p>
        </w:tc>
      </w:tr>
      <w:tr>
        <w:trPr/>
        <w:tc>
          <w:tcPr>
            <w:tcW w:w="6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568</w:t>
            </w:r>
          </w:p>
        </w:tc>
        <w:tc>
          <w:tcPr>
            <w:tcW w:w="9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54</w:t>
            </w:r>
          </w:p>
        </w:tc>
        <w:tc>
          <w:tcPr>
            <w:tcW w:w="49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Bankové poplatky</w:t>
            </w:r>
          </w:p>
        </w:tc>
        <w:tc>
          <w:tcPr>
            <w:tcW w:w="12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54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60</w:t>
            </w:r>
          </w:p>
        </w:tc>
      </w:tr>
      <w:tr>
        <w:trPr/>
        <w:tc>
          <w:tcPr>
            <w:tcW w:w="6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  <w:b/>
                <w:b/>
              </w:rPr>
            </w:pPr>
            <w:r>
              <w:rPr>
                <w:rFonts w:cs="Calibri" w:cstheme="minorHAnsi" w:ascii="Calibri" w:hAnsi="Calibri"/>
                <w:b/>
              </w:rPr>
            </w:r>
          </w:p>
        </w:tc>
        <w:tc>
          <w:tcPr>
            <w:tcW w:w="9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center"/>
              <w:rPr>
                <w:rFonts w:ascii="Calibri" w:hAnsi="Calibri" w:cs="Calibri" w:asciiTheme="minorHAnsi" w:cstheme="minorHAnsi" w:hAnsiTheme="minorHAnsi"/>
                <w:b/>
                <w:b/>
              </w:rPr>
            </w:pPr>
            <w:r>
              <w:rPr>
                <w:rFonts w:cs="Calibri" w:cstheme="minorHAnsi" w:ascii="Calibri" w:hAnsi="Calibri"/>
                <w:b/>
              </w:rPr>
            </w:r>
          </w:p>
        </w:tc>
        <w:tc>
          <w:tcPr>
            <w:tcW w:w="49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rPr>
                <w:rFonts w:ascii="Calibri" w:hAnsi="Calibri" w:cs="Calibri" w:asciiTheme="minorHAnsi" w:cstheme="minorHAnsi" w:hAnsiTheme="minorHAnsi"/>
                <w:b/>
                <w:b/>
              </w:rPr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-46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numPr>
                <w:ilvl w:val="0"/>
                <w:numId w:val="0"/>
              </w:numPr>
              <w:spacing w:before="0" w:after="240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</w:rPr>
              <w:t>-41</w:t>
            </w:r>
          </w:p>
        </w:tc>
      </w:tr>
    </w:tbl>
    <w:p>
      <w:pPr>
        <w:pStyle w:val="Normal"/>
        <w:keepNext/>
        <w:spacing w:before="0" w:after="0"/>
        <w:jc w:val="left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 xml:space="preserve"> </w:t>
      </w:r>
      <w:r>
        <w:rPr>
          <w:rFonts w:cs="Calibri" w:ascii="Calibri" w:hAnsi="Calibri" w:asciiTheme="minorHAnsi" w:cstheme="minorHAnsi" w:hAnsiTheme="minorHAnsi"/>
          <w:b/>
          <w:sz w:val="22"/>
          <w:szCs w:val="22"/>
          <w:lang w:val="sk-SK"/>
        </w:rPr>
        <w:t xml:space="preserve">Dane z príjmov </w:t>
      </w:r>
    </w:p>
    <w:tbl>
      <w:tblPr>
        <w:tblW w:w="5000" w:type="pct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00"/>
      </w:tblPr>
      <w:tblGrid>
        <w:gridCol w:w="3534"/>
        <w:gridCol w:w="2747"/>
        <w:gridCol w:w="2745"/>
      </w:tblGrid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ableheader1"/>
              <w:jc w:val="left"/>
              <w:rPr/>
            </w:pPr>
            <w:r>
              <w:rPr>
                <w:rFonts w:eastAsia="Times New Roman" w:cs="Calibri" w:ascii="Calibri" w:hAnsi="Calibri" w:asciiTheme="minorHAnsi" w:cstheme="minorHAnsi" w:hAnsiTheme="minorHAnsi"/>
                <w:sz w:val="20"/>
                <w:szCs w:val="20"/>
              </w:rPr>
              <w:t>Položka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Tableheader1"/>
              <w:rPr/>
            </w:pPr>
            <w:r>
              <w:rPr>
                <w:rFonts w:eastAsia="Times New Roman" w:cs="Calibri" w:ascii="Calibri" w:hAnsi="Calibri" w:asciiTheme="minorHAnsi" w:cstheme="minorHAnsi" w:hAnsiTheme="minorHAnsi"/>
                <w:sz w:val="20"/>
                <w:szCs w:val="20"/>
              </w:rPr>
              <w:t>201</w:t>
            </w:r>
            <w:r>
              <w:rPr>
                <w:rFonts w:eastAsia="Times New Roman" w:cs="Calibri" w:ascii="Calibri" w:hAnsi="Calibri" w:asciiTheme="minorHAnsi" w:cstheme="minorHAnsi" w:hAnsiTheme="minorHAnsi"/>
                <w:sz w:val="20"/>
                <w:szCs w:val="20"/>
              </w:rPr>
              <w:t>9</w:t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ableheader1"/>
              <w:rPr/>
            </w:pPr>
            <w:r>
              <w:rPr>
                <w:rFonts w:eastAsia="Times New Roman" w:cs="Calibri" w:ascii="Calibri" w:hAnsi="Calibri" w:asciiTheme="minorHAnsi" w:cstheme="minorHAnsi" w:hAnsiTheme="minorHAnsi"/>
                <w:sz w:val="20"/>
                <w:szCs w:val="20"/>
              </w:rPr>
              <w:t>201</w:t>
            </w:r>
            <w:r>
              <w:rPr>
                <w:rFonts w:eastAsia="Times New Roman" w:cs="Calibri" w:ascii="Calibri" w:hAnsi="Calibri" w:asciiTheme="minorHAnsi" w:cstheme="minorHAnsi" w:hAnsiTheme="minorHAnsi"/>
                <w:sz w:val="20"/>
                <w:szCs w:val="20"/>
              </w:rPr>
              <w:t>8</w:t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ZISK/STRATA pred zdanením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-4</w:t>
            </w:r>
            <w:r>
              <w:rPr>
                <w:rFonts w:cs="Calibri" w:ascii="Calibri" w:hAnsi="Calibri" w:asciiTheme="minorHAnsi" w:cstheme="minorHAnsi" w:hAnsiTheme="minorHAnsi"/>
              </w:rPr>
              <w:t>6</w:t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</w:rPr>
              <w:t>-41</w:t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Vplyv upravujúcich položiek: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firstLine="176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 xml:space="preserve">odpočítateľné položky  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firstLine="176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 xml:space="preserve">pripočítateľné položky  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>Vplyv zmeny sadzby dane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cstheme="minorHAnsi" w:ascii="Calibri" w:hAnsi="Calibri"/>
              </w:rPr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 xml:space="preserve">Daň z príjmov/daňová licencia  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>
                <w:rFonts w:ascii="Calibri" w:hAnsi="Calibri" w:cs="Calibri" w:asciiTheme="minorHAnsi" w:cstheme="minorHAnsi" w:hAnsiTheme="minorHAnsi"/>
                <w:b/>
                <w:b/>
                <w:bCs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Zaplatené preddavky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</w:tr>
      <w:tr>
        <w:trPr>
          <w:trHeight w:val="353" w:hRule="atLeast"/>
          <w:cantSplit w:val="true"/>
        </w:trPr>
        <w:tc>
          <w:tcPr>
            <w:tcW w:w="3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1"/>
              <w:ind w:left="142" w:hanging="142"/>
              <w:jc w:val="both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Daň na úhradu</w:t>
            </w:r>
          </w:p>
        </w:tc>
        <w:tc>
          <w:tcPr>
            <w:tcW w:w="27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  <w:vAlign w:val="bottom"/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1"/>
              <w:jc w:val="right"/>
              <w:rPr/>
            </w:pPr>
            <w:r>
              <w:rPr>
                <w:rFonts w:cs="Calibri" w:ascii="Calibri" w:hAnsi="Calibri" w:asciiTheme="minorHAnsi" w:cstheme="minorHAnsi" w:hAnsiTheme="minorHAnsi"/>
                <w:b/>
                <w:bCs/>
              </w:rPr>
              <w:t>0</w:t>
            </w:r>
          </w:p>
        </w:tc>
      </w:tr>
    </w:tbl>
    <w:p>
      <w:pPr>
        <w:pStyle w:val="Heading1"/>
        <w:keepNext/>
        <w:numPr>
          <w:ilvl w:val="0"/>
          <w:numId w:val="0"/>
        </w:numPr>
        <w:shd w:val="clear" w:fill="FFFFFF"/>
        <w:rPr/>
      </w:pPr>
      <w:r>
        <w:rPr>
          <w:rFonts w:cs="Calibri" w:ascii="Calibri" w:hAnsi="Calibri" w:asciiTheme="minorHAnsi" w:cstheme="minorHAnsi" w:hAnsiTheme="minorHAnsi"/>
          <w:sz w:val="22"/>
          <w:szCs w:val="22"/>
          <w:lang w:val="sk-SK"/>
        </w:rPr>
        <w:t>8. Významné udalosti, ktoré nastali po DnI, KU KTORému sa zostavuje účtovná závierka</w:t>
      </w:r>
    </w:p>
    <w:p>
      <w:pPr>
        <w:pStyle w:val="Odstavecbezcisla"/>
        <w:ind w:left="0" w:hanging="0"/>
        <w:rPr>
          <w:rFonts w:ascii="Calibri" w:hAnsi="Calibri" w:cs="Calibri" w:asciiTheme="minorHAnsi" w:cstheme="minorHAnsi" w:hAnsiTheme="minorHAnsi"/>
          <w:iCs w:val="false"/>
          <w:sz w:val="22"/>
          <w:szCs w:val="22"/>
          <w:lang w:eastAsia="en-US"/>
        </w:rPr>
      </w:pPr>
      <w:r>
        <w:rPr>
          <w:rFonts w:cs="Calibri" w:cstheme="minorHAnsi" w:ascii="Calibri" w:hAnsi="Calibri"/>
          <w:iCs w:val="false"/>
          <w:sz w:val="22"/>
          <w:szCs w:val="22"/>
          <w:lang w:eastAsia="en-US"/>
        </w:rPr>
      </w:r>
    </w:p>
    <w:p>
      <w:pPr>
        <w:pStyle w:val="Odstavecbezcisla"/>
        <w:ind w:left="0" w:hanging="0"/>
        <w:jc w:val="both"/>
        <w:rPr/>
      </w:pPr>
      <w:r>
        <w:rPr>
          <w:rFonts w:cs="Calibri" w:ascii="Calibri" w:hAnsi="Calibri" w:asciiTheme="minorHAnsi" w:cstheme="minorHAnsi" w:hAnsiTheme="minorHAnsi"/>
          <w:iCs w:val="false"/>
          <w:sz w:val="22"/>
          <w:szCs w:val="22"/>
          <w:lang w:eastAsia="en-US"/>
        </w:rPr>
        <w:t>Po 31. decembri 201</w:t>
      </w:r>
      <w:r>
        <w:rPr>
          <w:rFonts w:cs="Calibri" w:ascii="Calibri" w:hAnsi="Calibri" w:asciiTheme="minorHAnsi" w:cstheme="minorHAnsi" w:hAnsiTheme="minorHAnsi"/>
          <w:iCs w:val="false"/>
          <w:sz w:val="22"/>
          <w:szCs w:val="22"/>
          <w:lang w:eastAsia="en-US"/>
        </w:rPr>
        <w:t>9</w:t>
      </w:r>
      <w:r>
        <w:rPr>
          <w:rFonts w:cs="Calibri" w:ascii="Calibri" w:hAnsi="Calibri" w:asciiTheme="minorHAnsi" w:cstheme="minorHAnsi" w:hAnsiTheme="minorHAnsi"/>
          <w:iCs w:val="false"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>
      <w:pPr>
        <w:pStyle w:val="Odstavecbezcisla"/>
        <w:ind w:left="0" w:hanging="0"/>
        <w:jc w:val="both"/>
        <w:rPr>
          <w:rFonts w:ascii="Calibri" w:hAnsi="Calibri" w:cs="Calibri" w:asciiTheme="minorHAnsi" w:cstheme="minorHAnsi" w:hAnsiTheme="minorHAnsi"/>
          <w:iCs w:val="false"/>
          <w:sz w:val="22"/>
          <w:szCs w:val="22"/>
          <w:lang w:eastAsia="en-US"/>
        </w:rPr>
      </w:pPr>
      <w:r>
        <w:rPr>
          <w:rFonts w:cs="Calibri" w:cstheme="minorHAnsi" w:ascii="Calibri" w:hAnsi="Calibri"/>
          <w:iCs w:val="false"/>
          <w:sz w:val="22"/>
          <w:szCs w:val="22"/>
          <w:lang w:eastAsia="en-US"/>
        </w:rPr>
      </w:r>
    </w:p>
    <w:p>
      <w:pPr>
        <w:pStyle w:val="Odstavecbezcisla"/>
        <w:ind w:left="0" w:hanging="0"/>
        <w:jc w:val="both"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rPr>
          <w:rFonts w:ascii="Calibri" w:hAnsi="Calibri" w:cs="Calibri" w:asciiTheme="minorHAnsi" w:cstheme="minorHAnsi" w:hAnsiTheme="minorHAnsi"/>
          <w:sz w:val="22"/>
          <w:szCs w:val="22"/>
          <w:lang w:val="sk-SK"/>
        </w:rPr>
      </w:pPr>
      <w:r>
        <w:rPr>
          <w:rFonts w:cs="Calibri" w:cstheme="minorHAnsi" w:ascii="Calibri" w:hAnsi="Calibri"/>
          <w:sz w:val="22"/>
          <w:szCs w:val="22"/>
          <w:lang w:val="sk-SK"/>
        </w:rPr>
      </w:r>
    </w:p>
    <w:p>
      <w:pPr>
        <w:pStyle w:val="Normal"/>
        <w:keepNext/>
        <w:spacing w:before="0" w:after="24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40" w:right="1440" w:header="482" w:top="1977" w:footer="567" w:bottom="1588" w:gutter="0"/>
      <w:pgNumType w:fmt="decimal"/>
      <w:formProt w:val="false"/>
      <w:textDirection w:val="lrTb"/>
      <w:docGrid w:type="default" w:linePitch="249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Arial Unicode MS">
    <w:charset w:val="ee"/>
    <w:family w:val="roman"/>
    <w:pitch w:val="variable"/>
  </w:font>
  <w:font w:name="Verda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spacing w:before="0" w:after="120"/>
      <w:ind w:firstLine="36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jc w:val="center"/>
      <w:rPr/>
    </w:pPr>
    <w:r>
      <w:rPr>
        <w:rFonts w:ascii="Calibri" w:hAnsi="Calibri"/>
        <w:b/>
        <w:bCs/>
        <w:i/>
        <w:iCs/>
      </w:rPr>
      <w:t xml:space="preserve">Ramonte s.r.o., </w:t>
    </w:r>
    <w:r>
      <w:rPr>
        <w:rFonts w:ascii="Calibri" w:hAnsi="Calibri"/>
        <w:b/>
        <w:bCs/>
        <w:i/>
        <w:iCs/>
        <w:lang w:val="sk-SK"/>
      </w:rPr>
      <w:t>IČO: 46988351, DIČ: 2023695784</w:t>
    </w:r>
  </w:p>
  <w:p>
    <w:pPr>
      <w:pStyle w:val="Header"/>
      <w:jc w:val="center"/>
      <w:rPr/>
    </w:pPr>
    <w:r>
      <w:rPr>
        <w:rFonts w:ascii="Calibri" w:hAnsi="Calibri"/>
        <w:b/>
        <w:bCs/>
        <w:i/>
        <w:iCs/>
        <w:color w:val="00000A"/>
        <w:u w:val="none"/>
        <w:lang w:val="sk-SK"/>
      </w:rPr>
      <w:t>Poznámky Uč POD 3-04 k 31.12.201</w:t>
    </w:r>
    <w:r>
      <w:rPr>
        <w:rFonts w:ascii="Calibri" w:hAnsi="Calibri"/>
        <w:b/>
        <w:bCs/>
        <w:i/>
        <w:iCs/>
        <w:color w:val="00000A"/>
        <w:u w:val="none"/>
        <w:lang w:val="sk-SK"/>
      </w:rPr>
      <w:t>9</w:t>
    </w:r>
  </w:p>
  <w:p>
    <w:pPr>
      <w:pStyle w:val="Header"/>
      <w:spacing w:before="0" w:after="240"/>
      <w:jc w:val="center"/>
      <w:rPr>
        <w:rFonts w:ascii="Calibri" w:hAnsi="Calibri"/>
        <w:b/>
        <w:b/>
        <w:bCs/>
        <w:i/>
        <w:i/>
        <w:iCs/>
        <w:color w:val="00000A"/>
        <w:u w:val="none"/>
        <w:lang w:val="sk-SK"/>
      </w:rPr>
    </w:pPr>
    <w:r>
      <w:rPr>
        <w:rFonts w:ascii="Calibri" w:hAnsi="Calibri"/>
        <w:b/>
        <w:bCs/>
        <w:i/>
        <w:iCs/>
        <w:color w:val="00000A"/>
        <w:u w:val="none"/>
        <w:lang w:val="sk-SK"/>
      </w:rPr>
      <w:t>__________________________________________________________________________________________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e1613"/>
    <w:pPr>
      <w:keepNext/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A"/>
      <w:sz w:val="20"/>
      <w:szCs w:val="20"/>
      <w:lang w:val="cs-CZ" w:eastAsia="en-US" w:bidi="ar-SA"/>
    </w:rPr>
  </w:style>
  <w:style w:type="paragraph" w:styleId="Heading1">
    <w:name w:val="Heading 1"/>
    <w:basedOn w:val="Normal"/>
    <w:qFormat/>
    <w:rsid w:val="00f22856"/>
    <w:pPr>
      <w:shd w:val="solid" w:color="FFFFFF" w:fill="FFFFFF"/>
      <w:spacing w:before="360" w:after="240"/>
      <w:outlineLvl w:val="0"/>
    </w:pPr>
    <w:rPr>
      <w:b/>
      <w:caps/>
      <w:u w:val="single"/>
    </w:rPr>
  </w:style>
  <w:style w:type="paragraph" w:styleId="Heading2">
    <w:name w:val="Heading 2"/>
    <w:basedOn w:val="Normal"/>
    <w:qFormat/>
    <w:rsid w:val="00f22856"/>
    <w:pPr/>
    <w:rPr>
      <w:b/>
    </w:rPr>
  </w:style>
  <w:style w:type="paragraph" w:styleId="Heading3">
    <w:name w:val="Heading 3"/>
    <w:basedOn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qFormat/>
    <w:rsid w:val="00f22856"/>
    <w:pPr>
      <w:outlineLvl w:val="3"/>
    </w:pPr>
    <w:rPr>
      <w:b/>
    </w:rPr>
  </w:style>
  <w:style w:type="paragraph" w:styleId="Heading5">
    <w:name w:val="Heading 5"/>
    <w:basedOn w:val="Normal"/>
    <w:qFormat/>
    <w:rsid w:val="00f22856"/>
    <w:pPr>
      <w:spacing w:before="0" w:after="120"/>
      <w:outlineLvl w:val="4"/>
    </w:pPr>
    <w:rPr>
      <w:b/>
    </w:rPr>
  </w:style>
  <w:style w:type="paragraph" w:styleId="Heading6">
    <w:name w:val="Heading 6"/>
    <w:basedOn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qFormat/>
    <w:rsid w:val="00f22856"/>
    <w:pPr>
      <w:spacing w:before="0" w:after="0"/>
      <w:outlineLvl w:val="7"/>
    </w:pPr>
    <w:rPr>
      <w:i/>
      <w:sz w:val="14"/>
    </w:rPr>
  </w:style>
  <w:style w:type="paragraph" w:styleId="Heading9">
    <w:name w:val="Heading 9"/>
    <w:basedOn w:val="Normal"/>
    <w:qFormat/>
    <w:rsid w:val="00f22856"/>
    <w:pPr>
      <w:spacing w:before="0" w:after="0"/>
      <w:outlineLvl w:val="8"/>
    </w:pPr>
    <w:rPr>
      <w:i/>
      <w:sz w:val="14"/>
      <w:lang w:val="en-GB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063304"/>
    <w:rPr>
      <w:vertAlign w:val="superscript"/>
    </w:rPr>
  </w:style>
  <w:style w:type="character" w:styleId="OdstavecbezcislaChar" w:customStyle="1">
    <w:name w:val="odstavecbezcisla Char"/>
    <w:basedOn w:val="DefaultParagraphFont"/>
    <w:link w:val="odstavecbezcisla"/>
    <w:qFormat/>
    <w:rsid w:val="000a5a10"/>
    <w:rPr>
      <w:iCs/>
      <w:szCs w:val="24"/>
      <w:lang w:val="sk-SK" w:eastAsia="sk-SK" w:bidi="ar-SA"/>
    </w:rPr>
  </w:style>
  <w:style w:type="character" w:styleId="StyleodstavecbezcislaItalicRedChar" w:customStyle="1">
    <w:name w:val="Style odstavecbezcisla + Italic Red Char"/>
    <w:basedOn w:val="OdstavecbezcislaChar"/>
    <w:link w:val="StyleodstavecbezcislaItalicRed"/>
    <w:qFormat/>
    <w:rsid w:val="008b5be2"/>
    <w:rPr>
      <w:iCs/>
      <w:color w:val="333399"/>
      <w:szCs w:val="24"/>
      <w:lang w:val="sk-SK" w:eastAsia="sk-SK" w:bidi="ar-SA"/>
    </w:rPr>
  </w:style>
  <w:style w:type="character" w:styleId="NzovChar" w:customStyle="1">
    <w:name w:val="Názov Char"/>
    <w:basedOn w:val="DefaultParagraphFont"/>
    <w:link w:val="Nzov"/>
    <w:uiPriority w:val="99"/>
    <w:qFormat/>
    <w:rsid w:val="003d4520"/>
    <w:rPr>
      <w:rFonts w:ascii="Arial Narrow" w:hAnsi="Arial Narrow"/>
      <w:b/>
      <w:bCs/>
      <w:sz w:val="22"/>
      <w:szCs w:val="32"/>
      <w:lang w:eastAsia="en-U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eastAsia="Times New Roman" w:cs="Times New Roman"/>
    </w:rPr>
  </w:style>
  <w:style w:type="character" w:styleId="ListLabel3">
    <w:name w:val="ListLabel 3"/>
    <w:qFormat/>
    <w:rPr>
      <w:rFonts w:ascii="Calibri" w:hAnsi="Calibri" w:cs="Symbol"/>
      <w:sz w:val="22"/>
    </w:rPr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Text Body"/>
    <w:basedOn w:val="Normal"/>
    <w:rsid w:val="00f22856"/>
    <w:pPr>
      <w:jc w:val="left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Footer">
    <w:name w:val="Footer"/>
    <w:basedOn w:val="Normal"/>
    <w:rsid w:val="00f22856"/>
    <w:pPr>
      <w:tabs>
        <w:tab w:val="center" w:pos="4536" w:leader="none"/>
        <w:tab w:val="right" w:pos="9072" w:leader="none"/>
      </w:tabs>
      <w:spacing w:before="0"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 w:leader="none"/>
        <w:tab w:val="right" w:pos="9072" w:leader="none"/>
      </w:tabs>
    </w:pPr>
    <w:rPr/>
  </w:style>
  <w:style w:type="paragraph" w:styleId="TableHeader" w:customStyle="1">
    <w:name w:val="Table Header"/>
    <w:basedOn w:val="Normal"/>
    <w:qFormat/>
    <w:rsid w:val="00f22856"/>
    <w:pPr>
      <w:spacing w:before="0" w:after="0"/>
      <w:jc w:val="center"/>
    </w:pPr>
    <w:rPr>
      <w:sz w:val="16"/>
    </w:rPr>
  </w:style>
  <w:style w:type="paragraph" w:styleId="Tablemiddleline" w:customStyle="1">
    <w:name w:val="Table middle line"/>
    <w:basedOn w:val="Normal"/>
    <w:qFormat/>
    <w:rsid w:val="00f22856"/>
    <w:pPr>
      <w:spacing w:before="0" w:after="0"/>
      <w:jc w:val="left"/>
    </w:pPr>
    <w:rPr>
      <w:iCs/>
      <w:sz w:val="16"/>
    </w:rPr>
  </w:style>
  <w:style w:type="paragraph" w:styleId="TableFirstLine" w:customStyle="1">
    <w:name w:val="Table First Line"/>
    <w:basedOn w:val="Normal"/>
    <w:qFormat/>
    <w:rsid w:val="00f22856"/>
    <w:pPr>
      <w:spacing w:before="0" w:after="120"/>
      <w:jc w:val="left"/>
    </w:pPr>
    <w:rPr>
      <w:sz w:val="16"/>
    </w:rPr>
  </w:style>
  <w:style w:type="paragraph" w:styleId="TableLastLine" w:customStyle="1">
    <w:name w:val="Table Last Line"/>
    <w:basedOn w:val="Normal"/>
    <w:qFormat/>
    <w:rsid w:val="00f22856"/>
    <w:pPr>
      <w:spacing w:before="120" w:after="120"/>
      <w:jc w:val="left"/>
    </w:pPr>
    <w:rPr>
      <w:sz w:val="16"/>
    </w:rPr>
  </w:style>
  <w:style w:type="paragraph" w:styleId="Table" w:customStyle="1">
    <w:name w:val="table"/>
    <w:basedOn w:val="Normal"/>
    <w:qFormat/>
    <w:rsid w:val="00f22856"/>
    <w:pPr>
      <w:spacing w:before="0" w:after="0"/>
      <w:jc w:val="left"/>
    </w:pPr>
    <w:rPr>
      <w:sz w:val="16"/>
    </w:rPr>
  </w:style>
  <w:style w:type="paragraph" w:styleId="Heading2b" w:customStyle="1">
    <w:name w:val="heading 2b"/>
    <w:basedOn w:val="Normal"/>
    <w:qFormat/>
    <w:rsid w:val="00f22856"/>
    <w:pPr>
      <w:spacing w:before="0" w:after="120"/>
    </w:pPr>
    <w:rPr/>
  </w:style>
  <w:style w:type="paragraph" w:styleId="Normalitalic" w:customStyle="1">
    <w:name w:val="Normal_italic"/>
    <w:basedOn w:val="Normal"/>
    <w:qFormat/>
    <w:rsid w:val="00f22856"/>
    <w:pPr/>
    <w:rPr>
      <w:i/>
    </w:rPr>
  </w:style>
  <w:style w:type="paragraph" w:styleId="Tableindent" w:customStyle="1">
    <w:name w:val="Table indent"/>
    <w:basedOn w:val="TableFirstLine"/>
    <w:qFormat/>
    <w:rsid w:val="00f22856"/>
    <w:pPr>
      <w:ind w:left="170" w:hanging="0"/>
    </w:pPr>
    <w:rPr/>
  </w:style>
  <w:style w:type="paragraph" w:styleId="BalloonText">
    <w:name w:val="Balloon Text"/>
    <w:basedOn w:val="Normal"/>
    <w:semiHidden/>
    <w:qFormat/>
    <w:rsid w:val="00f22856"/>
    <w:pPr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qFormat/>
    <w:rsid w:val="00742cd3"/>
    <w:pPr>
      <w:keepNext/>
      <w:spacing w:lineRule="atLeast" w:line="240" w:before="120" w:after="0"/>
    </w:pPr>
    <w:rPr>
      <w:rFonts w:ascii="Arial" w:hAnsi="Arial"/>
      <w:i/>
      <w:sz w:val="24"/>
      <w:u w:val="single"/>
      <w:lang w:val="sk-SK" w:eastAsia="sk-SK"/>
    </w:rPr>
  </w:style>
  <w:style w:type="paragraph" w:styleId="Dotabulky" w:customStyle="1">
    <w:name w:val="do tabulky"/>
    <w:basedOn w:val="TextBody"/>
    <w:qFormat/>
    <w:rsid w:val="00742cd3"/>
    <w:pPr>
      <w:keepNext/>
      <w:spacing w:before="40" w:after="0"/>
    </w:pPr>
    <w:rPr>
      <w:sz w:val="24"/>
      <w:szCs w:val="24"/>
      <w:lang w:val="sk-SK" w:eastAsia="sk-SK"/>
    </w:rPr>
  </w:style>
  <w:style w:type="paragraph" w:styleId="Lines" w:customStyle="1">
    <w:name w:val="line_s"/>
    <w:basedOn w:val="Normal"/>
    <w:autoRedefine/>
    <w:qFormat/>
    <w:rsid w:val="00e7199a"/>
    <w:pPr>
      <w:keepNext/>
      <w:pBdr>
        <w:bottom w:val="single" w:sz="4" w:space="0" w:color="00000A"/>
      </w:pBdr>
      <w:spacing w:before="0"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qFormat/>
    <w:rsid w:val="004d0bd2"/>
    <w:pPr>
      <w:spacing w:before="0" w:after="120"/>
      <w:ind w:left="283" w:hanging="0"/>
    </w:pPr>
    <w:rPr>
      <w:sz w:val="16"/>
      <w:szCs w:val="16"/>
    </w:rPr>
  </w:style>
  <w:style w:type="paragraph" w:styleId="Odstavecbezcisla" w:customStyle="1">
    <w:name w:val="odstavecbezcisla"/>
    <w:link w:val="odstavecbezcislaChar"/>
    <w:qFormat/>
    <w:rsid w:val="004d0bd2"/>
    <w:pPr>
      <w:keepNext/>
      <w:widowControl w:val="false"/>
      <w:suppressAutoHyphens w:val="true"/>
      <w:bidi w:val="0"/>
      <w:spacing w:before="0" w:after="0"/>
      <w:ind w:left="426" w:hanging="0"/>
      <w:jc w:val="left"/>
    </w:pPr>
    <w:rPr>
      <w:rFonts w:ascii="Times New Roman" w:hAnsi="Times New Roman" w:eastAsia="Times New Roman" w:cs="Times New Roman"/>
      <w:iCs/>
      <w:color w:val="00000A"/>
      <w:sz w:val="20"/>
      <w:szCs w:val="24"/>
      <w:lang w:val="sk-SK" w:eastAsia="sk-SK" w:bidi="ar-SA"/>
    </w:rPr>
  </w:style>
  <w:style w:type="paragraph" w:styleId="BodyText3">
    <w:name w:val="Body Text 3"/>
    <w:basedOn w:val="Normal"/>
    <w:qFormat/>
    <w:rsid w:val="004d0bd2"/>
    <w:pPr>
      <w:spacing w:before="0" w:after="120"/>
    </w:pPr>
    <w:rPr>
      <w:sz w:val="16"/>
      <w:szCs w:val="16"/>
    </w:rPr>
  </w:style>
  <w:style w:type="paragraph" w:styleId="Normal8pt" w:customStyle="1">
    <w:name w:val="Normal + 8 pt"/>
    <w:basedOn w:val="Normal"/>
    <w:qFormat/>
    <w:rsid w:val="000f5f56"/>
    <w:pPr>
      <w:keepNext/>
      <w:spacing w:before="0" w:after="0"/>
      <w:jc w:val="right"/>
    </w:pPr>
    <w:rPr>
      <w:b/>
      <w:bCs/>
      <w:sz w:val="16"/>
      <w:szCs w:val="16"/>
      <w:lang w:val="sk-SK" w:eastAsia="sk-SK"/>
    </w:rPr>
  </w:style>
  <w:style w:type="paragraph" w:styleId="Xl79" w:customStyle="1">
    <w:name w:val="xl79"/>
    <w:basedOn w:val="Normal"/>
    <w:qFormat/>
    <w:rsid w:val="00d97508"/>
    <w:pPr>
      <w:keepNext/>
      <w:spacing w:beforeAutospacing="1" w:afterAutospacing="1"/>
      <w:jc w:val="right"/>
    </w:pPr>
    <w:rPr>
      <w:rFonts w:ascii="Arial Unicode MS" w:hAnsi="Arial Unicode MS" w:eastAsia="Arial Unicode MS" w:cs="Tahoma"/>
      <w:sz w:val="24"/>
      <w:szCs w:val="24"/>
      <w:lang w:val="sk-SK" w:eastAsia="sk-SK"/>
    </w:rPr>
  </w:style>
  <w:style w:type="paragraph" w:styleId="TextBodyIndent">
    <w:name w:val="Text Body Indent"/>
    <w:basedOn w:val="Normal"/>
    <w:rsid w:val="00063304"/>
    <w:pPr>
      <w:spacing w:before="0" w:after="120"/>
      <w:ind w:left="283" w:hanging="0"/>
    </w:pPr>
    <w:rPr/>
  </w:style>
  <w:style w:type="paragraph" w:styleId="Footnotetext">
    <w:name w:val="footnote text"/>
    <w:basedOn w:val="Normal"/>
    <w:semiHidden/>
    <w:qFormat/>
    <w:rsid w:val="00063304"/>
    <w:pPr>
      <w:keepNext/>
      <w:spacing w:before="0" w:after="0"/>
      <w:jc w:val="left"/>
    </w:pPr>
    <w:rPr>
      <w:lang w:val="sk-SK" w:eastAsia="sk-SK"/>
    </w:rPr>
  </w:style>
  <w:style w:type="paragraph" w:styleId="StyleStyleodstavecbezcislaItalicRedLeft075cmItalic" w:customStyle="1">
    <w:name w:val="Style Style odstavecbezcisla + Italic Red Left:  075 cm + Italic"/>
    <w:basedOn w:val="Normal"/>
    <w:qFormat/>
    <w:rsid w:val="000a5a10"/>
    <w:pPr>
      <w:keepNext/>
      <w:spacing w:before="0" w:after="0"/>
      <w:ind w:left="425" w:hanging="0"/>
    </w:pPr>
    <w:rPr>
      <w:iCs/>
      <w:color w:val="333399"/>
      <w:lang w:val="sk-SK" w:eastAsia="sk-SK"/>
    </w:rPr>
  </w:style>
  <w:style w:type="paragraph" w:styleId="StyleodstavecbezcislaItalicRed" w:customStyle="1">
    <w:name w:val="Style odstavecbezcisla + Italic Red"/>
    <w:basedOn w:val="Odstavecbezcisla"/>
    <w:link w:val="StyleodstavecbezcislaItalicRedChar"/>
    <w:qFormat/>
    <w:rsid w:val="008b5be2"/>
    <w:pPr/>
    <w:rPr>
      <w:color w:val="333399"/>
    </w:rPr>
  </w:style>
  <w:style w:type="paragraph" w:styleId="Zkladntext" w:customStyle="1">
    <w:name w:val="Základní text"/>
    <w:qFormat/>
    <w:rsid w:val="00ff7782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sk-SK" w:bidi="ar-SA"/>
    </w:rPr>
  </w:style>
  <w:style w:type="paragraph" w:styleId="Pismenka" w:customStyle="1">
    <w:name w:val="Pismenka"/>
    <w:basedOn w:val="TextBody"/>
    <w:qFormat/>
    <w:rsid w:val="00295714"/>
    <w:pPr>
      <w:keepNext/>
      <w:tabs>
        <w:tab w:val="left" w:pos="426" w:leader="none"/>
        <w:tab w:val="left" w:pos="454" w:leader="none"/>
      </w:tabs>
      <w:spacing w:before="0" w:after="0"/>
      <w:ind w:left="426" w:hanging="426"/>
      <w:jc w:val="both"/>
    </w:pPr>
    <w:rPr>
      <w:b/>
      <w:sz w:val="18"/>
      <w:lang w:val="sk-SK"/>
    </w:rPr>
  </w:style>
  <w:style w:type="paragraph" w:styleId="Tabulka" w:customStyle="1">
    <w:name w:val="Tabulka"/>
    <w:basedOn w:val="Normal"/>
    <w:qFormat/>
    <w:rsid w:val="00955f91"/>
    <w:pPr>
      <w:keepNext/>
      <w:spacing w:before="0"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link w:val="NzovChar"/>
    <w:uiPriority w:val="99"/>
    <w:qFormat/>
    <w:rsid w:val="003d4520"/>
    <w:pPr>
      <w:spacing w:beforeAutospacing="1" w:after="220"/>
      <w:jc w:val="center"/>
      <w:outlineLvl w:val="0"/>
    </w:pPr>
    <w:rPr>
      <w:rFonts w:ascii="Arial Narrow" w:hAnsi="Arial Narrow"/>
      <w:b/>
      <w:bCs/>
      <w:sz w:val="22"/>
      <w:szCs w:val="32"/>
      <w:lang w:val="sk-SK"/>
    </w:rPr>
  </w:style>
  <w:style w:type="paragraph" w:styleId="Normal1" w:customStyle="1">
    <w:name w:val="Normal1"/>
    <w:basedOn w:val="Normal"/>
    <w:qFormat/>
    <w:rsid w:val="00901d05"/>
    <w:pPr>
      <w:keepNext/>
      <w:widowControl w:val="false"/>
      <w:suppressAutoHyphens w:val="true"/>
      <w:spacing w:before="0" w:after="0"/>
      <w:jc w:val="left"/>
    </w:pPr>
    <w:rPr>
      <w:lang w:val="sk-SK" w:eastAsia="sk-SK" w:bidi="sk-SK"/>
    </w:rPr>
  </w:style>
  <w:style w:type="paragraph" w:styleId="Tableheader1" w:customStyle="1">
    <w:name w:val="table header"/>
    <w:basedOn w:val="Normal1"/>
    <w:qFormat/>
    <w:rsid w:val="00901d05"/>
    <w:pPr>
      <w:jc w:val="center"/>
    </w:pPr>
    <w:rPr>
      <w:rFonts w:ascii="Verdana" w:hAnsi="Verdana" w:eastAsia="Verdana" w:cs="Verdana"/>
      <w:b/>
      <w:bCs/>
      <w:i/>
      <w:iCs/>
      <w:sz w:val="15"/>
      <w:szCs w:val="15"/>
    </w:rPr>
  </w:style>
  <w:style w:type="paragraph" w:styleId="FrameContents">
    <w:name w:val="Frame Contents"/>
    <w:basedOn w:val="Normal"/>
    <w:qFormat/>
    <w:pPr/>
    <w:rPr/>
  </w:style>
  <w:style w:type="paragraph" w:styleId="Quotations">
    <w:name w:val="Quotations"/>
    <w:basedOn w:val="Normal"/>
    <w:qFormat/>
    <w:pPr/>
    <w:rPr/>
  </w:style>
  <w:style w:type="paragraph" w:styleId="Subtitle">
    <w:name w:val="Subtitle"/>
    <w:basedOn w:val="Heading"/>
    <w:qFormat/>
    <w:pPr/>
    <w:rPr/>
  </w:style>
  <w:style w:type="paragraph" w:styleId="TableContents">
    <w:name w:val="Table Contents"/>
    <w:basedOn w:val="Normal"/>
    <w:qFormat/>
    <w:pPr/>
    <w:rPr/>
  </w:style>
  <w:style w:type="paragraph" w:styleId="TableHeading">
    <w:name w:val="Table Heading"/>
    <w:basedOn w:val="TableContents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4F928D-35AA-4348-9279-7AEDC5039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7</TotalTime>
  <Application>LibreOffice/4.4.4.3$Windows_x86 LibreOffice_project/2c39ebcf046445232b798108aa8a7e7d89552ea8</Application>
  <Paragraphs>146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2014-03-25T11:36:00Z</dcterms:created>
  <dc:creator>Ernst &amp; Young</dc:creator>
  <dc:language>sk-SK</dc:language>
  <cp:lastPrinted>2012-01-04T15:49:00Z</cp:lastPrinted>
  <dcterms:modified xsi:type="dcterms:W3CDTF">2020-03-31T14:48:50Z</dcterms:modified>
  <cp:revision>61</cp:revision>
  <dc:title>účetní jednotka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