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FF5" w:rsidRDefault="004639EC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after="120"/>
        <w:jc w:val="center"/>
      </w:pPr>
      <w:r>
        <w:rPr>
          <w:rFonts w:ascii="Arial Narrow" w:hAnsi="Arial Narrow"/>
          <w:b/>
        </w:rPr>
        <w:t>P</w:t>
      </w:r>
      <w:r w:rsidR="002F4ABE">
        <w:rPr>
          <w:rFonts w:ascii="Arial Narrow" w:hAnsi="Arial Narrow"/>
          <w:b/>
        </w:rPr>
        <w:t>OZNÁMKY K ÚČTOVNEJ ZÁVIERKE 2019</w:t>
      </w:r>
    </w:p>
    <w:p w:rsidR="002A1FF5" w:rsidRDefault="004639EC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A1FF5" w:rsidRDefault="004639EC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pre malé účtovné </w:t>
      </w:r>
      <w:r>
        <w:rPr>
          <w:rFonts w:ascii="Arial Narrow" w:hAnsi="Arial Narrow"/>
          <w:b/>
        </w:rPr>
        <w:t>jednotky</w:t>
      </w:r>
      <w:r>
        <w:rPr>
          <w:rFonts w:ascii="Arial Narrow" w:hAnsi="Arial Narrow"/>
        </w:rPr>
        <w:t xml:space="preserve"> </w:t>
      </w:r>
    </w:p>
    <w:p w:rsidR="002A1FF5" w:rsidRDefault="002A1FF5">
      <w:pPr>
        <w:rPr>
          <w:rFonts w:ascii="Arial Narrow" w:hAnsi="Arial Narrow"/>
        </w:rPr>
      </w:pPr>
    </w:p>
    <w:p w:rsidR="002A1FF5" w:rsidRDefault="004639EC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000000"/>
        </w:rPr>
        <w:t>Čl. I </w:t>
      </w:r>
      <w:r>
        <w:rPr>
          <w:rFonts w:ascii="Times New Roman" w:hAnsi="Times New Roman" w:cs="Times New Roman"/>
          <w:b/>
          <w:color w:val="000000"/>
        </w:rPr>
        <w:tab/>
        <w:t>Všeobecné informácie</w:t>
      </w:r>
    </w:p>
    <w:p w:rsidR="002A1FF5" w:rsidRDefault="002A1FF5">
      <w:pPr>
        <w:rPr>
          <w:rFonts w:ascii="Arial Narrow" w:hAnsi="Arial Narrow"/>
        </w:rPr>
      </w:pPr>
    </w:p>
    <w:p w:rsidR="002A1FF5" w:rsidRDefault="004639EC">
      <w:pPr>
        <w:jc w:val="both"/>
      </w:pPr>
      <w:r>
        <w:rPr>
          <w:rFonts w:ascii="Times New Roman" w:hAnsi="Times New Roman" w:cs="Times New Roman"/>
          <w:b/>
        </w:rPr>
        <w:t>I.1</w:t>
      </w:r>
      <w:r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 w:firstRow="1" w:lastRow="0" w:firstColumn="1" w:lastColumn="0" w:noHBand="0" w:noVBand="0"/>
      </w:tblPr>
      <w:tblGrid>
        <w:gridCol w:w="2641"/>
        <w:gridCol w:w="6991"/>
      </w:tblGrid>
      <w:tr w:rsidR="002A1FF5">
        <w:trPr>
          <w:trHeight w:val="231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2A1FF5" w:rsidRDefault="004639EC">
            <w:r>
              <w:t>Obchodné meno: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2A1FF5" w:rsidRDefault="004639EC">
            <w:proofErr w:type="spellStart"/>
            <w:r>
              <w:t>PROFIgips</w:t>
            </w:r>
            <w:proofErr w:type="spellEnd"/>
            <w:r>
              <w:t xml:space="preserve"> s.r.o.</w:t>
            </w:r>
          </w:p>
        </w:tc>
      </w:tr>
      <w:tr w:rsidR="002A1FF5">
        <w:trPr>
          <w:trHeight w:val="249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2A1FF5" w:rsidRDefault="004639EC">
            <w:r>
              <w:t>Sídlo: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2A1FF5" w:rsidRDefault="004639EC">
            <w:r>
              <w:t>013 32  Dlhé Pole 1164</w:t>
            </w:r>
          </w:p>
        </w:tc>
      </w:tr>
      <w:tr w:rsidR="002A1FF5">
        <w:trPr>
          <w:trHeight w:val="125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2A1FF5" w:rsidRDefault="004639EC">
            <w:r>
              <w:t>Právna forma: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2A1FF5" w:rsidRDefault="004639EC">
            <w:r>
              <w:t>s.r.o.</w:t>
            </w:r>
          </w:p>
        </w:tc>
      </w:tr>
      <w:tr w:rsidR="002A1FF5">
        <w:trPr>
          <w:trHeight w:val="143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58" w:type="dxa"/>
            </w:tcMar>
            <w:vAlign w:val="bottom"/>
          </w:tcPr>
          <w:p w:rsidR="002A1FF5" w:rsidRDefault="004639EC">
            <w:r>
              <w:t>Dátum vzniku: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8" w:type="dxa"/>
            </w:tcMar>
            <w:vAlign w:val="bottom"/>
          </w:tcPr>
          <w:p w:rsidR="002A1FF5" w:rsidRDefault="004639EC">
            <w:r>
              <w:t>Zápis do obchodného registra:   10.01.2005</w:t>
            </w:r>
          </w:p>
        </w:tc>
      </w:tr>
      <w:tr w:rsidR="002A1FF5">
        <w:trPr>
          <w:trHeight w:val="175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58" w:type="dxa"/>
            </w:tcMar>
          </w:tcPr>
          <w:p w:rsidR="002A1FF5" w:rsidRDefault="004639EC">
            <w:r>
              <w:t>Hlavný predmet podnikania:</w:t>
            </w:r>
          </w:p>
          <w:p w:rsidR="002A1FF5" w:rsidRDefault="002A1FF5"/>
          <w:p w:rsidR="002A1FF5" w:rsidRDefault="002A1FF5"/>
          <w:p w:rsidR="002A1FF5" w:rsidRDefault="002A1FF5"/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8" w:type="dxa"/>
            </w:tcMar>
          </w:tcPr>
          <w:p w:rsidR="002A1FF5" w:rsidRDefault="004639EC">
            <w:r>
              <w:t xml:space="preserve">montáž sadrokartónu </w:t>
            </w:r>
          </w:p>
          <w:p w:rsidR="002A1FF5" w:rsidRDefault="004639EC">
            <w:r>
              <w:t xml:space="preserve">uskutočňovanie stavieb a ich zmien </w:t>
            </w:r>
          </w:p>
          <w:p w:rsidR="002A1FF5" w:rsidRDefault="004639EC">
            <w:r>
              <w:t xml:space="preserve">maliarske, natieračské a lešenárske práce </w:t>
            </w:r>
          </w:p>
        </w:tc>
      </w:tr>
      <w:tr w:rsidR="002A1FF5">
        <w:trPr>
          <w:trHeight w:val="194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58" w:type="dxa"/>
            </w:tcMar>
            <w:vAlign w:val="bottom"/>
          </w:tcPr>
          <w:p w:rsidR="002A1FF5" w:rsidRDefault="004639EC">
            <w:r>
              <w:t>Účtovné obdobie: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8" w:type="dxa"/>
            </w:tcMar>
            <w:vAlign w:val="bottom"/>
          </w:tcPr>
          <w:p w:rsidR="002A1FF5" w:rsidRDefault="002F4ABE">
            <w:r>
              <w:t>Kalendárny rok 2019</w:t>
            </w:r>
          </w:p>
        </w:tc>
      </w:tr>
    </w:tbl>
    <w:p w:rsidR="002A1FF5" w:rsidRDefault="002A1FF5"/>
    <w:p w:rsidR="002A1FF5" w:rsidRDefault="004639EC">
      <w:r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</w:t>
      </w:r>
      <w:r>
        <w:t>účtovnú závierku podľa metodiky pre túto veľkostnú skupinu (Opatrenie č.MF/23378/2014-74).</w:t>
      </w:r>
    </w:p>
    <w:tbl>
      <w:tblPr>
        <w:tblW w:w="9568" w:type="dxa"/>
        <w:tblInd w:w="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192"/>
        <w:gridCol w:w="3407"/>
        <w:gridCol w:w="3969"/>
      </w:tblGrid>
      <w:tr w:rsidR="002A1FF5"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F4ABE"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2F4ABE">
            <w:pPr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2F4ABE">
            <w:pPr>
              <w:jc w:val="center"/>
            </w:pPr>
            <w:r>
              <w:t>2198857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130E57" w:rsidP="003F2A32">
            <w:pPr>
              <w:jc w:val="center"/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2 558 672</w:t>
            </w:r>
          </w:p>
        </w:tc>
      </w:tr>
      <w:tr w:rsidR="002F4ABE"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2F4ABE">
            <w:pPr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130E57">
            <w:pPr>
              <w:jc w:val="center"/>
            </w:pPr>
            <w:r>
              <w:t>2991072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2F4ABE" w:rsidP="003F2A32">
            <w:pPr>
              <w:jc w:val="center"/>
            </w:pPr>
            <w:r>
              <w:rPr>
                <w:bCs/>
              </w:rPr>
              <w:t>4820442</w:t>
            </w:r>
          </w:p>
        </w:tc>
      </w:tr>
      <w:tr w:rsidR="002F4ABE"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2F4ABE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počet zamestnancov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2F4ABE">
            <w:pPr>
              <w:jc w:val="center"/>
            </w:pPr>
            <w:r>
              <w:t>2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F4ABE" w:rsidRDefault="002F4ABE" w:rsidP="003F2A32">
            <w:pPr>
              <w:jc w:val="center"/>
            </w:pPr>
            <w:r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:rsidR="002A1FF5" w:rsidRDefault="002A1FF5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1FF5" w:rsidRDefault="002A1FF5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1FF5" w:rsidRDefault="002A1FF5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1FF5" w:rsidRDefault="004639E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2A1FF5" w:rsidRDefault="004639EC">
      <w:pPr>
        <w:jc w:val="both"/>
      </w:pPr>
      <w:r>
        <w:rPr>
          <w:rFonts w:ascii="Arial Narrow" w:hAnsi="Arial Narrow" w:cs="Arial Narrow"/>
        </w:rPr>
        <w:t xml:space="preserve">           </w:t>
      </w:r>
      <w:r w:rsidR="002F4ABE">
        <w:rPr>
          <w:rFonts w:ascii="Arial Narrow" w:hAnsi="Arial Narrow" w:cs="Arial Narrow"/>
        </w:rPr>
        <w:t xml:space="preserve">   účtovná závierka k 31.12.2018</w:t>
      </w:r>
      <w:r>
        <w:rPr>
          <w:rFonts w:ascii="Arial Narrow" w:hAnsi="Arial Narrow" w:cs="Arial Narrow"/>
        </w:rPr>
        <w:t xml:space="preserve"> bola schválená </w:t>
      </w:r>
      <w:r w:rsidR="00130E57">
        <w:rPr>
          <w:rFonts w:ascii="Arial Narrow" w:hAnsi="Arial Narrow" w:cs="Arial Narrow"/>
        </w:rPr>
        <w:t>29.3.2019.</w:t>
      </w:r>
    </w:p>
    <w:p w:rsidR="002A1FF5" w:rsidRDefault="002A1F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A1FF5" w:rsidRDefault="002A1F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A1FF5" w:rsidRDefault="002A1F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A1FF5" w:rsidRDefault="004639E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2A1FF5" w:rsidRDefault="004639EC">
      <w:pPr>
        <w:jc w:val="both"/>
      </w:pPr>
      <w:r>
        <w:rPr>
          <w:rFonts w:ascii="Arial Narrow" w:hAnsi="Arial Narrow" w:cs="Arial Narrow"/>
        </w:rPr>
        <w:t xml:space="preserve">                </w:t>
      </w:r>
      <w:r w:rsidR="002F4ABE">
        <w:rPr>
          <w:rFonts w:ascii="Arial Narrow" w:hAnsi="Arial Narrow" w:cs="Arial Narrow"/>
        </w:rPr>
        <w:t>k 31.12.2019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2F4ABE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2A1FF5" w:rsidRDefault="004639EC">
      <w:pPr>
        <w:jc w:val="both"/>
      </w:pPr>
      <w:r>
        <w:rPr>
          <w:rFonts w:ascii="Times New Roman" w:hAnsi="Times New Roman" w:cs="Times New Roman"/>
          <w:b/>
        </w:rPr>
        <w:t xml:space="preserve">             </w:t>
      </w:r>
      <w:r w:rsidR="002F4ABE">
        <w:rPr>
          <w:rFonts w:ascii="Arial Narrow" w:hAnsi="Arial Narrow" w:cs="Arial Narrow"/>
        </w:rPr>
        <w:t>31.12.2019</w:t>
      </w:r>
      <w:r>
        <w:rPr>
          <w:rFonts w:ascii="Arial Narrow" w:hAnsi="Arial Narrow" w:cs="Arial Narrow"/>
        </w:rPr>
        <w:t>.</w:t>
      </w:r>
    </w:p>
    <w:p w:rsidR="002A1FF5" w:rsidRDefault="002A1FF5">
      <w:pPr>
        <w:jc w:val="both"/>
        <w:rPr>
          <w:rFonts w:ascii="Times New Roman" w:hAnsi="Times New Roman" w:cs="Times New Roman"/>
          <w:b/>
        </w:rPr>
      </w:pPr>
    </w:p>
    <w:p w:rsidR="002A1FF5" w:rsidRDefault="004639EC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 xml:space="preserve">Informácie o skupine účtovných jednotiek, ak je účtovná jednotka jej súčasťou: </w:t>
      </w:r>
    </w:p>
    <w:p w:rsidR="002A1FF5" w:rsidRDefault="004639E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nie je súčasťou </w:t>
      </w:r>
      <w:r>
        <w:rPr>
          <w:rFonts w:ascii="Times New Roman" w:hAnsi="Times New Roman" w:cs="Times New Roman"/>
        </w:rPr>
        <w:t>žiadnej skupiny.</w:t>
      </w: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2A1FF5" w:rsidRDefault="004639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p w:rsidR="002A1FF5" w:rsidRDefault="004639EC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89535" distR="89535" simplePos="0" relativeHeight="2" behindDoc="0" locked="0" layoutInCell="1" allowOverlap="1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3280" cy="1059180"/>
                <wp:effectExtent l="0" t="0" r="0" b="0"/>
                <wp:wrapSquare wrapText="bothSides"/>
                <wp:docPr id="1" name="Rámec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272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W w:w="9324" w:type="dxa"/>
                              <w:tblInd w:w="16" w:type="dxa"/>
                              <w:tblCellMar>
                                <w:left w:w="-6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 w:rsidR="002A1FF5"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</w:tcBorders>
                                  <w:shd w:val="clear" w:color="auto" w:fill="auto"/>
                                  <w:tcMar>
                                    <w:left w:w="-6" w:type="dxa"/>
                                  </w:tcMar>
                                  <w:vAlign w:val="center"/>
                                </w:tcPr>
                                <w:p w:rsidR="002A1FF5" w:rsidRDefault="004639EC">
                                  <w:pPr>
                                    <w:spacing w:after="0" w:line="240" w:lineRule="auto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</w:tcBorders>
                                  <w:shd w:val="clear" w:color="auto" w:fill="auto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 w:rsidR="002A1FF5" w:rsidRDefault="004639EC">
                                  <w:pPr>
                                    <w:spacing w:after="0" w:line="240" w:lineRule="auto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</w:tcBorders>
                                  <w:shd w:val="clear" w:color="auto" w:fill="auto"/>
                                  <w:tcMar>
                                    <w:left w:w="33" w:type="dxa"/>
                                  </w:tcMar>
                                </w:tcPr>
                                <w:p w:rsidR="002A1FF5" w:rsidRDefault="004639EC">
                                  <w:pPr>
                                    <w:spacing w:after="0" w:line="240" w:lineRule="auto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 w:rsidR="002A1FF5">
                              <w:trPr>
                                <w:trHeight w:val="454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</w:tcBorders>
                                  <w:shd w:val="clear" w:color="auto" w:fill="auto"/>
                                  <w:tcMar>
                                    <w:left w:w="-6" w:type="dxa"/>
                                  </w:tcMar>
                                </w:tcPr>
                                <w:p w:rsidR="002A1FF5" w:rsidRDefault="004639EC">
                                  <w:pPr>
                                    <w:spacing w:after="0" w:line="240" w:lineRule="auto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</w:tcBorders>
                                  <w:shd w:val="clear" w:color="auto" w:fill="auto"/>
                                  <w:tcMar>
                                    <w:left w:w="33" w:type="dxa"/>
                                  </w:tcMar>
                                </w:tcPr>
                                <w:p w:rsidR="002A1FF5" w:rsidRDefault="004639EC">
                                  <w:pPr>
                                    <w:spacing w:after="0" w:line="240" w:lineRule="auto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</w:tcBorders>
                                  <w:shd w:val="clear" w:color="auto" w:fill="auto"/>
                                  <w:tcMar>
                                    <w:left w:w="33" w:type="dxa"/>
                                  </w:tcMar>
                                </w:tcPr>
                                <w:p w:rsidR="002A1FF5" w:rsidRDefault="004639EC">
                                  <w:pPr>
                                    <w:spacing w:after="0" w:line="240" w:lineRule="auto"/>
                                    <w:jc w:val="center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2A1FF5" w:rsidRDefault="002A1FF5">
                            <w:pPr>
                              <w:pStyle w:val="Obsahrmca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ámec1" o:spid="_x0000_s1026" style="position:absolute;left:0;text-align:left;margin-left:-6.5pt;margin-top:3.65pt;width:466.4pt;height:83.4pt;z-index:2;visibility:visible;mso-wrap-style:square;mso-wrap-distance-left:7.05pt;mso-wrap-distance-top:0;mso-wrap-distance-right:7.05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" filled="f" stroked="f">
                <v:textbox style="mso-fit-shape-to-text:t" inset="0,0,0,0">
                  <w:txbxContent>
                    <w:tbl>
                      <w:tblPr>
                        <w:tblStyle w:val="Mriekatabuky"/>
                        <w:tblW w:w="9324" w:type="dxa"/>
                        <w:tblInd w:w="16" w:type="dxa"/>
                        <w:tblCellMar>
                          <w:left w:w="-6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 w:rsidR="002A1FF5"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</w:tcBorders>
                            <w:shd w:val="clear" w:color="auto" w:fill="auto"/>
                            <w:tcMar>
                              <w:left w:w="-6" w:type="dxa"/>
                            </w:tcMar>
                            <w:vAlign w:val="center"/>
                          </w:tcPr>
                          <w:p w:rsidR="002A1FF5" w:rsidRDefault="004639E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</w:tcBorders>
                            <w:shd w:val="clear" w:color="auto" w:fill="auto"/>
                            <w:tcMar>
                              <w:left w:w="33" w:type="dxa"/>
                            </w:tcMar>
                            <w:vAlign w:val="center"/>
                          </w:tcPr>
                          <w:p w:rsidR="002A1FF5" w:rsidRDefault="004639E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</w:tcBorders>
                            <w:shd w:val="clear" w:color="auto" w:fill="auto"/>
                            <w:tcMar>
                              <w:left w:w="33" w:type="dxa"/>
                            </w:tcMar>
                          </w:tcPr>
                          <w:p w:rsidR="002A1FF5" w:rsidRDefault="004639E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 w:rsidR="002A1FF5">
                        <w:trPr>
                          <w:trHeight w:val="454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</w:tcBorders>
                            <w:shd w:val="clear" w:color="auto" w:fill="auto"/>
                            <w:tcMar>
                              <w:left w:w="-6" w:type="dxa"/>
                            </w:tcMar>
                          </w:tcPr>
                          <w:p w:rsidR="002A1FF5" w:rsidRDefault="004639EC">
                            <w:pPr>
                              <w:spacing w:after="0" w:line="240" w:lineRule="auto"/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</w:tcBorders>
                            <w:shd w:val="clear" w:color="auto" w:fill="auto"/>
                            <w:tcMar>
                              <w:left w:w="33" w:type="dxa"/>
                            </w:tcMar>
                          </w:tcPr>
                          <w:p w:rsidR="002A1FF5" w:rsidRDefault="004639E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</w:tcBorders>
                            <w:shd w:val="clear" w:color="auto" w:fill="auto"/>
                            <w:tcMar>
                              <w:left w:w="33" w:type="dxa"/>
                            </w:tcMar>
                          </w:tcPr>
                          <w:p w:rsidR="002A1FF5" w:rsidRDefault="004639EC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2A1FF5" w:rsidRDefault="002A1FF5">
                      <w:pPr>
                        <w:pStyle w:val="Obsahrmca"/>
                        <w:rPr>
                          <w:color w:val="00000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:rsidR="002A1FF5" w:rsidRDefault="004639EC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000000"/>
        </w:rPr>
        <w:t>Čl. II</w:t>
      </w:r>
      <w:r>
        <w:rPr>
          <w:rFonts w:ascii="Times New Roman" w:hAnsi="Times New Roman" w:cs="Times New Roman"/>
          <w:b/>
          <w:color w:val="000000"/>
        </w:rPr>
        <w:tab/>
        <w:t>Informácie o orgánoch spoločnosti</w:t>
      </w:r>
    </w:p>
    <w:p w:rsidR="002A1FF5" w:rsidRDefault="002A1FF5">
      <w:pPr>
        <w:spacing w:after="120"/>
        <w:jc w:val="both"/>
        <w:rPr>
          <w:rFonts w:ascii="Times New Roman" w:hAnsi="Times New Roman" w:cs="Times New Roman"/>
          <w:b/>
          <w:color w:val="000000"/>
        </w:rPr>
      </w:pPr>
    </w:p>
    <w:p w:rsidR="002A1FF5" w:rsidRDefault="004639EC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color w:val="000000"/>
        </w:rPr>
        <w:t>II.1</w:t>
      </w:r>
      <w:r>
        <w:rPr>
          <w:rFonts w:ascii="Times New Roman" w:hAnsi="Times New Roman" w:cs="Times New Roman"/>
          <w:b/>
          <w:color w:val="000000"/>
        </w:rPr>
        <w:tab/>
        <w:t>Informácie o orgánoch účtovnej jednotky</w:t>
      </w:r>
      <w:r>
        <w:rPr>
          <w:rFonts w:ascii="Arial Narrow" w:hAnsi="Arial Narrow" w:cs="Arial Narrow"/>
          <w:bCs/>
          <w:color w:val="000000"/>
        </w:rPr>
        <w:t xml:space="preserve">– </w:t>
      </w:r>
      <w:r>
        <w:rPr>
          <w:rFonts w:ascii="Times New Roman" w:hAnsi="Times New Roman" w:cs="Times New Roman"/>
          <w:bCs/>
          <w:color w:val="000000"/>
        </w:rPr>
        <w:t>pre členov štatutárneho orgánu neboli poskytnuté    .           žiadne záruky, žiadne zabezpečenia, pôžičky.</w:t>
      </w:r>
    </w:p>
    <w:p w:rsidR="002A1FF5" w:rsidRDefault="002A1FF5">
      <w:pPr>
        <w:spacing w:after="120"/>
        <w:jc w:val="both"/>
        <w:rPr>
          <w:rFonts w:ascii="Times New Roman" w:hAnsi="Times New Roman" w:cs="Times New Roman"/>
          <w:bCs/>
          <w:color w:val="000000"/>
        </w:rPr>
      </w:pPr>
    </w:p>
    <w:p w:rsidR="002A1FF5" w:rsidRDefault="004639EC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000000"/>
        </w:rPr>
        <w:t>Čl. III</w:t>
      </w:r>
      <w:r>
        <w:rPr>
          <w:rFonts w:ascii="Times New Roman" w:hAnsi="Times New Roman" w:cs="Times New Roman"/>
          <w:b/>
          <w:color w:val="000000"/>
        </w:rPr>
        <w:tab/>
        <w:t>Informácie o prijatých postupoch</w:t>
      </w:r>
    </w:p>
    <w:p w:rsidR="002A1FF5" w:rsidRDefault="004639E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000000"/>
          <w:szCs w:val="24"/>
        </w:rPr>
        <w:t>III. 1</w:t>
      </w:r>
      <w:r>
        <w:rPr>
          <w:rFonts w:ascii="Times New Roman" w:hAnsi="Times New Roman" w:cs="Times New Roman"/>
          <w:b/>
          <w:color w:val="000000"/>
          <w:szCs w:val="24"/>
        </w:rPr>
        <w:tab/>
        <w:t>Účtovná jednotka bude nepretržite pokračovať</w:t>
      </w:r>
      <w:r>
        <w:rPr>
          <w:rFonts w:ascii="Times New Roman" w:hAnsi="Times New Roman" w:cs="Times New Roman"/>
          <w:b/>
          <w:szCs w:val="24"/>
        </w:rPr>
        <w:t xml:space="preserve"> vo svoj</w:t>
      </w:r>
      <w:r>
        <w:rPr>
          <w:rFonts w:ascii="Times New Roman" w:hAnsi="Times New Roman" w:cs="Times New Roman"/>
          <w:b/>
          <w:szCs w:val="24"/>
        </w:rPr>
        <w:t>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Times New Roman" w:hAnsi="Times New Roman" w:cs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</w:t>
      </w:r>
      <w:r>
        <w:rPr>
          <w:rFonts w:ascii="Times New Roman" w:hAnsi="Times New Roman" w:cs="Times New Roman"/>
        </w:rPr>
        <w:t> rámcovej účtovej osnove pre podnikateľov v znení neskorších predpisov. Menou pre vykazovanie je EUR.</w:t>
      </w:r>
    </w:p>
    <w:p w:rsidR="002A1FF5" w:rsidRDefault="004639EC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</w:t>
      </w:r>
      <w:r>
        <w:rPr>
          <w:rFonts w:ascii="Times New Roman" w:hAnsi="Times New Roman" w:cs="Times New Roman"/>
        </w:rPr>
        <w:t xml:space="preserve"> svoje aktíva, záväzky a dohody v rámci riadneho chodu svojej činnosti</w:t>
      </w:r>
      <w:r>
        <w:rPr>
          <w:rFonts w:ascii="Arial Narrow" w:hAnsi="Arial Narrow"/>
        </w:rPr>
        <w:t>.</w:t>
      </w:r>
    </w:p>
    <w:p w:rsidR="002A1FF5" w:rsidRDefault="004639EC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2A1FF5" w:rsidRDefault="004639E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>
        <w:rPr>
          <w:rFonts w:ascii="Times New Roman" w:hAnsi="Times New Roman" w:cs="Times New Roman"/>
        </w:rPr>
        <w:t xml:space="preserve">ÚJ 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 </w:t>
      </w:r>
      <w:r w:rsidR="00130E57">
        <w:rPr>
          <w:rFonts w:ascii="Times New Roman" w:hAnsi="Times New Roman" w:cs="Times New Roman"/>
        </w:rPr>
        <w:t xml:space="preserve">o nákladoch a výnosoch </w:t>
      </w:r>
      <w:r>
        <w:rPr>
          <w:rFonts w:ascii="Times New Roman" w:hAnsi="Times New Roman" w:cs="Times New Roman"/>
        </w:rPr>
        <w:t xml:space="preserve"> v momente, keď sú plnené</w:t>
      </w:r>
      <w:r>
        <w:rPr>
          <w:rFonts w:ascii="Times New Roman" w:hAnsi="Times New Roman" w:cs="Times New Roman"/>
        </w:rPr>
        <w:t xml:space="preserve">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</w:t>
      </w:r>
      <w:r>
        <w:rPr>
          <w:rFonts w:ascii="Times New Roman" w:hAnsi="Times New Roman" w:cs="Times New Roman"/>
        </w:rPr>
        <w:t>dzajú z platnej legislatívy.</w:t>
      </w:r>
    </w:p>
    <w:p w:rsidR="002A1FF5" w:rsidRDefault="002A1FF5">
      <w:pPr>
        <w:jc w:val="both"/>
        <w:rPr>
          <w:rFonts w:ascii="Arial Narrow" w:hAnsi="Arial Narrow" w:cs="Arial Narrow"/>
        </w:rPr>
      </w:pPr>
    </w:p>
    <w:p w:rsidR="002A1FF5" w:rsidRDefault="004639E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charaktere a účele transakcií, ktoré sa neuvádzajú v súvahe: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ania jednotlivých zložiek majetku a záväzkov:</w:t>
      </w:r>
    </w:p>
    <w:p w:rsidR="002A1FF5" w:rsidRDefault="002A1FF5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2A1FF5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interne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nehmotný maj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hodnota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2A1FF5"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2A1FF5" w:rsidRDefault="004639EC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2A1FF5" w:rsidRDefault="002A1FF5">
      <w:pPr>
        <w:spacing w:line="240" w:lineRule="auto"/>
        <w:jc w:val="both"/>
        <w:rPr>
          <w:rFonts w:ascii="Times New Roman" w:hAnsi="Times New Roman" w:cs="Times New Roman"/>
        </w:rPr>
      </w:pPr>
    </w:p>
    <w:p w:rsidR="002A1FF5" w:rsidRDefault="004639E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 w:rsidR="002A1FF5" w:rsidRDefault="004639EC">
      <w:pPr>
        <w:pStyle w:val="Bezriadkovania"/>
      </w:pPr>
      <w:r>
        <w:t>Spoločnosť tvorila opravné položky k pohľadávkam</w:t>
      </w:r>
      <w:r>
        <w:t xml:space="preserve">, u ktorých je opodstatnené predpokladať, že ju </w:t>
      </w:r>
    </w:p>
    <w:p w:rsidR="002A1FF5" w:rsidRDefault="004639EC">
      <w:pPr>
        <w:pStyle w:val="Bezriadkovania"/>
      </w:pPr>
      <w:r>
        <w:t>dlžník úplne alebo čiastočne nezaplatí a k spornej pohľadávke voči dlžníkovi, s ktorým sa vedie spor o jej uznanie. Celková hodnota opravných pol</w:t>
      </w:r>
      <w:r w:rsidR="002F4ABE">
        <w:t>ožiek k pohľadávkam k 31.12.2019 predstavuje      1.500</w:t>
      </w:r>
      <w:r>
        <w:t>,-     €.</w:t>
      </w:r>
    </w:p>
    <w:p w:rsidR="002A1FF5" w:rsidRDefault="004639EC">
      <w:pPr>
        <w:pStyle w:val="Bezriadkovania"/>
      </w:pPr>
      <w:r>
        <w:t>N</w:t>
      </w:r>
      <w:r>
        <w:t>euhradené pohľadávky z obchodného styku ku koncu rok</w:t>
      </w:r>
      <w:r w:rsidR="002F4ABE">
        <w:t>u sú v celkovej výške  1.048.490,11</w:t>
      </w:r>
      <w:r>
        <w:t xml:space="preserve">       €.</w:t>
      </w:r>
    </w:p>
    <w:p w:rsidR="002A1FF5" w:rsidRDefault="004639EC">
      <w:pPr>
        <w:pStyle w:val="Bezriadkovania"/>
      </w:pPr>
      <w:r>
        <w:t xml:space="preserve"> </w:t>
      </w:r>
    </w:p>
    <w:tbl>
      <w:tblPr>
        <w:tblW w:w="9568" w:type="dxa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2A1FF5">
        <w:trPr>
          <w:trHeight w:val="735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2A1FF5">
        <w:trPr>
          <w:trHeight w:val="390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4639EC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Pohľadávky za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staveb.práce</w:t>
            </w:r>
            <w:proofErr w:type="spellEnd"/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bottom"/>
          </w:tcPr>
          <w:p w:rsidR="002A1FF5" w:rsidRDefault="002F4ABE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5C56E9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500,-</w:t>
            </w:r>
          </w:p>
        </w:tc>
      </w:tr>
      <w:tr w:rsidR="002A1FF5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4639E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bottom"/>
          </w:tcPr>
          <w:p w:rsidR="002A1FF5" w:rsidRDefault="002A1FF5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1FF5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4639E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bottom"/>
          </w:tcPr>
          <w:p w:rsidR="002A1FF5" w:rsidRDefault="002A1FF5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4639E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 w:rsidR="002A1FF5" w:rsidRDefault="004639EC">
      <w:pPr>
        <w:pStyle w:val="Bezriadkovania"/>
      </w:pPr>
      <w:r>
        <w:t>Spoločnosť tvorila krátkodobé rezervy, kde pred</w:t>
      </w:r>
      <w:r>
        <w:t>pokladaná doba plnenia príslušného záväzku je najviac</w:t>
      </w:r>
    </w:p>
    <w:p w:rsidR="002A1FF5" w:rsidRDefault="004639EC">
      <w:pPr>
        <w:pStyle w:val="Bezriadkovania"/>
      </w:pPr>
      <w:r>
        <w:t xml:space="preserve">jeden rok. </w:t>
      </w:r>
    </w:p>
    <w:p w:rsidR="002A1FF5" w:rsidRDefault="002A1FF5">
      <w:pPr>
        <w:pStyle w:val="Bezriadkovania"/>
      </w:pPr>
    </w:p>
    <w:tbl>
      <w:tblPr>
        <w:tblW w:w="9341" w:type="dxa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5883"/>
        <w:gridCol w:w="3458"/>
      </w:tblGrid>
      <w:tr w:rsidR="002A1FF5">
        <w:trPr>
          <w:trHeight w:val="390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2A1FF5">
        <w:trPr>
          <w:trHeight w:val="390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4639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</w:t>
            </w:r>
            <w:r w:rsidR="005C56E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ezerva na audit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5C56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2.500,-</w:t>
            </w:r>
          </w:p>
        </w:tc>
      </w:tr>
      <w:tr w:rsidR="002A1FF5">
        <w:trPr>
          <w:trHeight w:val="390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4639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686B1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2.503,-</w:t>
            </w:r>
            <w:bookmarkStart w:id="0" w:name="_GoBack"/>
            <w:bookmarkEnd w:id="0"/>
          </w:p>
        </w:tc>
      </w:tr>
      <w:tr w:rsidR="002A1FF5">
        <w:trPr>
          <w:trHeight w:val="390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4639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Rezerva na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0  </w:t>
            </w:r>
          </w:p>
        </w:tc>
      </w:tr>
    </w:tbl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 w:rsidR="002A1FF5" w:rsidRDefault="002A1FF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333"/>
        <w:gridCol w:w="2126"/>
        <w:gridCol w:w="1556"/>
        <w:gridCol w:w="2269"/>
      </w:tblGrid>
      <w:tr w:rsidR="002A1FF5">
        <w:trPr>
          <w:trHeight w:val="1870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2A1FF5">
        <w:trPr>
          <w:trHeight w:val="390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2A1F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2A1F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2A1F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4639EC">
      <w:pPr>
        <w:pStyle w:val="Bezriadkovania"/>
        <w:rPr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 w:rsidR="002A1FF5" w:rsidRDefault="004639E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FF5" w:rsidRDefault="004639E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 w:rsidR="002A1FF5" w:rsidRDefault="002A1FF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2A1FF5" w:rsidRDefault="004639E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Spôsob zostavenia účtovného odpisového plánu</w:t>
      </w:r>
      <w:r>
        <w:rPr>
          <w:rFonts w:ascii="Times New Roman" w:hAnsi="Times New Roman" w:cs="Times New Roman"/>
          <w:szCs w:val="24"/>
        </w:rPr>
        <w:t xml:space="preserve">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tblInd w:w="-35" w:type="dxa"/>
        <w:tblCellMar>
          <w:left w:w="7" w:type="dxa"/>
        </w:tblCellMar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2A1FF5"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2A1FF5">
        <w:trPr>
          <w:trHeight w:val="340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" w:type="dxa"/>
            </w:tcMar>
          </w:tcPr>
          <w:p w:rsidR="002A1FF5" w:rsidRDefault="004639EC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2A1FF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" w:type="dxa"/>
            </w:tcMar>
          </w:tcPr>
          <w:p w:rsidR="002A1FF5" w:rsidRDefault="004639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A1FF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" w:type="dxa"/>
            </w:tcMar>
          </w:tcPr>
          <w:p w:rsidR="002A1FF5" w:rsidRDefault="004639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2A1FF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" w:type="dxa"/>
            </w:tcMar>
          </w:tcPr>
          <w:p w:rsidR="002A1FF5" w:rsidRDefault="004639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130E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130E5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2A1FF5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" w:type="dxa"/>
            </w:tcMar>
          </w:tcPr>
          <w:p w:rsidR="002A1FF5" w:rsidRDefault="004639E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7" w:type="dxa"/>
            </w:tcMar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2A1FF5" w:rsidRDefault="002A1FF5">
      <w:pPr>
        <w:spacing w:after="120" w:line="240" w:lineRule="auto"/>
        <w:jc w:val="both"/>
        <w:rPr>
          <w:rFonts w:ascii="Arial Narrow" w:hAnsi="Arial Narrow" w:cs="Arial Narrow"/>
        </w:rPr>
      </w:pPr>
    </w:p>
    <w:p w:rsidR="002A1FF5" w:rsidRDefault="004639EC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ÚJ používa účtovné odpisy nezávisle na daňových odpisov. Majetok sa začína odpisovať v mesiaci, kedy bol zaradený do užívania. Účtovné odpisy vychádzajú z predpokladanej doby používania majetku. </w:t>
      </w:r>
      <w:r>
        <w:rPr>
          <w:rFonts w:ascii="Times New Roman" w:hAnsi="Times New Roman" w:cs="Times New Roman"/>
        </w:rPr>
        <w:t>Dlhodobý nehmotný majetok sa odpisuje počas 4 rokov od jeho obstarania.</w:t>
      </w:r>
    </w:p>
    <w:p w:rsidR="002A1FF5" w:rsidRDefault="004639EC">
      <w:pPr>
        <w:numPr>
          <w:ilvl w:val="0"/>
          <w:numId w:val="1"/>
        </w:numPr>
        <w:spacing w:after="120" w:line="240" w:lineRule="auto"/>
        <w:ind w:left="227" w:hanging="227"/>
        <w:jc w:val="both"/>
      </w:pPr>
      <w:r>
        <w:rPr>
          <w:rFonts w:ascii="Times New Roman" w:hAnsi="Times New Roman" w:cs="Times New Roman"/>
        </w:rPr>
        <w:t>ÚJ používa rovnomerné odpisovanie dlhodobého hmotného majetku a dlhodobého nehmotného majetku. Podrobný účtovný odpisový plán po položkách sa vedie v podsystéme DHM s podporou softvéru</w:t>
      </w:r>
      <w:r>
        <w:rPr>
          <w:rFonts w:ascii="Times New Roman" w:hAnsi="Times New Roman" w:cs="Times New Roman"/>
        </w:rPr>
        <w:t xml:space="preserve">  OMEGA – Kros a.s. (taktiež daňové odpisy podľa zákona o dani z príjmov).</w:t>
      </w:r>
    </w:p>
    <w:p w:rsidR="002A1FF5" w:rsidRDefault="004639EC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Dotácie poskytnuté na obstaranie majetku: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2A1FF5" w:rsidRDefault="002A1FF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line="240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 nevýznamných chýb minulých účtovn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ých období vykonaných v bežnom účtovnom období: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2A1FF5" w:rsidRDefault="004639EC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000000"/>
          <w:szCs w:val="24"/>
        </w:rPr>
        <w:t>Čl. IV</w:t>
      </w:r>
      <w:r>
        <w:rPr>
          <w:rFonts w:ascii="Times New Roman" w:hAnsi="Times New Roman" w:cs="Times New Roman"/>
          <w:b/>
          <w:color w:val="000000"/>
          <w:szCs w:val="24"/>
        </w:rPr>
        <w:tab/>
        <w:t>Informácie, ktoré vysvetľujú a dopĺňajú súvahu a  výkaz ziskov a strát</w:t>
      </w: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čnosť nevykazuje záväzky so zostatkovou dobou splatnosti viac ako 5 rokov.</w:t>
      </w: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ložným právom: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záložné právo k majetku.</w:t>
      </w: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893"/>
        <w:gridCol w:w="2602"/>
        <w:gridCol w:w="2861"/>
      </w:tblGrid>
      <w:tr w:rsidR="002A1FF5">
        <w:trPr>
          <w:trHeight w:val="975"/>
        </w:trPr>
        <w:tc>
          <w:tcPr>
            <w:tcW w:w="389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6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230</w:t>
            </w: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130E57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2991072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4820212</w:t>
            </w: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C56E9" w:rsidTr="005C56E9">
        <w:trPr>
          <w:trHeight w:val="381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  <w:r w:rsidR="00130E57">
              <w:rPr>
                <w:rFonts w:ascii="Times New Roman" w:eastAsia="Times New Roman" w:hAnsi="Times New Roman" w:cs="Times New Roman"/>
                <w:lang w:eastAsia="sk-SK"/>
              </w:rPr>
              <w:t xml:space="preserve"> a      materiálu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13852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4158</w:t>
            </w:r>
          </w:p>
        </w:tc>
      </w:tr>
      <w:tr w:rsidR="005C56E9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216658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8781</w:t>
            </w:r>
          </w:p>
        </w:tc>
      </w:tr>
      <w:tr w:rsidR="002A1FF5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1FF5">
        <w:trPr>
          <w:trHeight w:val="330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Ind w:w="-8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2A1FF5">
        <w:trPr>
          <w:trHeight w:val="694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ádzajúce účtovné obdobie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B560E7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6150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  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475196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1159144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474729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1159144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2504558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3360008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kooperačné práce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2428749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3230880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38745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 w:rsidP="005C56E9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priestorov, nástroje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28023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47786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strojov, aut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9041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6821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70959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96137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33997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45968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1538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33204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45322</w:t>
            </w:r>
          </w:p>
        </w:tc>
      </w:tr>
      <w:tr w:rsidR="005C56E9">
        <w:trPr>
          <w:trHeight w:val="330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5C56E9" w:rsidRDefault="005C56E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2604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C56E9" w:rsidRDefault="005C56E9" w:rsidP="003F2A32">
            <w:pPr>
              <w:spacing w:after="0" w:line="240" w:lineRule="auto"/>
              <w:ind w:firstLine="660"/>
              <w:jc w:val="center"/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3309</w:t>
            </w:r>
          </w:p>
        </w:tc>
      </w:tr>
    </w:tbl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000000"/>
          <w:szCs w:val="24"/>
        </w:rPr>
        <w:t>Čl. V</w:t>
      </w:r>
      <w:r>
        <w:rPr>
          <w:rFonts w:ascii="Times New Roman" w:hAnsi="Times New Roman" w:cs="Times New Roman"/>
          <w:b/>
          <w:color w:val="000000"/>
          <w:szCs w:val="24"/>
        </w:rPr>
        <w:tab/>
        <w:t>Informácie o iných aktívach a iných pasívach</w:t>
      </w:r>
    </w:p>
    <w:p w:rsidR="002A1FF5" w:rsidRDefault="002A1FF5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/>
          <w:szCs w:val="24"/>
        </w:rPr>
      </w:pP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podmienenom majetku: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iné aktíva a pasíva okrem tých, ktoré sú uve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dené v súvahe. </w:t>
      </w:r>
    </w:p>
    <w:p w:rsidR="002A1FF5" w:rsidRDefault="002A1FF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ienených záväzkoch: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2A1FF5" w:rsidRDefault="002A1FF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Ind w:w="-89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2651"/>
        <w:gridCol w:w="2552"/>
      </w:tblGrid>
      <w:tr w:rsidR="002A1FF5">
        <w:trPr>
          <w:trHeight w:val="330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4639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A1FF5">
        <w:trPr>
          <w:trHeight w:val="144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2A1FF5">
        <w:trPr>
          <w:trHeight w:val="15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2A1FF5">
        <w:trPr>
          <w:trHeight w:val="186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4639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2A1FF5">
        <w:trPr>
          <w:trHeight w:val="138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2A1FF5" w:rsidRDefault="002A1F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17" w:type="dxa"/>
            </w:tcMar>
            <w:vAlign w:val="center"/>
          </w:tcPr>
          <w:p w:rsidR="002A1FF5" w:rsidRDefault="002A1FF5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4639E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000000"/>
          <w:szCs w:val="24"/>
        </w:rPr>
        <w:t>Čl. VI</w:t>
      </w:r>
      <w:r>
        <w:rPr>
          <w:rFonts w:ascii="Times New Roman" w:hAnsi="Times New Roman" w:cs="Times New Roman"/>
          <w:b/>
          <w:color w:val="000000"/>
          <w:szCs w:val="24"/>
        </w:rPr>
        <w:tab/>
        <w:t> Udalosti, ktoré nastali po dni, ku ktorému sa zostavuje účtovná závierka</w:t>
      </w:r>
    </w:p>
    <w:p w:rsidR="00052C3D" w:rsidRDefault="004639EC" w:rsidP="00052C3D">
      <w:pPr>
        <w:pStyle w:val="Bezriadkovania"/>
        <w:rPr>
          <w:rFonts w:ascii="Times New Roman" w:hAnsi="Times New Roman" w:cs="Times New Roman"/>
          <w:color w:val="222222"/>
          <w:shd w:val="clear" w:color="auto" w:fill="FFFFFF"/>
        </w:rPr>
      </w:pPr>
      <w:r>
        <w:rPr>
          <w:b/>
          <w:color w:val="000000"/>
        </w:rPr>
        <w:t xml:space="preserve">VI.  </w:t>
      </w:r>
      <w:r>
        <w:rPr>
          <w:b/>
          <w:color w:val="000000"/>
        </w:rPr>
        <w:t xml:space="preserve">         </w:t>
      </w:r>
      <w:r w:rsidR="00052C3D" w:rsidRPr="00052C3D">
        <w:rPr>
          <w:rFonts w:ascii="Times New Roman" w:hAnsi="Times New Roman" w:cs="Times New Roman"/>
          <w:color w:val="222222"/>
          <w:shd w:val="clear" w:color="auto" w:fill="FFFFFF"/>
        </w:rPr>
        <w:t>V nadväznosti na aktuálnu mimoriadnu situáciu, ktorá bola vyvolaná</w:t>
      </w:r>
      <w:r w:rsidR="00052C3D" w:rsidRPr="00052C3D">
        <w:rPr>
          <w:rFonts w:ascii="Times New Roman" w:hAnsi="Times New Roman" w:cs="Times New Roman"/>
          <w:color w:val="222222"/>
        </w:rPr>
        <w:br/>
      </w:r>
      <w:r w:rsidR="00052C3D" w:rsidRPr="00052C3D">
        <w:rPr>
          <w:rFonts w:ascii="Times New Roman" w:hAnsi="Times New Roman" w:cs="Times New Roman"/>
          <w:color w:val="222222"/>
          <w:shd w:val="clear" w:color="auto" w:fill="FFFFFF"/>
        </w:rPr>
        <w:t xml:space="preserve">vírusom COVID19  </w:t>
      </w:r>
      <w:r w:rsidR="00052C3D" w:rsidRPr="00052C3D">
        <w:rPr>
          <w:rFonts w:ascii="Times New Roman" w:hAnsi="Times New Roman" w:cs="Times New Roman"/>
          <w:color w:val="222222"/>
          <w:shd w:val="clear" w:color="auto" w:fill="FFFFFF"/>
        </w:rPr>
        <w:t>chce spoločnosť</w:t>
      </w:r>
      <w:r w:rsidR="00052C3D" w:rsidRPr="00052C3D">
        <w:rPr>
          <w:rFonts w:ascii="Times New Roman" w:hAnsi="Times New Roman" w:cs="Times New Roman"/>
          <w:color w:val="222222"/>
          <w:shd w:val="clear" w:color="auto" w:fill="FFFFFF"/>
        </w:rPr>
        <w:t xml:space="preserve"> predbežne posúdiť možný vplyv tejto situácie </w:t>
      </w:r>
      <w:r w:rsidR="00052C3D" w:rsidRPr="00052C3D">
        <w:rPr>
          <w:rFonts w:ascii="Times New Roman" w:hAnsi="Times New Roman" w:cs="Times New Roman"/>
          <w:color w:val="222222"/>
        </w:rPr>
        <w:br/>
      </w:r>
      <w:r w:rsidR="00052C3D" w:rsidRPr="00052C3D">
        <w:rPr>
          <w:rFonts w:ascii="Times New Roman" w:hAnsi="Times New Roman" w:cs="Times New Roman"/>
          <w:color w:val="222222"/>
          <w:shd w:val="clear" w:color="auto" w:fill="FFFFFF"/>
        </w:rPr>
        <w:t xml:space="preserve"> na  obchodné aktivity a taktiež finančnú situáciu po 13.3.2020</w:t>
      </w:r>
      <w:r w:rsidR="00052C3D">
        <w:rPr>
          <w:rFonts w:ascii="Times New Roman" w:hAnsi="Times New Roman" w:cs="Times New Roman"/>
          <w:color w:val="222222"/>
          <w:shd w:val="clear" w:color="auto" w:fill="FFFFFF"/>
        </w:rPr>
        <w:t>. Môže dôjsť k:</w:t>
      </w:r>
    </w:p>
    <w:p w:rsidR="00052C3D" w:rsidRPr="006D23E8" w:rsidRDefault="00052C3D" w:rsidP="00052C3D">
      <w:pPr>
        <w:numPr>
          <w:ilvl w:val="0"/>
          <w:numId w:val="4"/>
        </w:numPr>
        <w:suppressAutoHyphens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6D23E8">
        <w:rPr>
          <w:rFonts w:ascii="Times New Roman" w:hAnsi="Times New Roman" w:cs="Times New Roman"/>
          <w:color w:val="000000"/>
        </w:rPr>
        <w:lastRenderedPageBreak/>
        <w:t xml:space="preserve">prerušenie dodávateľských </w:t>
      </w:r>
      <w:r>
        <w:rPr>
          <w:rFonts w:ascii="Times New Roman" w:hAnsi="Times New Roman" w:cs="Times New Roman"/>
          <w:color w:val="000000"/>
        </w:rPr>
        <w:t>vzťahov resp. reťazcov</w:t>
      </w:r>
      <w:r w:rsidRPr="006D23E8">
        <w:rPr>
          <w:rFonts w:ascii="Times New Roman" w:hAnsi="Times New Roman" w:cs="Times New Roman"/>
          <w:color w:val="000000"/>
        </w:rPr>
        <w:t xml:space="preserve">, </w:t>
      </w:r>
    </w:p>
    <w:p w:rsidR="00052C3D" w:rsidRPr="00052C3D" w:rsidRDefault="00052C3D" w:rsidP="00052C3D">
      <w:pPr>
        <w:pStyle w:val="Odsekzoznamu"/>
        <w:numPr>
          <w:ilvl w:val="0"/>
          <w:numId w:val="4"/>
        </w:numPr>
        <w:suppressAutoHyphens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052C3D">
        <w:rPr>
          <w:rFonts w:ascii="Times New Roman" w:hAnsi="Times New Roman" w:cs="Times New Roman"/>
          <w:color w:val="000000"/>
        </w:rPr>
        <w:t xml:space="preserve">porušenie zmluvných ustanovení, </w:t>
      </w:r>
    </w:p>
    <w:p w:rsidR="00052C3D" w:rsidRPr="006D23E8" w:rsidRDefault="00052C3D" w:rsidP="00052C3D">
      <w:pPr>
        <w:numPr>
          <w:ilvl w:val="0"/>
          <w:numId w:val="4"/>
        </w:numPr>
        <w:suppressAutoHyphens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052C3D">
        <w:rPr>
          <w:rFonts w:ascii="Times New Roman" w:hAnsi="Times New Roman" w:cs="Times New Roman"/>
          <w:color w:val="000000"/>
        </w:rPr>
        <w:t xml:space="preserve">možná </w:t>
      </w:r>
      <w:proofErr w:type="spellStart"/>
      <w:r w:rsidRPr="00052C3D">
        <w:rPr>
          <w:rFonts w:ascii="Times New Roman" w:hAnsi="Times New Roman" w:cs="Times New Roman"/>
          <w:color w:val="000000"/>
        </w:rPr>
        <w:t>zadĺženosť</w:t>
      </w:r>
      <w:proofErr w:type="spellEnd"/>
    </w:p>
    <w:p w:rsidR="00052C3D" w:rsidRPr="00052C3D" w:rsidRDefault="00052C3D" w:rsidP="00052C3D">
      <w:pPr>
        <w:pStyle w:val="Odsekzoznamu"/>
        <w:numPr>
          <w:ilvl w:val="0"/>
          <w:numId w:val="4"/>
        </w:numPr>
        <w:suppressAutoHyphens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052C3D">
        <w:rPr>
          <w:rFonts w:ascii="Times New Roman" w:hAnsi="Times New Roman" w:cs="Times New Roman"/>
          <w:color w:val="000000"/>
        </w:rPr>
        <w:t>pozastavenie alebo ukončenie obchodných zmlúv</w:t>
      </w:r>
    </w:p>
    <w:p w:rsidR="00052C3D" w:rsidRPr="00052C3D" w:rsidRDefault="00052C3D" w:rsidP="00052C3D">
      <w:pPr>
        <w:pStyle w:val="Bezriadkovania"/>
        <w:rPr>
          <w:b/>
          <w:color w:val="000000"/>
        </w:rPr>
      </w:pPr>
    </w:p>
    <w:p w:rsidR="00052C3D" w:rsidRPr="00052C3D" w:rsidRDefault="00052C3D" w:rsidP="00052C3D">
      <w:pPr>
        <w:pStyle w:val="Bezriadkovania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>V</w:t>
      </w:r>
      <w:r w:rsidRPr="00052C3D">
        <w:rPr>
          <w:rFonts w:ascii="Times New Roman" w:hAnsi="Times New Roman" w:cs="Times New Roman"/>
          <w:iCs/>
          <w:color w:val="000000"/>
        </w:rPr>
        <w:t xml:space="preserve"> čase zverejnenia  účtovnej závierky vedenie účtovnej </w:t>
      </w:r>
      <w:r>
        <w:rPr>
          <w:rFonts w:ascii="Times New Roman" w:hAnsi="Times New Roman" w:cs="Times New Roman"/>
          <w:iCs/>
          <w:color w:val="000000"/>
        </w:rPr>
        <w:t>jednotky nezaznamenalo významný pokles obchodných aktív</w:t>
      </w:r>
      <w:r w:rsidRPr="00052C3D">
        <w:rPr>
          <w:rFonts w:ascii="Times New Roman" w:hAnsi="Times New Roman" w:cs="Times New Roman"/>
          <w:iCs/>
          <w:color w:val="000000"/>
        </w:rPr>
        <w:t xml:space="preserve">, nakoľko sa </w:t>
      </w:r>
      <w:r>
        <w:rPr>
          <w:rFonts w:ascii="Times New Roman" w:hAnsi="Times New Roman" w:cs="Times New Roman"/>
          <w:iCs/>
          <w:color w:val="000000"/>
        </w:rPr>
        <w:t xml:space="preserve">však situácia stále mení, </w:t>
      </w:r>
      <w:r w:rsidRPr="00052C3D">
        <w:rPr>
          <w:rFonts w:ascii="Times New Roman" w:hAnsi="Times New Roman" w:cs="Times New Roman"/>
          <w:iCs/>
          <w:color w:val="000000"/>
        </w:rPr>
        <w:t xml:space="preserve">nemožno predvídať budúce dopady. </w:t>
      </w:r>
    </w:p>
    <w:p w:rsidR="00052C3D" w:rsidRPr="00052C3D" w:rsidRDefault="00052C3D" w:rsidP="00052C3D">
      <w:pPr>
        <w:suppressAutoHyphens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052C3D">
        <w:rPr>
          <w:rFonts w:ascii="Times New Roman" w:hAnsi="Times New Roman" w:cs="Times New Roman"/>
          <w:iCs/>
          <w:color w:val="000000"/>
        </w:rPr>
        <w:t xml:space="preserve">Vedenie spoločnosti bude pokračovať v monitorovaní potenciálneho dopadu a podnikne všetky možné kroky </w:t>
      </w:r>
    </w:p>
    <w:p w:rsidR="00052C3D" w:rsidRPr="00052C3D" w:rsidRDefault="00052C3D" w:rsidP="00052C3D">
      <w:pPr>
        <w:pStyle w:val="Bezriadkovania"/>
        <w:rPr>
          <w:rFonts w:ascii="Times New Roman" w:hAnsi="Times New Roman" w:cs="Times New Roman"/>
          <w:b/>
          <w:color w:val="000000"/>
        </w:rPr>
      </w:pPr>
      <w:r w:rsidRPr="00052C3D">
        <w:rPr>
          <w:rFonts w:ascii="Times New Roman" w:hAnsi="Times New Roman" w:cs="Times New Roman"/>
          <w:iCs/>
          <w:color w:val="000000"/>
        </w:rPr>
        <w:t xml:space="preserve">na zmiernenie akýchkoľvek negatívnych účinkov na spoločnosť </w:t>
      </w:r>
      <w:r w:rsidR="004639EC" w:rsidRPr="00052C3D">
        <w:rPr>
          <w:rFonts w:ascii="Times New Roman" w:hAnsi="Times New Roman" w:cs="Times New Roman"/>
          <w:b/>
          <w:color w:val="000000"/>
        </w:rPr>
        <w:t xml:space="preserve"> </w:t>
      </w:r>
    </w:p>
    <w:p w:rsidR="002A1FF5" w:rsidRPr="001164EA" w:rsidRDefault="001164EA" w:rsidP="00052C3D">
      <w:pPr>
        <w:suppressAutoHyphens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164EA">
        <w:rPr>
          <w:rFonts w:ascii="Times New Roman" w:hAnsi="Times New Roman" w:cs="Times New Roman"/>
          <w:iCs/>
        </w:rPr>
        <w:t>Akýkoľvek negatívny vplyv resp. straty zahrnie účtovná jednotka do účtovníctva a účtovnej závierky v roku 2020.</w:t>
      </w:r>
    </w:p>
    <w:p w:rsidR="002A1FF5" w:rsidRDefault="002A1FF5">
      <w:pPr>
        <w:pStyle w:val="Bezriadkovania"/>
        <w:rPr>
          <w:rFonts w:ascii="Times New Roman" w:hAnsi="Times New Roman" w:cs="Times New Roman"/>
          <w:b/>
          <w:color w:val="000000"/>
        </w:rPr>
      </w:pPr>
    </w:p>
    <w:p w:rsidR="002A1FF5" w:rsidRDefault="002A1FF5">
      <w:pPr>
        <w:pStyle w:val="Bezriadkovania"/>
        <w:rPr>
          <w:b/>
          <w:color w:val="000000"/>
        </w:rPr>
      </w:pPr>
    </w:p>
    <w:p w:rsidR="002A1FF5" w:rsidRDefault="004639E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000000"/>
          <w:szCs w:val="24"/>
        </w:rPr>
        <w:t>Čl. VII</w:t>
      </w:r>
      <w:r>
        <w:rPr>
          <w:rFonts w:ascii="Times New Roman" w:hAnsi="Times New Roman" w:cs="Times New Roman"/>
          <w:b/>
          <w:color w:val="000000"/>
          <w:szCs w:val="24"/>
        </w:rPr>
        <w:tab/>
        <w:t> Ostatné informácie</w:t>
      </w:r>
    </w:p>
    <w:p w:rsidR="002A1FF5" w:rsidRDefault="004639E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</w:r>
      <w:r>
        <w:rPr>
          <w:rFonts w:ascii="Times New Roman" w:eastAsia="MS Gothic" w:hAnsi="Times New Roman" w:cs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1FF5" w:rsidRDefault="002A1FF5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2A1FF5" w:rsidRDefault="002A1FF5">
      <w:pPr>
        <w:tabs>
          <w:tab w:val="left" w:pos="3150"/>
        </w:tabs>
      </w:pPr>
    </w:p>
    <w:sectPr w:rsidR="002A1FF5">
      <w:headerReference w:type="default" r:id="rId9"/>
      <w:footerReference w:type="default" r:id="rId10"/>
      <w:pgSz w:w="11906" w:h="16838"/>
      <w:pgMar w:top="2016" w:right="1134" w:bottom="1417" w:left="1134" w:header="1134" w:footer="1134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9EC" w:rsidRDefault="004639EC">
      <w:pPr>
        <w:spacing w:after="0" w:line="240" w:lineRule="auto"/>
      </w:pPr>
      <w:r>
        <w:separator/>
      </w:r>
    </w:p>
  </w:endnote>
  <w:endnote w:type="continuationSeparator" w:id="0">
    <w:p w:rsidR="004639EC" w:rsidRDefault="004639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1FF5" w:rsidRDefault="004639EC">
    <w:pPr>
      <w:pStyle w:val="Pta"/>
      <w:jc w:val="center"/>
    </w:pPr>
    <w:r>
      <w:rPr>
        <w:b/>
      </w:rPr>
      <w:t xml:space="preserve">Strana </w:t>
    </w:r>
    <w:r>
      <w:rPr>
        <w:b/>
      </w:rPr>
      <w:fldChar w:fldCharType="begin"/>
    </w:r>
    <w:r>
      <w:instrText>PAGE</w:instrText>
    </w:r>
    <w:r>
      <w:fldChar w:fldCharType="separate"/>
    </w:r>
    <w:r w:rsidR="00686B11">
      <w:rPr>
        <w:noProof/>
      </w:rPr>
      <w:t>4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9EC" w:rsidRDefault="004639EC">
      <w:pPr>
        <w:spacing w:after="0" w:line="240" w:lineRule="auto"/>
      </w:pPr>
      <w:r>
        <w:separator/>
      </w:r>
    </w:p>
  </w:footnote>
  <w:footnote w:type="continuationSeparator" w:id="0">
    <w:p w:rsidR="004639EC" w:rsidRDefault="004639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317" w:type="dxa"/>
      <w:tblCellMar>
        <w:left w:w="133" w:type="dxa"/>
      </w:tblCellMar>
      <w:tblLook w:val="04A0" w:firstRow="1" w:lastRow="0" w:firstColumn="1" w:lastColumn="0" w:noHBand="0" w:noVBand="1"/>
    </w:tblPr>
    <w:tblGrid>
      <w:gridCol w:w="2310"/>
      <w:gridCol w:w="686"/>
      <w:gridCol w:w="306"/>
      <w:gridCol w:w="306"/>
      <w:gridCol w:w="306"/>
      <w:gridCol w:w="306"/>
      <w:gridCol w:w="306"/>
      <w:gridCol w:w="306"/>
      <w:gridCol w:w="321"/>
      <w:gridCol w:w="306"/>
      <w:gridCol w:w="798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A1FF5">
      <w:trPr>
        <w:trHeight w:val="138"/>
      </w:trPr>
      <w:tc>
        <w:tcPr>
          <w:tcW w:w="260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2A1FF5" w:rsidRDefault="004639EC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687" w:type="dxa"/>
          <w:tcBorders>
            <w:top w:val="nil"/>
            <w:left w:val="nil"/>
            <w:bottom w:val="nil"/>
          </w:tcBorders>
          <w:shd w:val="clear" w:color="auto" w:fill="auto"/>
        </w:tcPr>
        <w:p w:rsidR="002A1FF5" w:rsidRDefault="004639EC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89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87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87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87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89" w:type="dxa"/>
          <w:tcBorders>
            <w:left w:val="nil"/>
            <w:right w:val="nil"/>
          </w:tcBorders>
          <w:shd w:val="clear" w:color="auto" w:fill="auto"/>
          <w:tcMar>
            <w:left w:w="103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40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89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89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87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88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86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</w:tcPr>
        <w:p w:rsidR="002A1FF5" w:rsidRDefault="004639EC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</w:tr>
  </w:tbl>
  <w:p w:rsidR="002A1FF5" w:rsidRDefault="002A1FF5">
    <w:pPr>
      <w:pStyle w:val="Hlavika"/>
      <w:tabs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7BDC652"/>
    <w:multiLevelType w:val="hybridMultilevel"/>
    <w:tmpl w:val="7D80B20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AF9B79E"/>
    <w:multiLevelType w:val="hybridMultilevel"/>
    <w:tmpl w:val="EA5C201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20963E7C"/>
    <w:multiLevelType w:val="hybridMultilevel"/>
    <w:tmpl w:val="80615F7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26125316"/>
    <w:multiLevelType w:val="hybridMultilevel"/>
    <w:tmpl w:val="B789B80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5FD70CD8"/>
    <w:multiLevelType w:val="multilevel"/>
    <w:tmpl w:val="BCF8046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>
    <w:nsid w:val="6D8022E8"/>
    <w:multiLevelType w:val="hybridMultilevel"/>
    <w:tmpl w:val="2D9AF246"/>
    <w:lvl w:ilvl="0" w:tplc="1BDAEC8A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A60502"/>
    <w:multiLevelType w:val="multilevel"/>
    <w:tmpl w:val="9CB6A284"/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FF5"/>
    <w:rsid w:val="00052C3D"/>
    <w:rsid w:val="001164EA"/>
    <w:rsid w:val="00130E57"/>
    <w:rsid w:val="002A1FF5"/>
    <w:rsid w:val="002F4ABE"/>
    <w:rsid w:val="004639EC"/>
    <w:rsid w:val="005C56E9"/>
    <w:rsid w:val="00686B11"/>
    <w:rsid w:val="006D23E8"/>
    <w:rsid w:val="0099623F"/>
    <w:rsid w:val="00B56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CE03EC"/>
  </w:style>
  <w:style w:type="character" w:customStyle="1" w:styleId="PtaChar">
    <w:name w:val="Päta Char"/>
    <w:basedOn w:val="Predvolenpsmoodseku"/>
    <w:link w:val="Pta"/>
    <w:uiPriority w:val="99"/>
    <w:qFormat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qFormat/>
    <w:rsid w:val="00173C34"/>
    <w:rPr>
      <w:color w:val="808080"/>
    </w:rPr>
  </w:style>
  <w:style w:type="character" w:customStyle="1" w:styleId="ZkladntextChar">
    <w:name w:val="Základný text Char"/>
    <w:basedOn w:val="Predvolenpsmoodseku"/>
    <w:link w:val="Telotextu"/>
    <w:uiPriority w:val="1"/>
    <w:qFormat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ListLabel1">
    <w:name w:val="ListLabel 1"/>
    <w:qFormat/>
    <w:rPr>
      <w:rFonts w:eastAsia="Calibri"/>
      <w:sz w:val="24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ascii="Times New Roman" w:hAnsi="Times New Roman" w:cs="Symbol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Wingdings"/>
    </w:rPr>
  </w:style>
  <w:style w:type="character" w:customStyle="1" w:styleId="ListLabel6">
    <w:name w:val="ListLabel 6"/>
    <w:qFormat/>
    <w:rPr>
      <w:rFonts w:ascii="Times New Roman" w:hAnsi="Times New Roman" w:cs="Symbol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Wingdings"/>
    </w:rPr>
  </w:style>
  <w:style w:type="character" w:customStyle="1" w:styleId="ListLabel9">
    <w:name w:val="ListLabel 9"/>
    <w:qFormat/>
    <w:rPr>
      <w:rFonts w:ascii="Times New Roman" w:hAnsi="Times New Roman" w:cs="Symbo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Wingdings"/>
    </w:rPr>
  </w:style>
  <w:style w:type="character" w:customStyle="1" w:styleId="ListLabel12">
    <w:name w:val="ListLabel 12"/>
    <w:qFormat/>
    <w:rPr>
      <w:rFonts w:ascii="Times New Roman" w:hAnsi="Times New Roman" w:cs="Symbol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 CE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 CE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DF38AE"/>
    <w:pPr>
      <w:suppressAutoHyphens/>
      <w:spacing w:line="240" w:lineRule="auto"/>
    </w:pPr>
    <w:rPr>
      <w:color w:val="00000A"/>
      <w:sz w:val="22"/>
    </w:rPr>
  </w:style>
  <w:style w:type="paragraph" w:customStyle="1" w:styleId="Obsahrmca">
    <w:name w:val="Obsah rámca"/>
    <w:basedOn w:val="Normlny"/>
    <w:qFormat/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D23E8"/>
    <w:pPr>
      <w:autoSpaceDE w:val="0"/>
      <w:autoSpaceDN w:val="0"/>
      <w:adjustRightInd w:val="0"/>
      <w:spacing w:line="240" w:lineRule="auto"/>
    </w:pPr>
    <w:rPr>
      <w:rFonts w:ascii="Symbol" w:hAnsi="Symbol" w:cs="Symbo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CE03EC"/>
  </w:style>
  <w:style w:type="character" w:customStyle="1" w:styleId="PtaChar">
    <w:name w:val="Päta Char"/>
    <w:basedOn w:val="Predvolenpsmoodseku"/>
    <w:link w:val="Pta"/>
    <w:uiPriority w:val="99"/>
    <w:qFormat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qFormat/>
    <w:rsid w:val="00173C34"/>
    <w:rPr>
      <w:color w:val="808080"/>
    </w:rPr>
  </w:style>
  <w:style w:type="character" w:customStyle="1" w:styleId="ZkladntextChar">
    <w:name w:val="Základný text Char"/>
    <w:basedOn w:val="Predvolenpsmoodseku"/>
    <w:link w:val="Telotextu"/>
    <w:uiPriority w:val="1"/>
    <w:qFormat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ListLabel1">
    <w:name w:val="ListLabel 1"/>
    <w:qFormat/>
    <w:rPr>
      <w:rFonts w:eastAsia="Calibri"/>
      <w:sz w:val="24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ascii="Times New Roman" w:hAnsi="Times New Roman" w:cs="Symbol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Wingdings"/>
    </w:rPr>
  </w:style>
  <w:style w:type="character" w:customStyle="1" w:styleId="ListLabel6">
    <w:name w:val="ListLabel 6"/>
    <w:qFormat/>
    <w:rPr>
      <w:rFonts w:ascii="Times New Roman" w:hAnsi="Times New Roman" w:cs="Symbol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Wingdings"/>
    </w:rPr>
  </w:style>
  <w:style w:type="character" w:customStyle="1" w:styleId="ListLabel9">
    <w:name w:val="ListLabel 9"/>
    <w:qFormat/>
    <w:rPr>
      <w:rFonts w:ascii="Times New Roman" w:hAnsi="Times New Roman" w:cs="Symbo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Wingdings"/>
    </w:rPr>
  </w:style>
  <w:style w:type="character" w:customStyle="1" w:styleId="ListLabel12">
    <w:name w:val="ListLabel 12"/>
    <w:qFormat/>
    <w:rPr>
      <w:rFonts w:ascii="Times New Roman" w:hAnsi="Times New Roman" w:cs="Symbol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 CE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 CE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DF38AE"/>
    <w:pPr>
      <w:suppressAutoHyphens/>
      <w:spacing w:line="240" w:lineRule="auto"/>
    </w:pPr>
    <w:rPr>
      <w:color w:val="00000A"/>
      <w:sz w:val="22"/>
    </w:rPr>
  </w:style>
  <w:style w:type="paragraph" w:customStyle="1" w:styleId="Obsahrmca">
    <w:name w:val="Obsah rámca"/>
    <w:basedOn w:val="Normlny"/>
    <w:qFormat/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D23E8"/>
    <w:pPr>
      <w:autoSpaceDE w:val="0"/>
      <w:autoSpaceDN w:val="0"/>
      <w:adjustRightInd w:val="0"/>
      <w:spacing w:line="240" w:lineRule="auto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C804F2-BF05-4DB9-AAC8-08E667198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7</Pages>
  <Words>1464</Words>
  <Characters>8349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12</cp:revision>
  <cp:lastPrinted>2016-01-29T11:21:00Z</cp:lastPrinted>
  <dcterms:created xsi:type="dcterms:W3CDTF">2020-03-30T18:47:00Z</dcterms:created>
  <dcterms:modified xsi:type="dcterms:W3CDTF">2020-03-30T19:52:00Z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