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?><Relationships xmlns="http://schemas.openxmlformats.org/package/2006/relationships"><Relationship Target="word/document.xml" Id="pkgRId0" Type="http://schemas.openxmlformats.org/officeDocument/2006/relationships/officeDocument"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  <w:t xml:space="preserve"> 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Všeobecné údaje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Názov právnickej osoby a jej sídlo alebo meno a priezvisko fyzickej osoby.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E &amp; P consulting s.r.o.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PALACKÉHO 4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920 01 HLOHOVEC 1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DI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 2023419530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ČO 46484078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Údaje o konsolidovanom celku, a to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  <w:t xml:space="preserve">čtovná jednotka nie je súčasťou konsolidovaného celku.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000000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Priemerný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čítaný počet zamestnancov.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čítaný počet zamestnancov za bežné účtovné obdobie: 1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Priemerný prepo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čítaný počet zamestnancov za bezprostredne predchádzajúce účtovné obdobie: 0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Stav zamestnancov ku d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ňu, ku ktorému sa zostavuje účtovná závierka: 1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 </w:t>
      </w:r>
    </w:p>
    <w:p>
      <w:pPr>
        <w:spacing w:before="0" w:after="200" w:line="276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Informácie o prijatých postupoch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Informácia, 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 je účtovná závierka zostavená za splnenia predpokladu, že účtovná jednotka bude nepretržite pokračovať vo svojej činnosti.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Áno </w:t>
        <w:tab/>
        <w:t xml:space="preserve">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keepNext w:val="true"/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Spôsob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ňovania jednotlivých položiek majetku a záväzkov, a to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288"/>
        <w:gridCol w:w="3288"/>
        <w:gridCol w:w="3288"/>
      </w:tblGrid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 a záväzkov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Spôsob ocenenia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Náklady spojené </w:t>
              <w:br/>
              <w:t xml:space="preserve">s obstaraním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obstarávacia cena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328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kúpou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Zásoby obstarané vlastnou 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činnosťou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4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ľadávky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Menovitá hodnota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Krátkodobý finan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 majetok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vr. rezerv, dlhopisov, pôži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čiek...</w:t>
            </w:r>
          </w:p>
        </w:tc>
        <w:tc>
          <w:tcPr>
            <w:tcW w:w="3288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Obstarávacia cena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</w:tr>
      <w:tr>
        <w:trPr>
          <w:trHeight w:val="283" w:hRule="auto"/>
          <w:jc w:val="center"/>
        </w:trPr>
        <w:tc>
          <w:tcPr>
            <w:tcW w:w="3288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Derivátové operácie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  <w:tc>
          <w:tcPr>
            <w:tcW w:w="3288" w:type="dxa"/>
            <w:tcBorders>
              <w:top w:val="single" w:color="000000" w:sz="8"/>
              <w:left w:val="single" w:color="000000" w:sz="4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Spôsob zostavenia odpisového plánu pre jednotlivé druhy dlhodobého hmotného majetku a dlhodobého nehmotného majetku, pri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čom sa uvádza doba odpisovania, použité sadzby odpisov a odpisové metódy pri určení odpisov.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2440"/>
        <w:gridCol w:w="1920"/>
        <w:gridCol w:w="1920"/>
        <w:gridCol w:w="2980"/>
      </w:tblGrid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majetku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Doba odpisovania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Sadzba odpisov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Odpisová metóda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Plni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čka klímy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4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472</w:t>
            </w:r>
          </w:p>
        </w:tc>
        <w:tc>
          <w:tcPr>
            <w:tcW w:w="29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rovnomerný odpis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2" w:hanging="9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-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0"/>
                <w:shd w:fill="auto" w:val="clear"/>
              </w:rPr>
              <w:t xml:space="preserve"> -</w:t>
            </w:r>
          </w:p>
        </w:tc>
      </w:tr>
      <w:tr>
        <w:trPr>
          <w:trHeight w:val="283" w:hRule="auto"/>
          <w:jc w:val="center"/>
        </w:trPr>
        <w:tc>
          <w:tcPr>
            <w:tcW w:w="244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2" w:hanging="9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-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-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čtovná jednotkasi v bežnom účtovnom období uplatnila prerušenie odpisovania.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(4) Zmeny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čtovných zásad a zmeny účtovných metód s uvedením dôvodu týchto zmien a vyčíslením ich vplyvu na finančnú hodnotu majetku, záväzkov, základného imania a výsledku hospodárenia účtovnej jednotky.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2880"/>
        <w:gridCol w:w="298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zmeny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zásady                   alebo účtovnej metódy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 zmeny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vplyvu na príslušnú zložku majetku, záväzkov, vlastného imania a výsledku hospodárenia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čtovnej jednotky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-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-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-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-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hanging="7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-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hanging="5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-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hanging="7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18"/>
                <w:shd w:fill="auto" w:val="clear"/>
              </w:rPr>
              <w:t xml:space="preserve">-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hanging="5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-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18"/>
                <w:shd w:fill="auto" w:val="clear"/>
              </w:rPr>
              <w:t xml:space="preserve">0</w:t>
            </w:r>
          </w:p>
        </w:tc>
      </w:tr>
    </w:tbl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(5) Informácie o dotáciách a ich oce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ňovanie v účtovníctve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  <w:t xml:space="preserve">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čtovná jednotka v bežnom účtovnom období  nedostala a neúčtovala žiadne dotácie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2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(6) Informácie o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čtovná jednotka v bežnom účtovnom období  neúčtovala žiadne opravy chýb miulých rokov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1920"/>
        <w:gridCol w:w="394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opravy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Suma</w:t>
            </w:r>
          </w:p>
        </w:tc>
        <w:tc>
          <w:tcPr>
            <w:tcW w:w="3940" w:type="dxa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Popis chyby a vplyvu opravy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významných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čtovných období</w:t>
            </w:r>
          </w:p>
        </w:tc>
        <w:tc>
          <w:tcPr>
            <w:tcW w:w="19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394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_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Oprava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nevýznamných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 chýb minulých ú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čtovných období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394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_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Čl. III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Informácie, ktoré vysvet</w:t>
      </w:r>
      <w:r>
        <w:rPr>
          <w:rFonts w:ascii="Times New Roman" w:hAnsi="Times New Roman" w:cs="Times New Roman" w:eastAsia="Times New Roman"/>
          <w:b/>
          <w:color w:val="auto"/>
          <w:spacing w:val="0"/>
          <w:position w:val="0"/>
          <w:sz w:val="23"/>
          <w:shd w:fill="auto" w:val="clear"/>
        </w:rPr>
        <w:t xml:space="preserve">ľujú a dopĺňajú súvahu a výkaz ziskov a strát </w:t>
      </w: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(1) Informácia o sume a dôvodoch vzniku jednotlivých položiek nákladov alebo výnosov, ktoré majú výnimo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čný rozsah alebo výskyt, napríklad výnosy z predaja podniku alebo časti podniku, náklady z dôvodu predaja podniku alebo časti podniku, škody z dôvodu živelných pohrôm.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4360"/>
        <w:gridCol w:w="2880"/>
        <w:gridCol w:w="2020"/>
      </w:tblGrid>
      <w:tr>
        <w:trPr>
          <w:trHeight w:val="283" w:hRule="auto"/>
          <w:jc w:val="center"/>
        </w:trPr>
        <w:tc>
          <w:tcPr>
            <w:tcW w:w="436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Udalos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ť</w:t>
            </w:r>
          </w:p>
        </w:tc>
        <w:tc>
          <w:tcPr>
            <w:tcW w:w="288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Dôvod</w:t>
            </w:r>
          </w:p>
        </w:tc>
        <w:tc>
          <w:tcPr>
            <w:tcW w:w="2020" w:type="dxa"/>
            <w:vMerge w:val="restart"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88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020" w:type="dxa"/>
            <w:vMerge/>
            <w:tcBorders>
              <w:top w:val="single" w:color="000000" w:sz="8"/>
              <w:left w:val="single" w:color="000000" w:sz="4"/>
              <w:bottom w:val="single" w:color="000000" w:sz="8"/>
              <w:right w:val="single" w:color="000000" w:sz="8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02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</w:tr>
      <w:tr>
        <w:trPr>
          <w:trHeight w:val="283" w:hRule="auto"/>
          <w:jc w:val="center"/>
        </w:trPr>
        <w:tc>
          <w:tcPr>
            <w:tcW w:w="436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</w:tr>
    </w:tbl>
    <w:p>
      <w:pPr>
        <w:spacing w:before="0" w:after="0" w:line="240"/>
        <w:ind w:right="0" w:left="0" w:firstLine="0"/>
        <w:jc w:val="center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(2) Informácie o záväzkoch,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celkovej sume záväzkov so zostatkovou dobou splatnosti dlhšou ako pä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 rokov,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/>
      <w:tblGrid>
        <w:gridCol w:w="6450"/>
        <w:gridCol w:w="2880"/>
      </w:tblGrid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Dlhodobé záväzky spolu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nad pä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4"/>
              <w:left w:val="single" w:color="000000" w:sz="8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jeden rok až pä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ť rokov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Krátkodobé záväzky spolu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3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                          </w:t>
            </w:r>
            <w:r>
              <w:rPr>
                <w:rFonts w:ascii="Times New Roman" w:hAnsi="Times New Roman" w:cs="Times New Roman" w:eastAsia="Times New Roman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71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so zostatkovou dobou splatnosti do jedného roka vrátane</w:t>
            </w:r>
          </w:p>
        </w:tc>
        <w:tc>
          <w:tcPr>
            <w:tcW w:w="288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  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71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</w:t>
            </w:r>
          </w:p>
        </w:tc>
      </w:tr>
      <w:tr>
        <w:trPr>
          <w:trHeight w:val="283" w:hRule="auto"/>
          <w:jc w:val="center"/>
        </w:trPr>
        <w:tc>
          <w:tcPr>
            <w:tcW w:w="645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Záväzky po lehote splatnosti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keepNext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celkovej sume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čených záväzkov, opis a spôsoby zabezpečenia záväzkov.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5320"/>
        <w:gridCol w:w="1920"/>
        <w:gridCol w:w="2020"/>
      </w:tblGrid>
      <w:tr>
        <w:trPr>
          <w:trHeight w:val="283" w:hRule="auto"/>
          <w:jc w:val="center"/>
        </w:trPr>
        <w:tc>
          <w:tcPr>
            <w:tcW w:w="5320" w:type="dxa"/>
            <w:vMerge w:val="restart"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formy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 záväzku</w:t>
            </w:r>
          </w:p>
        </w:tc>
        <w:tc>
          <w:tcPr>
            <w:tcW w:w="394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záväzku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čená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vMerge/>
            <w:tcBorders>
              <w:top w:val="single" w:color="000000" w:sz="8"/>
              <w:left w:val="single" w:color="000000" w:sz="8"/>
              <w:bottom w:val="single" w:color="000000" w:sz="0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Záložným právom</w:t>
            </w:r>
          </w:p>
        </w:tc>
        <w:tc>
          <w:tcPr>
            <w:tcW w:w="202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Inou formou zabezpe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19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02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</w:tr>
      <w:tr>
        <w:trPr>
          <w:trHeight w:val="283" w:hRule="auto"/>
          <w:jc w:val="center"/>
        </w:trPr>
        <w:tc>
          <w:tcPr>
            <w:tcW w:w="532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19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  <w:tc>
          <w:tcPr>
            <w:tcW w:w="202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-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(3) Informácie o vlastných akciách, a to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čtovná jednotka v bežnom účtovnom období  nevlastnila, neobstarávala a nepredávala vlastné akcie</w:t>
      </w:r>
    </w:p>
    <w:p>
      <w:pPr>
        <w:spacing w:before="0" w:after="28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 (4) Informácie o orgánoch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výške jednotlivých druhov záruk alebo iných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čení poskytnutých pre členov štatutárneho orgánu, dozorného orgánu a iného orgánu účtovnej jednotky, a to v členení za jednotlivé orgány,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pôži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čkách poskytnutých členom štatutárneho orgánu, dozorného orgánu a iného orgánu účtovnej jednotky a to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celková suma poskytnutých pôži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čiek k poslednému dňu účtovného obdobia v členení za jednotlivé orgány, </w:t>
      </w:r>
    </w:p>
    <w:p>
      <w:pPr>
        <w:spacing w:before="0" w:after="0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celková suma splatených pôži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čiek k poslednému dňu účtovného obdobia v členení za jednotlivé orgány,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3. celková suma odpustených pôži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čiek a odpísaných pôžičiek k poslednému dňu účtovného obdobia v členení za jednotlivé orgány,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hlavných podmienkach, na základe ktorých im boli záruky alebo iné zabezpe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čenie a pôžičky poskytnuté; pri pôžičkách sa uvádzajú úrokové sadzby,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>
        <w:trPr>
          <w:trHeight w:val="283" w:hRule="auto"/>
          <w:jc w:val="center"/>
        </w:trPr>
        <w:tc>
          <w:tcPr>
            <w:tcW w:w="3400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príjmu, výhody</w:t>
            </w:r>
          </w:p>
        </w:tc>
        <w:tc>
          <w:tcPr>
            <w:tcW w:w="3122" w:type="dxa"/>
            <w:gridSpan w:val="3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príjmu, výhody sú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časných členov orgánov</w:t>
            </w:r>
          </w:p>
        </w:tc>
        <w:tc>
          <w:tcPr>
            <w:tcW w:w="3122" w:type="dxa"/>
            <w:gridSpan w:val="3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príjmu, výhody bývalých 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členov orgánov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0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štatutárnych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štatutárnych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4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dozorných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iných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záruky alebo zabezp.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Poskytnuté pôži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čky (ku dňu ÚZ)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Splatené pôži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čky (ku dňu ÚZ)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Odpustné alebo odpísané pôži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čky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0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Finan</w:t>
            </w: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čné prostriedky a iné plnenie použité na súkromné účely na vyúčtovanie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1338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1130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654" w:type="dxa"/>
            <w:tcBorders>
              <w:top w:val="single" w:color="000000" w:sz="0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22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d) celkovej sume použitých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čných prostriedkov alebo iného plnenia na súkromné účely členmi štatutárneho orgánu, dozorného orgánu a iného orgánu účtovnej jednotky, ktoré je potrebné vyúčtovať.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(5) Informácie o povinnostiach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jednotky, a to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a) celkovej sume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00"/>
        <w:gridCol w:w="2880"/>
        <w:gridCol w:w="2980"/>
      </w:tblGrid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8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Názov položky</w:t>
            </w:r>
          </w:p>
        </w:tc>
        <w:tc>
          <w:tcPr>
            <w:tcW w:w="28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2980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 dcérskej ÚJ                a ÚJ s podstatným vplyvom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nájomcu z operatívneho prenájmu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uzatvorených úverových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licen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čných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Povinnosti z koncesionárskych. zmlúv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00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Ostatné</w:t>
            </w:r>
          </w:p>
        </w:tc>
        <w:tc>
          <w:tcPr>
            <w:tcW w:w="28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  <w:tc>
          <w:tcPr>
            <w:tcW w:w="2980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66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</w:tbl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čtovná jednotka v bežnom účtovnom období  nemá povinnosti, ktoré sa nevykazujú v súvahe.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b) celkovej sume významných podmienených záväzkov, ktorými sa rozumie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1. možná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ť, ktorá vznikla ako dôsledok minulej udalosti a ktorej existencia závisí od toho, či nastane alebo nenastane jedna alebo viac neistých udalostí v budúcnosti, ktorých vznik nezávisí od účtovnej jednotky, alebo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2. existujúca povinnos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ť, ktorá vznikla ako dôsledok minulej udalosti, ale ktorá sa nevykazuje v súvahe, pretože </w:t>
      </w:r>
    </w:p>
    <w:p>
      <w:pPr>
        <w:spacing w:before="0" w:after="27" w:line="240"/>
        <w:ind w:right="0" w:left="708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2a. nie je pravdepodobné, že na splnenie tejto povinnosti bude potrebný úbytok ekonomických úžitkov, alebo </w:t>
      </w:r>
    </w:p>
    <w:p>
      <w:pPr>
        <w:spacing w:before="0" w:after="27" w:line="240"/>
        <w:ind w:right="0" w:left="0" w:firstLine="708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2b. výška tejto povinnosti sa nedá spo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ľahlivo oceniť,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tbl>
      <w:tblPr>
        <w:tblInd w:w="60" w:type="dxa"/>
      </w:tblPr>
      <w:tblGrid>
        <w:gridCol w:w="3415"/>
        <w:gridCol w:w="2626"/>
        <w:gridCol w:w="3234"/>
      </w:tblGrid>
      <w:tr>
        <w:trPr>
          <w:trHeight w:val="283" w:hRule="auto"/>
          <w:jc w:val="center"/>
        </w:trPr>
        <w:tc>
          <w:tcPr>
            <w:tcW w:w="3415" w:type="dxa"/>
            <w:vMerge w:val="restart"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Druh podmieneného záväzku</w:t>
            </w:r>
          </w:p>
        </w:tc>
        <w:tc>
          <w:tcPr>
            <w:tcW w:w="5860" w:type="dxa"/>
            <w:gridSpan w:val="2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Bežné ú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čtovné obdobie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vMerge/>
            <w:tcBorders>
              <w:top w:val="single" w:color="000000" w:sz="8"/>
              <w:left w:val="single" w:color="000000" w:sz="8"/>
              <w:bottom w:val="single" w:color="000000" w:sz="8"/>
              <w:right w:val="single" w:color="000000" w:sz="4"/>
            </w:tcBorders>
            <w:shd w:color="000000" w:fill="ffffff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celkom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0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0"/>
              <w:jc w:val="center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Hodnota vo</w:t>
            </w:r>
            <w:r>
              <w:rPr>
                <w:rFonts w:ascii="Times New Roman" w:hAnsi="Times New Roman" w:cs="Times New Roman" w:eastAsia="Times New Roman"/>
                <w:b/>
                <w:color w:val="000000"/>
                <w:spacing w:val="0"/>
                <w:position w:val="0"/>
                <w:sz w:val="22"/>
                <w:shd w:fill="auto" w:val="clear"/>
              </w:rPr>
              <w:t xml:space="preserve">či dcérskej ÚJ                a ÚJ s podstatným vplyvom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0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súdnych rozhodnutí</w:t>
            </w:r>
          </w:p>
        </w:tc>
        <w:tc>
          <w:tcPr>
            <w:tcW w:w="2626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3234" w:type="dxa"/>
            <w:tcBorders>
              <w:top w:val="single" w:color="000000" w:sz="8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poskytnutých záruk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všeobecne. záväzných. právnych. predpisov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center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Zo zmluvy o podriadenom záväzku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Z ru</w:t>
            </w: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čenia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4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  <w:tr>
        <w:trPr>
          <w:trHeight w:val="283" w:hRule="auto"/>
          <w:jc w:val="center"/>
        </w:trPr>
        <w:tc>
          <w:tcPr>
            <w:tcW w:w="3415" w:type="dxa"/>
            <w:tcBorders>
              <w:top w:val="single" w:color="000000" w:sz="4"/>
              <w:left w:val="single" w:color="000000" w:sz="8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0"/>
              <w:jc w:val="left"/>
              <w:rPr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000000"/>
                <w:spacing w:val="0"/>
                <w:position w:val="0"/>
                <w:sz w:val="22"/>
                <w:shd w:fill="auto" w:val="clear"/>
              </w:rPr>
              <w:t xml:space="preserve">Iné podmienené záväzky</w:t>
            </w:r>
          </w:p>
        </w:tc>
        <w:tc>
          <w:tcPr>
            <w:tcW w:w="2626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4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 0</w:t>
            </w:r>
          </w:p>
        </w:tc>
        <w:tc>
          <w:tcPr>
            <w:tcW w:w="3234" w:type="dxa"/>
            <w:tcBorders>
              <w:top w:val="single" w:color="000000" w:sz="4"/>
              <w:left w:val="single" w:color="000000" w:sz="0"/>
              <w:bottom w:val="single" w:color="000000" w:sz="8"/>
              <w:right w:val="single" w:color="000000" w:sz="8"/>
            </w:tcBorders>
            <w:shd w:color="auto" w:fill="auto" w:val="clear"/>
            <w:tcMar>
              <w:left w:w="70" w:type="dxa"/>
              <w:right w:w="70" w:type="dxa"/>
            </w:tcMar>
            <w:vAlign w:val="bottom"/>
          </w:tcPr>
          <w:p>
            <w:pPr>
              <w:spacing w:before="0" w:after="0" w:line="240"/>
              <w:ind w:right="0" w:left="0" w:firstLine="880"/>
              <w:jc w:val="righ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Times New Roman" w:hAnsi="Times New Roman" w:cs="Times New Roman" w:eastAsia="Times New Roman"/>
                <w:color w:val="auto"/>
                <w:spacing w:val="0"/>
                <w:position w:val="0"/>
                <w:sz w:val="22"/>
                <w:shd w:fill="auto" w:val="clear"/>
              </w:rPr>
              <w:t xml:space="preserve">0 </w:t>
            </w:r>
          </w:p>
        </w:tc>
      </w:tr>
    </w:tbl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čtovná jednotka v bežnom účtovnom období  nemá podmienené záväzky ani podmienený majetok.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c) opise významných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čných povinností a významných podmienených záväzkov, </w:t>
      </w: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27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d) celkovej sume významných finan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čných povinností a významných podmienených záväzkoch voči dcérskej účtovnej jednotke a účtovnej jednotke s podstatným vplyvom, </w:t>
      </w: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</w:p>
    <w:p>
      <w:pPr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</w:pP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e) opise významných povinností ú</w:t>
      </w:r>
      <w:r>
        <w:rPr>
          <w:rFonts w:ascii="Times New Roman" w:hAnsi="Times New Roman" w:cs="Times New Roman" w:eastAsia="Times New Roman"/>
          <w:color w:val="auto"/>
          <w:spacing w:val="0"/>
          <w:position w:val="0"/>
          <w:sz w:val="23"/>
          <w:shd w:fill="auto" w:val="clear"/>
        </w:rPr>
        <w:t xml:space="preserve">čtovnej jednotky vyplývajúcich z dôchodkových programov pre zamestnancov. </w:t>
      </w:r>
    </w:p>
    <w:p>
      <w:pPr>
        <w:spacing w:before="0" w:after="200" w:line="276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/>
</file>

<file path=word/styles.xml><?xml version="1.0" encoding="utf-8"?>
<w:styles xmlns:w="http://schemas.openxmlformats.org/wordprocessingml/2006/main"/>
</file>

<file path=word/_rels/document.xml.rels><?xml version="1.0"?><Relationships xmlns="http://schemas.openxmlformats.org/package/2006/relationships"><Relationship Target="numbering.xml" Id="docRId0" Type="http://schemas.openxmlformats.org/officeDocument/2006/relationships/numbering"/><Relationship Target="styles.xml" Id="docRId1" Type="http://schemas.openxmlformats.org/officeDocument/2006/relationships/styles"/></Relationships>
</file>