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ÚČTOVNEJ ZÁVIERKE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A"/>
          <w:left w:val="single" w:sz="4" w:space="12" w:color="00000A"/>
          <w:bottom w:val="single" w:sz="4" w:space="1" w:color="00000A"/>
          <w:right w:val="single" w:sz="4" w:space="6" w:color="00000A"/>
        </w:pBdr>
        <w:jc w:val="center"/>
        <w:rPr/>
      </w:pPr>
      <w:r>
        <w:rPr>
          <w:rFonts w:ascii="Arial Narrow" w:hAnsi="Arial Narrow"/>
          <w:b/>
        </w:rPr>
        <w:t xml:space="preserve">pre </w:t>
      </w:r>
      <w:r>
        <w:rPr>
          <w:rFonts w:ascii="Arial Narrow" w:hAnsi="Arial Narrow"/>
          <w:b/>
        </w:rPr>
        <w:t>mikro</w:t>
      </w:r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5B9BD5" w:themeColor="accent1"/>
        </w:rPr>
        <w:t>Čl. I </w:t>
        <w:tab/>
        <w:t>Všeobecné informácie</w:t>
      </w:r>
    </w:p>
    <w:p>
      <w:pPr>
        <w:pStyle w:val="Normal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>I.1</w:t>
      </w:r>
      <w:r>
        <w:rPr/>
        <w:t xml:space="preserve">  Zákl</w:t>
      </w:r>
      <w:r>
        <w:rPr>
          <w:b/>
        </w:rPr>
        <w:t>adné informácie o účtovnej jednotke:</w:t>
      </w:r>
    </w:p>
    <w:tbl>
      <w:tblPr>
        <w:tblW w:w="4900" w:type="pct"/>
        <w:jc w:val="left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noVBand="0" w:val="00a0" w:noHBand="0" w:lastColumn="0" w:firstColumn="1" w:lastRow="0" w:firstRow="1"/>
      </w:tblPr>
      <w:tblGrid>
        <w:gridCol w:w="2589"/>
        <w:gridCol w:w="6855"/>
      </w:tblGrid>
      <w:tr>
        <w:trPr>
          <w:trHeight w:val="231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Obchodné meno: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ALLwood, s.r.o. </w:t>
            </w:r>
          </w:p>
        </w:tc>
      </w:tr>
      <w:tr>
        <w:trPr>
          <w:trHeight w:val="249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Sídlo: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>013 32  Dlhé Pole 1164</w:t>
            </w:r>
          </w:p>
        </w:tc>
      </w:tr>
      <w:tr>
        <w:trPr>
          <w:trHeight w:val="125" w:hRule="atLeast"/>
        </w:trPr>
        <w:tc>
          <w:tcPr>
            <w:tcW w:w="25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Právna forma: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bottom"/>
          </w:tcPr>
          <w:p>
            <w:pPr>
              <w:pStyle w:val="Normal"/>
              <w:spacing w:before="0" w:after="160"/>
              <w:rPr/>
            </w:pPr>
            <w:r>
              <w:rPr/>
              <w:t xml:space="preserve">s.r.o. </w:t>
            </w:r>
          </w:p>
        </w:tc>
      </w:tr>
      <w:tr>
        <w:trPr>
          <w:trHeight w:val="143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Dátum vzniku: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Zápis do obchodného registra:  29.1.2015</w:t>
            </w:r>
          </w:p>
        </w:tc>
      </w:tr>
      <w:tr>
        <w:trPr>
          <w:trHeight w:val="175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>Hlavný predmet podnikania:</w:t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spacing w:lineRule="auto" w:line="259"/>
              <w:rPr/>
            </w:pPr>
            <w:r>
              <w:rPr/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59"/>
              <w:rPr/>
            </w:pPr>
            <w:r>
              <w:rPr/>
              <w:t xml:space="preserve">Sprostredkovateľská činnosť v oblasti obchodu </w:t>
            </w:r>
          </w:p>
          <w:p>
            <w:pPr>
              <w:pStyle w:val="Normal"/>
              <w:spacing w:lineRule="auto" w:line="259"/>
              <w:rPr/>
            </w:pPr>
            <w:r>
              <w:rPr/>
              <w:t xml:space="preserve">Skladovanie </w:t>
            </w:r>
          </w:p>
          <w:p>
            <w:pPr>
              <w:pStyle w:val="Normal"/>
              <w:spacing w:lineRule="auto" w:line="259"/>
              <w:rPr/>
            </w:pPr>
            <w:r>
              <w:rPr/>
              <w:t xml:space="preserve">Baliace činnosti, manipulácia s tovarom 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 xml:space="preserve">Kúpa tovaru za účelom jeho predaja konečnému spotrebiteľovi (maloobchod) alebo iným prevádzkovateľom živnosti (veľkoobchod) </w:t>
            </w:r>
          </w:p>
        </w:tc>
      </w:tr>
      <w:tr>
        <w:trPr>
          <w:trHeight w:val="194" w:hRule="atLeast"/>
        </w:trPr>
        <w:tc>
          <w:tcPr>
            <w:tcW w:w="2589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Účtovné obdobie:</w:t>
            </w:r>
          </w:p>
        </w:tc>
        <w:tc>
          <w:tcPr>
            <w:tcW w:w="685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/>
            </w:pPr>
            <w:r>
              <w:rPr/>
              <w:t>Kalendárny rok 201</w:t>
            </w:r>
            <w:r>
              <w:rPr/>
              <w:t>9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ÚJ spĺňa veľkostné podmienky na zatriedenie do veľkostnej skupiny – </w:t>
      </w:r>
      <w:r>
        <w:rPr>
          <w:b/>
          <w:bCs/>
        </w:rPr>
        <w:t>mikro</w:t>
      </w:r>
      <w:r>
        <w:rPr>
          <w:b/>
          <w:bCs/>
        </w:rPr>
        <w:t xml:space="preserve"> </w:t>
      </w:r>
      <w:r>
        <w:rPr>
          <w:b/>
        </w:rPr>
        <w:t xml:space="preserve">účtovná jednotka, </w:t>
      </w:r>
      <w:r>
        <w:rPr/>
        <w:t>preto zostavuje účtovnú závierku podľa metodiky pre túto veľkostnú skupinu (Opatrenie č.MF/23378/2014-74).</w:t>
      </w:r>
    </w:p>
    <w:tbl>
      <w:tblPr>
        <w:tblW w:w="9568" w:type="dxa"/>
        <w:jc w:val="left"/>
        <w:tblInd w:w="1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192"/>
        <w:gridCol w:w="3407"/>
        <w:gridCol w:w="3969"/>
      </w:tblGrid>
      <w:tr>
        <w:trPr/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Aktíva celkom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105063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182277</w:t>
            </w:r>
          </w:p>
        </w:tc>
      </w:tr>
      <w:tr>
        <w:trPr/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59" w:before="0" w:after="160"/>
              <w:jc w:val="left"/>
              <w:rPr>
                <w:bCs/>
              </w:rPr>
            </w:pPr>
            <w:r>
              <w:rPr>
                <w:bCs/>
              </w:rPr>
              <w:t>Čistý obrat celkom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53590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bCs/>
              </w:rPr>
              <w:t>103897</w:t>
            </w:r>
          </w:p>
        </w:tc>
      </w:tr>
      <w:tr>
        <w:trPr/>
        <w:tc>
          <w:tcPr>
            <w:tcW w:w="2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cs="Arial Narrow" w:ascii="Arial Narrow" w:hAnsi="Arial Narrow"/>
                <w:bCs/>
              </w:rPr>
              <w:t>Primerný prepočítaný počet zamestnancov</w:t>
            </w:r>
          </w:p>
        </w:tc>
        <w:tc>
          <w:tcPr>
            <w:tcW w:w="3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  <w:tc>
          <w:tcPr>
            <w:tcW w:w="3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center"/>
              <w:rPr/>
            </w:pPr>
            <w:r>
              <w:rPr>
                <w:rFonts w:cs="Arial Narrow" w:ascii="Arial Narrow" w:hAnsi="Arial Narrow"/>
                <w:bCs/>
              </w:rPr>
              <w:t>0</w:t>
            </w:r>
          </w:p>
        </w:tc>
      </w:tr>
    </w:tbl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jc w:val="both"/>
        <w:rPr/>
      </w:pPr>
      <w:r>
        <w:rPr>
          <w:rFonts w:cs="Arial Narrow" w:ascii="Arial Narrow" w:hAnsi="Arial Narrow"/>
        </w:rPr>
        <w:t xml:space="preserve">              </w:t>
      </w:r>
      <w:r>
        <w:rPr>
          <w:rFonts w:cs="Arial Narrow" w:ascii="Arial Narrow" w:hAnsi="Arial Narrow"/>
        </w:rPr>
        <w:t>účtovná závierka k 31.12.201</w:t>
      </w:r>
      <w:r>
        <w:rPr>
          <w:rFonts w:cs="Arial Narrow" w:ascii="Arial Narrow" w:hAnsi="Arial Narrow"/>
        </w:rPr>
        <w:t>8</w:t>
      </w:r>
      <w:r>
        <w:rPr>
          <w:rFonts w:cs="Arial Narrow" w:ascii="Arial Narrow" w:hAnsi="Arial Narrow"/>
        </w:rPr>
        <w:t xml:space="preserve"> bola schválená </w:t>
      </w:r>
      <w:r>
        <w:rPr>
          <w:rFonts w:cs="Arial Narrow" w:ascii="Arial Narrow" w:hAnsi="Arial Narrow"/>
        </w:rPr>
        <w:t>26.03.2019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ind w:right="0" w:hanging="0"/>
        <w:jc w:val="both"/>
        <w:rPr/>
      </w:pPr>
      <w:r>
        <w:rPr>
          <w:rFonts w:cs="Arial Narrow" w:ascii="Arial Narrow" w:hAnsi="Arial Narrow"/>
        </w:rPr>
        <w:t xml:space="preserve">                </w:t>
      </w:r>
      <w:r>
        <w:rPr>
          <w:rFonts w:cs="Arial Narrow" w:ascii="Arial Narrow" w:hAnsi="Arial Narrow"/>
        </w:rPr>
        <w:t>k 31.12.201</w:t>
      </w:r>
      <w:r>
        <w:rPr>
          <w:rFonts w:cs="Arial Narrow" w:ascii="Arial Narrow" w:hAnsi="Arial Narrow"/>
        </w:rPr>
        <w:t>9</w:t>
      </w:r>
      <w:r>
        <w:rPr>
          <w:rFonts w:cs="Arial Narrow" w:ascii="Arial Narrow" w:hAnsi="Arial Narrow"/>
        </w:rPr>
        <w:t xml:space="preserve"> je účtovná závierka zostavená ako riadna účtovná závierka za účtovné obdobie od 1.1.201</w:t>
      </w:r>
      <w:r>
        <w:rPr>
          <w:rFonts w:cs="Arial Narrow" w:ascii="Arial Narrow" w:hAnsi="Arial Narrow"/>
        </w:rPr>
        <w:t>9</w:t>
      </w:r>
      <w:r>
        <w:rPr>
          <w:rFonts w:cs="Arial Narrow" w:ascii="Arial Narrow" w:hAnsi="Arial Narrow"/>
        </w:rPr>
        <w:t xml:space="preserve"> do          </w:t>
      </w:r>
    </w:p>
    <w:p>
      <w:pPr>
        <w:pStyle w:val="Normal"/>
        <w:ind w:right="0" w:hanging="0"/>
        <w:jc w:val="both"/>
        <w:rPr/>
      </w:pPr>
      <w:r>
        <w:rPr>
          <w:rFonts w:cs="Times New Roman" w:ascii="Times New Roman" w:hAnsi="Times New Roman"/>
          <w:b/>
        </w:rPr>
        <w:t xml:space="preserve">             </w:t>
      </w:r>
      <w:r>
        <w:rPr>
          <w:rFonts w:cs="Arial Narrow" w:ascii="Arial Narrow" w:hAnsi="Arial Narrow"/>
        </w:rPr>
        <w:t>31.12.201</w:t>
      </w:r>
      <w:r>
        <w:rPr>
          <w:rFonts w:cs="Arial Narrow" w:ascii="Arial Narrow" w:hAnsi="Arial Narrow"/>
        </w:rPr>
        <w:t>9</w:t>
      </w:r>
      <w:r>
        <w:rPr>
          <w:rFonts w:cs="Arial Narrow" w:ascii="Arial Narrow" w:hAnsi="Arial Narrow"/>
        </w:rPr>
        <w:t>.</w:t>
      </w:r>
    </w:p>
    <w:p>
      <w:pPr>
        <w:pStyle w:val="Normal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nie je súčasťou žiadnej skupiny.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mc:AlternateContent>
          <mc:Choice Requires="wps">
            <w:drawing>
              <wp:anchor behindDoc="0" distT="0" distB="0" distL="89535" distR="89535" simplePos="0" locked="0" layoutInCell="1" allowOverlap="1" relativeHeight="2">
                <wp:simplePos x="0" y="0"/>
                <wp:positionH relativeFrom="margin">
                  <wp:posOffset>-82550</wp:posOffset>
                </wp:positionH>
                <wp:positionV relativeFrom="paragraph">
                  <wp:posOffset>46355</wp:posOffset>
                </wp:positionV>
                <wp:extent cx="5923280" cy="1059180"/>
                <wp:effectExtent l="0" t="0" r="0" b="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22720" cy="105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pPr w:bottomFromText="0" w:horzAnchor="margin" w:leftFromText="141" w:rightFromText="141" w:tblpX="0" w:tblpXSpec="" w:tblpY="73" w:tblpYSpec="" w:topFromText="0" w:vertAnchor="text"/>
                              <w:tblW w:w="9324" w:type="dxa"/>
                              <w:jc w:val="left"/>
                              <w:tblInd w:w="16" w:type="dxa"/>
                              <w:tblCellMar>
                                <w:top w:w="0" w:type="dxa"/>
                                <w:left w:w="-6" w:type="dxa"/>
                                <w:bottom w:w="0" w:type="dxa"/>
                                <w:right w:w="108" w:type="dxa"/>
                              </w:tblCellMar>
                              <w:tblLook w:noVBand="1" w:val="04a0" w:noHBand="0" w:lastColumn="0" w:firstColumn="1" w:lastRow="0" w:firstRow="1"/>
                            </w:tblPr>
                            <w:tblGrid>
                              <w:gridCol w:w="4124"/>
                              <w:gridCol w:w="2412"/>
                              <w:gridCol w:w="2788"/>
                            </w:tblGrid>
                            <w:tr>
                              <w:trPr/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6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color w:val="00000A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24" w:type="dxa"/>
                                  <w:tcBorders>
                                    <w:top w:val="single" w:sz="18" w:space="0" w:color="00000A"/>
                                    <w:left w:val="single" w:sz="18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-6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Priemerný prepočítaný počet zamestnancov počas účtovného obdobia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2" w:space="0" w:color="00000A"/>
                                    <w:insideH w:val="single" w:sz="18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788" w:type="dxa"/>
                                  <w:tcBorders>
                                    <w:top w:val="single" w:sz="18" w:space="0" w:color="00000A"/>
                                    <w:left w:val="single" w:sz="12" w:space="0" w:color="00000A"/>
                                    <w:bottom w:val="single" w:sz="18" w:space="0" w:color="00000A"/>
                                    <w:right w:val="single" w:sz="18" w:space="0" w:color="00000A"/>
                                    <w:insideH w:val="single" w:sz="18" w:space="0" w:color="00000A"/>
                                    <w:insideV w:val="single" w:sz="18" w:space="0" w:color="00000A"/>
                                  </w:tcBorders>
                                  <w:shd w:fill="auto" w:val="clear"/>
                                  <w:tcMar>
                                    <w:left w:w="33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A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color w:val="00000A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f" style="position:absolute;margin-left:-6.5pt;margin-top:3.65pt;width:466.3pt;height:83.3pt;mso-position-horizontal-relative:margin">
                <w10:wrap type="none"/>
                <v:fill on="false" o:detectmouseclick="t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pPr w:bottomFromText="0" w:horzAnchor="margin" w:leftFromText="141" w:rightFromText="141" w:tblpX="0" w:tblpXSpec="" w:tblpY="73" w:tblpYSpec="" w:topFromText="0" w:vertAnchor="text"/>
                        <w:tblW w:w="9324" w:type="dxa"/>
                        <w:jc w:val="left"/>
                        <w:tblInd w:w="16" w:type="dxa"/>
                        <w:tblCellMar>
                          <w:top w:w="0" w:type="dxa"/>
                          <w:left w:w="-6" w:type="dxa"/>
                          <w:bottom w:w="0" w:type="dxa"/>
                          <w:right w:w="108" w:type="dxa"/>
                        </w:tblCellMar>
                        <w:tblLook w:noVBand="1" w:val="04a0" w:noHBand="0" w:lastColumn="0" w:firstColumn="1" w:lastRow="0" w:firstRow="1"/>
                      </w:tblPr>
                      <w:tblGrid>
                        <w:gridCol w:w="4124"/>
                        <w:gridCol w:w="2412"/>
                        <w:gridCol w:w="2788"/>
                      </w:tblGrid>
                      <w:tr>
                        <w:trPr/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6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color w:val="00000A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24" w:type="dxa"/>
                            <w:tcBorders>
                              <w:top w:val="single" w:sz="18" w:space="0" w:color="00000A"/>
                              <w:left w:val="single" w:sz="18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-6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Priemerný prepočítaný počet zamestnancov počas účtovného obdobia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2" w:space="0" w:color="00000A"/>
                              <w:insideH w:val="single" w:sz="18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788" w:type="dxa"/>
                            <w:tcBorders>
                              <w:top w:val="single" w:sz="18" w:space="0" w:color="00000A"/>
                              <w:left w:val="single" w:sz="12" w:space="0" w:color="00000A"/>
                              <w:bottom w:val="single" w:sz="18" w:space="0" w:color="00000A"/>
                              <w:right w:val="single" w:sz="18" w:space="0" w:color="00000A"/>
                              <w:insideH w:val="single" w:sz="18" w:space="0" w:color="00000A"/>
                              <w:insideV w:val="single" w:sz="18" w:space="0" w:color="00000A"/>
                            </w:tcBorders>
                            <w:shd w:fill="auto" w:val="clear"/>
                            <w:tcMar>
                              <w:left w:w="33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  <w:rPr>
                                <w:rFonts w:ascii="Times New Roman" w:hAnsi="Times New Roman" w:cs="Times New Roman"/>
                                <w:color w:val="00000A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color w:val="00000A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</w:t>
        <w:tab/>
        <w:t>Informácie o orgánoch spoločnosti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/>
          <w:b/>
          <w:color w:val="000000"/>
        </w:rPr>
      </w:pPr>
      <w:r>
        <w:rPr>
          <w:rFonts w:cs="Times New Roman" w:ascii="Times New Roman" w:hAnsi="Times New Roman"/>
          <w:b/>
          <w:color w:val="000000"/>
        </w:rPr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/>
          <w:color w:val="000000"/>
        </w:rPr>
        <w:t>II.1</w:t>
        <w:tab/>
        <w:t>Informácie o orgánoch účtovnej jednotky</w:t>
      </w:r>
      <w:r>
        <w:rPr>
          <w:rFonts w:cs="Arial Narrow" w:ascii="Arial Narrow" w:hAnsi="Arial Narrow"/>
          <w:bCs/>
          <w:color w:val="000000"/>
        </w:rPr>
        <w:t xml:space="preserve">– </w:t>
      </w:r>
      <w:r>
        <w:rPr>
          <w:rFonts w:cs="Times New Roman" w:ascii="Times New Roman" w:hAnsi="Times New Roman"/>
          <w:bCs/>
          <w:color w:val="000000"/>
        </w:rPr>
        <w:t>pre členov štatutárneho orgánu neboli poskytnuté    .           žiadne záruky, žiadne zabezpečenia, pôžičky.</w:t>
      </w:r>
    </w:p>
    <w:p>
      <w:pPr>
        <w:pStyle w:val="Normal"/>
        <w:spacing w:before="0" w:after="120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cs="Times New Roman" w:ascii="Times New Roman" w:hAnsi="Times New Roman"/>
          <w:bCs/>
          <w:color w:val="000000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  <w:color w:val="5B9BD5" w:themeColor="accent1"/>
        </w:rPr>
      </w:pPr>
      <w:r>
        <w:rPr>
          <w:rFonts w:cs="Times New Roman" w:ascii="Times New Roman" w:hAnsi="Times New Roman"/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  <w:r>
        <w:rPr>
          <w:rFonts w:cs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cs="Times New Roman" w:ascii="Times New Roman" w:hAnsi="Times New Roman"/>
        </w:rPr>
        <w:t>Účtovná závierka bola                                   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>
        <w:rPr>
          <w:rFonts w:ascii="Arial Narrow" w:hAnsi="Arial Narrow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  <w:r>
        <w:rPr>
          <w:rFonts w:cs="Times New Roman" w:ascii="Times New Roman" w:hAnsi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ind w:right="0" w:hanging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 xml:space="preserve">Informácie o charaktere a účele transakcií, ktoré sa neuvádzajú v súvahe: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06" w:type="dxa"/>
        <w:jc w:val="left"/>
        <w:tblInd w:w="-2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 Narrow" w:hAnsi="Arial Narrow" w:cs="Arial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y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Reálna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a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rá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f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č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e</w:t>
            </w: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cs="Arial" w:ascii="Arial Narrow" w:hAnsi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pacing w:val="0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pacing w:val="0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before="0" w:after="160"/>
              <w:jc w:val="both"/>
              <w:rPr>
                <w:rFonts w:ascii="Arial Narrow" w:hAnsi="Arial Narrow" w:cs="Arial"/>
                <w:lang w:val="en-AU"/>
              </w:rPr>
            </w:pPr>
            <w:r>
              <w:rPr>
                <w:rFonts w:cs="Arial" w:ascii="Arial Narrow" w:hAnsi="Arial Narrow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cs="Arial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Spacing"/>
        <w:rPr/>
      </w:pPr>
      <w:r>
        <w:rPr/>
        <w:t xml:space="preserve">Spoločnosť netvorila opravné položky k pohľadávkam, u ktorých je opodstatnené predpokladať, že ju </w:t>
      </w:r>
    </w:p>
    <w:p>
      <w:pPr>
        <w:pStyle w:val="NoSpacing"/>
        <w:rPr/>
      </w:pPr>
      <w:r>
        <w:rPr/>
        <w:t>dlžník úplne alebo čiastočne nezaplatí a k spornej pohľadávke voči dlžníkovi, s ktorým sa vedie spor o jej uznanie. Celková hodnota opravných položiek k pohľadávkam k 31.12.201</w:t>
      </w:r>
      <w:r>
        <w:rPr/>
        <w:t>9</w:t>
      </w:r>
      <w:r>
        <w:rPr/>
        <w:t xml:space="preserve"> predstavuje     </w:t>
      </w:r>
      <w:r>
        <w:rPr/>
        <w:t>72,-</w:t>
      </w:r>
      <w:r>
        <w:rPr/>
        <w:t xml:space="preserve">   €.</w:t>
      </w:r>
    </w:p>
    <w:p>
      <w:pPr>
        <w:pStyle w:val="NoSpacing"/>
        <w:rPr/>
      </w:pPr>
      <w:r>
        <w:rPr/>
        <w:t xml:space="preserve">Neuhradené pohľadávky z obchodného styku ku koncu roku sú v celkovej výške   </w:t>
      </w:r>
      <w:r>
        <w:rPr/>
        <w:t>362</w:t>
      </w:r>
      <w:r>
        <w:rPr/>
        <w:t>,</w:t>
      </w:r>
      <w:r>
        <w:rPr/>
        <w:t>15</w:t>
      </w:r>
      <w:r>
        <w:rPr/>
        <w:t xml:space="preserve">   €.</w:t>
      </w:r>
    </w:p>
    <w:p>
      <w:pPr>
        <w:pStyle w:val="NoSpacing"/>
        <w:rPr/>
      </w:pPr>
      <w:r>
        <w:rPr/>
        <w:t xml:space="preserve"> </w:t>
      </w:r>
    </w:p>
    <w:tbl>
      <w:tblPr>
        <w:tblW w:w="9568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1"/>
        <w:gridCol w:w="3686"/>
      </w:tblGrid>
      <w:tr>
        <w:trPr>
          <w:trHeight w:val="735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5881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bottom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Spacing"/>
        <w:rPr/>
      </w:pPr>
      <w:r>
        <w:rPr/>
        <w:t>Spoločnosť tvorila krátkodobé rezervy, kde predpokladaná doba plnenia príslušného záväzku je najviac</w:t>
      </w:r>
    </w:p>
    <w:p>
      <w:pPr>
        <w:pStyle w:val="NoSpacing"/>
        <w:rPr/>
      </w:pPr>
      <w:r>
        <w:rPr/>
        <w:t xml:space="preserve">jeden rok. </w:t>
      </w:r>
    </w:p>
    <w:p>
      <w:pPr>
        <w:pStyle w:val="NoSpacing"/>
        <w:rPr/>
      </w:pPr>
      <w:r>
        <w:rPr/>
      </w:r>
    </w:p>
    <w:tbl>
      <w:tblPr>
        <w:tblW w:w="9341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5882"/>
        <w:gridCol w:w="3458"/>
      </w:tblGrid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 w:themeColor="text1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588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2F75B5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22" w:type="dxa"/>
            </w:tcMar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color w:val="2F75B5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Ocenenie krátkodobého finančného majetku reálnou hodnotou ku dňu zostavenia účtovnej závierky: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tbl>
      <w:tblPr>
        <w:tblW w:w="9284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332"/>
        <w:gridCol w:w="2126"/>
        <w:gridCol w:w="1556"/>
        <w:gridCol w:w="2269"/>
      </w:tblGrid>
      <w:tr>
        <w:trPr>
          <w:trHeight w:val="1870" w:hRule="atLeast"/>
        </w:trPr>
        <w:tc>
          <w:tcPr>
            <w:tcW w:w="333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>
        <w:trPr>
          <w:trHeight w:val="390" w:hRule="atLeast"/>
        </w:trPr>
        <w:tc>
          <w:tcPr>
            <w:tcW w:w="3332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155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  <w:tc>
          <w:tcPr>
            <w:tcW w:w="22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eastAsia="Times New Roman" w:cs="Arial"/>
                <w:bCs/>
                <w:color w:val="000000"/>
                <w:lang w:eastAsia="sk-SK"/>
              </w:rPr>
            </w:pPr>
            <w:r>
              <w:rPr>
                <w:rFonts w:eastAsia="Times New Roman" w:cs="Arial" w:ascii="Arial" w:hAnsi="Arial"/>
                <w:bCs/>
                <w:color w:val="000000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III. 4 e) Významné položky krátkodobého finančného majetku a opravné položky ku krátkodobému                                        </w:t>
      </w:r>
    </w:p>
    <w:p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b/>
        </w:rPr>
        <w:t xml:space="preserve">             </w:t>
      </w:r>
      <w:r>
        <w:rPr>
          <w:b/>
        </w:rPr>
        <w:t>finančnému</w:t>
      </w:r>
      <w:r>
        <w:rPr/>
        <w:t xml:space="preserve"> </w:t>
      </w:r>
      <w:r>
        <w:rPr>
          <w:b/>
        </w:rPr>
        <w:t xml:space="preserve">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37" w:type="dxa"/>
        <w:jc w:val="left"/>
        <w:tblInd w:w="-35" w:type="dxa"/>
        <w:tblCellMar>
          <w:top w:w="0" w:type="dxa"/>
          <w:left w:w="7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2839"/>
        <w:gridCol w:w="2954"/>
        <w:gridCol w:w="3544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cs="Arial"/>
              </w:rPr>
            </w:pPr>
            <w:r>
              <w:rPr>
                <w:rFonts w:cs="Arial" w:ascii="Arial Narrow" w:hAnsi="Arial Narrow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Budovy a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Arial" w:ascii="Arial Narrow" w:hAnsi="Arial Narrow"/>
              </w:rPr>
              <w:t>Drobné stavby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 w:before="0" w:after="12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1"/>
        </w:numPr>
        <w:spacing w:lineRule="auto" w:line="240" w:before="0" w:after="120"/>
        <w:ind w:left="227" w:hanging="227"/>
        <w:jc w:val="both"/>
        <w:rPr/>
      </w:pPr>
      <w:r>
        <w:rPr>
          <w:rFonts w:cs="Times New Roman" w:ascii="Times New Roman" w:hAnsi="Times New Roman"/>
        </w:rPr>
        <w:t>ÚJ používa rovnomerné odpisovanie dlhodobého hmotného majetku a dlhodobého nehmotného majetku. Podrobný účtovný odpisový plán po položkách sa vedie v podsystéme DHM s podporou softvéru OMEGA od KROS a.s.(taktiež daňové odpisy podľa zákona o dani z príjmov). Jednotka neeviduje dlhodobý hmotný a nehmotný majetok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g)</w:t>
        <w:tab/>
        <w:t xml:space="preserve">Dotácie poskytnuté na obstaranie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 xml:space="preserve">Oprava významných a nevýznamných chýb minulých účtovných období vykonaných v bežnom účtovnom období: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IV</w:t>
        <w:tab/>
        <w:t>Informácie, ktoré vysvetľujú a dopĺňajú súvahu a  výkaz ziskov a strát</w:t>
      </w:r>
    </w:p>
    <w:p>
      <w:pPr>
        <w:pStyle w:val="Normal"/>
        <w:spacing w:lineRule="auto" w:line="240"/>
        <w:ind w:right="0" w:hanging="0"/>
        <w:jc w:val="both"/>
        <w:rPr>
          <w:rFonts w:ascii="Times New Roman" w:hAnsi="Times New Roman" w:eastAsia="MS Gothic" w:cs="Times New Roman"/>
          <w:b/>
          <w:b/>
          <w:color w:val="00000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a)</w:t>
        <w:tab/>
        <w:t xml:space="preserve">Informácie o 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 b)</w:t>
        <w:tab/>
        <w:t xml:space="preserve">Hodnota záväzkov zabezpečená záložným právom: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  <w:tab/>
        <w:t>Informácie o výnosoch a nákladoch, ktoré majú výnimočný rozsah alebo výskyt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jc w:val="left"/>
        <w:tblInd w:w="-88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3"/>
        <w:gridCol w:w="2602"/>
        <w:gridCol w:w="2861"/>
      </w:tblGrid>
      <w:tr>
        <w:trPr>
          <w:trHeight w:val="975" w:hRule="atLeast"/>
        </w:trPr>
        <w:tc>
          <w:tcPr>
            <w:tcW w:w="389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6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1. Tržby za tovar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53040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103897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Tržby za vlastné výroby: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tržby za 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Tržby z predaja služieb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550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prenájom nebytov. priestorov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tržby za dopravné výkony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3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jc w:val="left"/>
        <w:tblInd w:w="-88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3898"/>
        <w:gridCol w:w="2765"/>
        <w:gridCol w:w="2693"/>
      </w:tblGrid>
      <w:tr>
        <w:trPr>
          <w:trHeight w:val="694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20519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55657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   </w:t>
            </w: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Spotreba materiálu a energie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105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284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105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284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energie a vody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22893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32370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22893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/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32370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  <w:insideH w:val="single" w:sz="4" w:space="0" w:color="00000A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  <w:insideH w:val="single" w:sz="4" w:space="0" w:color="00000A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center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  <w:tr>
        <w:trPr>
          <w:trHeight w:val="330" w:hRule="atLeast"/>
        </w:trPr>
        <w:tc>
          <w:tcPr>
            <w:tcW w:w="389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 xml:space="preserve">    </w:t>
            </w:r>
            <w:r>
              <w:rPr>
                <w:rFonts w:eastAsia="Times New Roman" w:cs="Times New Roman" w:ascii="Times New Roman" w:hAnsi="Times New Roman"/>
                <w:lang w:eastAsia="sk-SK"/>
              </w:rPr>
              <w:t>- poistenie majetku</w:t>
            </w:r>
          </w:p>
        </w:tc>
        <w:tc>
          <w:tcPr>
            <w:tcW w:w="2765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  <w:tc>
          <w:tcPr>
            <w:tcW w:w="2693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5B9BD5" w:themeColor="accent1"/>
          <w:szCs w:val="24"/>
        </w:rPr>
        <w:t>Čl. V</w:t>
        <w:tab/>
      </w:r>
      <w:r>
        <w:rPr>
          <w:rFonts w:cs="Times New Roman" w:ascii="Times New Roman" w:hAnsi="Times New Roman"/>
          <w:b/>
          <w:color w:val="000000"/>
          <w:szCs w:val="24"/>
        </w:rPr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 xml:space="preserve">Informácie o podmienenom majetku: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 xml:space="preserve">Informácie o podmienených záväzkoch: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údajoch na podsúvahových účtoch</w:t>
      </w:r>
    </w:p>
    <w:tbl>
      <w:tblPr>
        <w:tblW w:w="9341" w:type="dxa"/>
        <w:jc w:val="left"/>
        <w:tblInd w:w="-89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top w:w="0" w:type="dxa"/>
          <w:left w:w="-22" w:type="dxa"/>
          <w:bottom w:w="0" w:type="dxa"/>
          <w:right w:w="70" w:type="dxa"/>
        </w:tblCellMar>
        <w:tblLook w:noVBand="1" w:val="04a0" w:noHBand="0" w:lastColumn="0" w:firstColumn="1" w:lastRow="0" w:firstRow="1"/>
      </w:tblPr>
      <w:tblGrid>
        <w:gridCol w:w="4138"/>
        <w:gridCol w:w="2651"/>
        <w:gridCol w:w="2552"/>
      </w:tblGrid>
      <w:tr>
        <w:trPr>
          <w:trHeight w:val="330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>
        <w:trPr>
          <w:trHeight w:val="144" w:hRule="atLeast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54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Odpísané akcie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86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  <w:insideH w:val="single" w:sz="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  <w:insideH w:val="single" w:sz="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  <w:tr>
        <w:trPr>
          <w:trHeight w:val="138" w:hRule="atLeast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-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lang w:eastAsia="sk-SK"/>
              </w:rPr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  <w:insideH w:val="single" w:sz="18" w:space="0" w:color="000001"/>
              <w:insideV w:val="single" w:sz="12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  <w:insideH w:val="single" w:sz="18" w:space="0" w:color="000001"/>
              <w:insideV w:val="single" w:sz="18" w:space="0" w:color="000001"/>
            </w:tcBorders>
            <w:shd w:color="auto" w:fill="auto" w:val="clear"/>
            <w:tcMar>
              <w:left w:w="17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</w:t>
        <w:tab/>
        <w:t> Udalosti, ktoré nastali po dni, ku ktorému sa zostavuje účtovná závierka</w:t>
      </w:r>
    </w:p>
    <w:p>
      <w:pPr>
        <w:pStyle w:val="NoSpacing"/>
        <w:rPr/>
      </w:pPr>
      <w:r>
        <w:rPr>
          <w:b/>
          <w:color w:val="000000"/>
        </w:rPr>
        <w:t xml:space="preserve">VI.           </w:t>
      </w:r>
      <w:r>
        <w:rPr>
          <w:b w:val="false"/>
          <w:bCs w:val="false"/>
          <w:color w:val="000000"/>
        </w:rPr>
        <w:t xml:space="preserve">   </w:t>
      </w:r>
      <w:r>
        <w:rPr>
          <w:rFonts w:cs="Times New Roman" w:ascii="Times New Roman" w:hAnsi="Times New Roman"/>
          <w:b w:val="false"/>
          <w:bCs w:val="false"/>
          <w:color w:val="000000"/>
        </w:rPr>
        <w:t>V nadväznosti na aktuálnu mimoriadnu situáciu, ktorá bola vyvolaná</w:t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vírusom COVID19 chce spoločnosť predbežne posúdiť možný vplyv tejto situácie</w:t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na obchodné aktivity a taktiež finančnú situáciu po 13.3.2020. Môže dôjsť k:</w:t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- prerušenie dodávateľských vzťahov,</w:t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- porušenie zmluvných ustanovení,</w:t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- možná zadĺženosť</w:t>
      </w:r>
    </w:p>
    <w:p>
      <w:pPr>
        <w:pStyle w:val="NoSpacing"/>
        <w:rPr>
          <w:rFonts w:ascii="Times New Roman" w:hAnsi="Times New Roman" w:cs="Times New Roman"/>
          <w:color w:val="000000"/>
        </w:rPr>
      </w:pPr>
      <w:r>
        <w:rPr>
          <w:b w:val="false"/>
          <w:bCs w:val="false"/>
        </w:rPr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V čase zverejnenia účtovnej závierky vedenie účtovnej jednotky nezaznamenalo významný pokles</w:t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obchodných aktív, nakoľko sa však situácia stále mení, nemožno predvídať budúce dopady.</w:t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Vedenie spoločnosti bude pokračovať v monitorovaní potenciálneho dopadu a podnikne všetky možné kroky</w:t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na zmiernenie akýchkoľvek negatívnych účinkov na spoločnosť</w:t>
      </w:r>
    </w:p>
    <w:p>
      <w:pPr>
        <w:pStyle w:val="NoSpacing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  <w:t>Akýkoľvek negatívny vplyv resp. straty zahrnie účtovná jednotka do účtovníctva a účtovnej závierky v roku 2020</w:t>
      </w:r>
    </w:p>
    <w:p>
      <w:pPr>
        <w:pStyle w:val="NoSpacing"/>
        <w:rPr>
          <w:rFonts w:ascii="Times New Roman" w:hAnsi="Times New Roman" w:cs="Times New Roman"/>
          <w:b w:val="false"/>
          <w:b w:val="false"/>
          <w:bCs w:val="false"/>
          <w:color w:val="000000"/>
        </w:rPr>
      </w:pPr>
      <w:r>
        <w:rPr>
          <w:rFonts w:cs="Times New Roman" w:ascii="Times New Roman" w:hAnsi="Times New Roman"/>
          <w:b w:val="false"/>
          <w:bCs w:val="false"/>
          <w:color w:val="000000"/>
        </w:rPr>
      </w:r>
    </w:p>
    <w:p>
      <w:pPr>
        <w:pStyle w:val="NoSpacing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color w:val="5B9BD5" w:themeColor="accent1"/>
          <w:szCs w:val="24"/>
        </w:rPr>
      </w:pPr>
      <w:r>
        <w:rPr>
          <w:rFonts w:cs="Times New Roman" w:ascii="Times New Roman" w:hAnsi="Times New Roman"/>
          <w:b/>
          <w:color w:val="000000"/>
          <w:szCs w:val="24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 </w:t>
        <w:tab/>
        <w:t xml:space="preserve"> </w:t>
      </w:r>
      <w:r>
        <w:rPr>
          <w:rFonts w:eastAsia="MS Gothic" w:cs="Times New Roman" w:ascii="Times New Roman" w:hAnsi="Times New Roman"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color w:val="00000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2016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>
        <w:b/>
      </w:rPr>
      <w:t xml:space="preserve">Strana </w:t>
    </w:r>
    <w:r>
      <w:rPr>
        <w:b/>
      </w:rPr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  <w:r>
      <w:rPr>
        <w:b/>
      </w:rPr>
      <w:t xml:space="preserve"> z </w:t>
    </w:r>
    <w:r>
      <w:rPr>
        <w:b/>
        <w:bCs/>
      </w:rPr>
      <w:t>7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Mriekatabuky"/>
      <w:tblW w:w="9317" w:type="dxa"/>
      <w:jc w:val="left"/>
      <w:tblInd w:w="0" w:type="dxa"/>
      <w:tblCellMar>
        <w:top w:w="0" w:type="dxa"/>
        <w:left w:w="133" w:type="dxa"/>
        <w:bottom w:w="0" w:type="dxa"/>
        <w:right w:w="108" w:type="dxa"/>
      </w:tblCellMar>
      <w:tblLook w:noVBand="1" w:val="04a0" w:noHBand="0" w:lastColumn="0" w:firstColumn="1" w:lastRow="0" w:firstRow="1"/>
    </w:tblPr>
    <w:tblGrid>
      <w:gridCol w:w="2609"/>
      <w:gridCol w:w="687"/>
      <w:gridCol w:w="288"/>
      <w:gridCol w:w="289"/>
      <w:gridCol w:w="287"/>
      <w:gridCol w:w="287"/>
      <w:gridCol w:w="287"/>
      <w:gridCol w:w="288"/>
      <w:gridCol w:w="289"/>
      <w:gridCol w:w="288"/>
      <w:gridCol w:w="840"/>
      <w:gridCol w:w="288"/>
      <w:gridCol w:w="289"/>
      <w:gridCol w:w="289"/>
      <w:gridCol w:w="287"/>
      <w:gridCol w:w="288"/>
      <w:gridCol w:w="288"/>
      <w:gridCol w:w="288"/>
      <w:gridCol w:w="288"/>
      <w:gridCol w:w="286"/>
      <w:gridCol w:w="284"/>
    </w:tblGrid>
    <w:tr>
      <w:trPr>
        <w:trHeight w:val="138" w:hRule="atLeast"/>
      </w:trPr>
      <w:tc>
        <w:tcPr>
          <w:tcW w:w="2609" w:type="dxa"/>
          <w:tcBorders>
            <w:top w:val="nil"/>
            <w:left w:val="nil"/>
            <w:bottom w:val="nil"/>
            <w:right w:val="nil"/>
            <w:insideH w:val="nil"/>
            <w:insideV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ind w:left="0" w:right="0" w:hanging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Poznámky Úč PODV 3 – 01</w:t>
          </w:r>
        </w:p>
      </w:tc>
      <w:tc>
        <w:tcPr>
          <w:tcW w:w="687" w:type="dxa"/>
          <w:tcBorders>
            <w:top w:val="nil"/>
            <w:left w:val="nil"/>
            <w:bottom w:val="nil"/>
            <w:insideH w:val="nil"/>
          </w:tcBorders>
          <w:shd w:fill="auto" w:val="clear"/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IČO: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9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289" w:type="dxa"/>
          <w:tcBorders>
            <w:left w:val="nil"/>
            <w:right w:val="nil"/>
            <w:insideV w:val="nil"/>
          </w:tcBorders>
          <w:shd w:fill="auto" w:val="clear"/>
          <w:tcMar>
            <w:left w:w="103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6</w:t>
          </w:r>
        </w:p>
      </w:tc>
      <w:tc>
        <w:tcPr>
          <w:tcW w:w="840" w:type="dxa"/>
          <w:tcBorders>
            <w:top w:val="nil"/>
            <w:bottom w:val="nil"/>
            <w:insideH w:val="nil"/>
          </w:tcBorders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 xml:space="preserve">  </w:t>
          </w:r>
          <w:r>
            <w:rPr>
              <w:rFonts w:cs="Times New Roman" w:ascii="Times New Roman" w:hAnsi="Times New Roman"/>
              <w:szCs w:val="24"/>
            </w:rPr>
            <w:t>DIČ: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9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0</w:t>
          </w:r>
        </w:p>
      </w:tc>
      <w:tc>
        <w:tcPr>
          <w:tcW w:w="289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2</w:t>
          </w:r>
        </w:p>
      </w:tc>
      <w:tc>
        <w:tcPr>
          <w:tcW w:w="287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4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8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8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1</w:t>
          </w:r>
        </w:p>
      </w:tc>
      <w:tc>
        <w:tcPr>
          <w:tcW w:w="286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3</w:t>
          </w:r>
        </w:p>
      </w:tc>
      <w:tc>
        <w:tcPr>
          <w:tcW w:w="284" w:type="dxa"/>
          <w:tcBorders/>
          <w:shd w:fill="auto" w:val="clear"/>
          <w:tcMar>
            <w:left w:w="88" w:type="dxa"/>
          </w:tcMar>
        </w:tcPr>
        <w:p>
          <w:pPr>
            <w:pStyle w:val="Hlavika"/>
            <w:tabs>
              <w:tab w:val="center" w:pos="4536" w:leader="none"/>
              <w:tab w:val="left" w:pos="5106" w:leader="none"/>
              <w:tab w:val="right" w:pos="9072" w:leader="none"/>
            </w:tabs>
            <w:spacing w:lineRule="auto" w:line="240" w:before="0" w:after="0"/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cs="Times New Roman" w:ascii="Times New Roman" w:hAnsi="Times New Roman"/>
              <w:szCs w:val="24"/>
            </w:rPr>
            <w:t>9</w:t>
          </w:r>
        </w:p>
      </w:tc>
    </w:tr>
  </w:tbl>
  <w:p>
    <w:pPr>
      <w:pStyle w:val="Hlavika"/>
      <w:tabs>
        <w:tab w:val="center" w:pos="4536" w:leader="none"/>
        <w:tab w:val="left" w:pos="5106" w:leader="none"/>
        <w:tab w:val="right" w:pos="9072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ad663b"/>
    <w:rPr>
      <w:rFonts w:ascii="Times New Roman" w:hAnsi="Times New Roman" w:eastAsia="Times New Roman" w:cs="Times New Roman"/>
      <w:sz w:val="24"/>
      <w:szCs w:val="24"/>
      <w:lang w:val="en-US"/>
    </w:rPr>
  </w:style>
  <w:style w:type="character" w:styleId="ListLabel1">
    <w:name w:val="ListLabel 1"/>
    <w:qFormat/>
    <w:rPr>
      <w:rFonts w:eastAsia="Calibri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Times New Roman" w:hAnsi="Times New Roman" w:cs="Symbol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ascii="Times New Roman" w:hAnsi="Times New Roman"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character" w:styleId="ListLabel9">
    <w:name w:val="ListLabel 9"/>
    <w:qFormat/>
    <w:rPr>
      <w:rFonts w:ascii="Times New Roman" w:hAnsi="Times New Roman" w:cs="Symbo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Wingdings"/>
    </w:rPr>
  </w:style>
  <w:style w:type="character" w:styleId="ListLabel12">
    <w:name w:val="ListLabel 12"/>
    <w:qFormat/>
    <w:rPr>
      <w:rFonts w:ascii="Times New Roman" w:hAnsi="Times New Roman" w:cs="Symbol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 CE"/>
      <w:sz w:val="28"/>
      <w:szCs w:val="28"/>
    </w:rPr>
  </w:style>
  <w:style w:type="paragraph" w:styleId="Telotextu">
    <w:name w:val="Telo textu"/>
    <w:basedOn w:val="Normal"/>
    <w:link w:val="ZkladntextChar"/>
    <w:uiPriority w:val="1"/>
    <w:unhideWhenUsed/>
    <w:qFormat/>
    <w:rsid w:val="00ad663b"/>
    <w:pPr>
      <w:widowControl w:val="false"/>
      <w:spacing w:lineRule="auto" w:line="240" w:before="0" w:after="0"/>
      <w:ind w:left="668" w:hanging="567"/>
    </w:pPr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Zoznam">
    <w:name w:val="Zoznam"/>
    <w:basedOn w:val="Normal"/>
    <w:rsid w:val="00176074"/>
    <w:pPr>
      <w:spacing w:lineRule="auto" w:line="240" w:before="0" w:after="0"/>
      <w:ind w:left="283" w:hanging="283"/>
    </w:pPr>
    <w:rPr>
      <w:rFonts w:ascii="Times New Roman" w:hAnsi="Times New Roman" w:eastAsia="Times New Roman" w:cs="Times New Roman"/>
      <w:sz w:val="20"/>
      <w:szCs w:val="20"/>
      <w:lang w:eastAsia="sk-SK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CE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CE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df38ae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1637</TotalTime>
  <Application>LibreOffice/4.4.0.3$Windows_x86 LibreOffice_project/de093506bcdc5fafd9023ee680b8c60e3e0645d7</Application>
  <Paragraphs>267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2017-01-29T11:23:00Z</dcterms:created>
  <dc:creator>Martin T</dc:creator>
  <dc:language>sk-SK</dc:language>
  <cp:lastPrinted>2016-01-29T11:21:00Z</cp:lastPrinted>
  <dcterms:modified xsi:type="dcterms:W3CDTF">2020-03-31T20:24:52Z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