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/>
      </w:pPr>
      <w:r>
        <w:rPr>
          <w:rFonts w:ascii="Arial Narrow" w:hAnsi="Arial Narrow"/>
          <w:b/>
        </w:rPr>
        <w:t xml:space="preserve">pre </w:t>
      </w:r>
      <w:r>
        <w:rPr>
          <w:rFonts w:ascii="Arial Narrow" w:hAnsi="Arial Narrow"/>
          <w:b/>
        </w:rPr>
        <w:t>mikro</w:t>
      </w:r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89"/>
        <w:gridCol w:w="6855"/>
      </w:tblGrid>
      <w:tr>
        <w:trPr>
          <w:trHeight w:val="231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ALLwood, s.r.o. </w:t>
            </w:r>
          </w:p>
        </w:tc>
      </w:tr>
      <w:tr>
        <w:trPr>
          <w:trHeight w:val="249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 xml:space="preserve">s.r.o. </w:t>
            </w:r>
          </w:p>
        </w:tc>
      </w:tr>
      <w:tr>
        <w:trPr>
          <w:trHeight w:val="143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Zápis do obchodného registra:  29.1.2015</w:t>
            </w:r>
          </w:p>
        </w:tc>
      </w:tr>
      <w:tr>
        <w:trPr>
          <w:trHeight w:val="175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>Hlavný predmet podnikania:</w:t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 xml:space="preserve">Sprostredkovateľská činnosť v oblasti obchodu 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 xml:space="preserve">Skladovanie 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 xml:space="preserve">Baliace činnosti, manipulácia s tovarom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Kúpa tovaru za účelom jeho predaja konečnému spotrebiteľovi (maloobchod) alebo iným prevádzkovateľom živnosti (veľkoobchod) </w:t>
            </w:r>
          </w:p>
        </w:tc>
      </w:tr>
      <w:tr>
        <w:trPr>
          <w:trHeight w:val="194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</w:t>
            </w:r>
            <w:r>
              <w:rPr/>
              <w:t>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  <w:bCs/>
        </w:rPr>
        <w:t>mikro</w:t>
      </w:r>
      <w:r>
        <w:rPr>
          <w:b/>
          <w:bCs/>
        </w:rPr>
        <w:t xml:space="preserve"> </w:t>
      </w:r>
      <w:r>
        <w:rPr>
          <w:b/>
        </w:rPr>
        <w:t xml:space="preserve">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2"/>
        <w:gridCol w:w="3407"/>
        <w:gridCol w:w="3969"/>
      </w:tblGrid>
      <w:tr>
        <w:trPr/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105063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182277</w:t>
            </w:r>
          </w:p>
        </w:tc>
      </w:tr>
      <w:tr>
        <w:trPr/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53590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103897</w:t>
            </w:r>
          </w:p>
        </w:tc>
      </w:tr>
      <w:tr>
        <w:trPr/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>účtovná závierka k 31.12.201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 xml:space="preserve"> bola schválená </w:t>
      </w:r>
      <w:r>
        <w:rPr>
          <w:rFonts w:cs="Arial Narrow" w:ascii="Arial Narrow" w:hAnsi="Arial Narrow"/>
        </w:rPr>
        <w:t>26.03.2019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/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>k 31.12.201</w:t>
      </w:r>
      <w:r>
        <w:rPr>
          <w:rFonts w:cs="Arial Narrow" w:ascii="Arial Narrow" w:hAnsi="Arial Narrow"/>
        </w:rPr>
        <w:t>9</w:t>
      </w:r>
      <w:r>
        <w:rPr>
          <w:rFonts w:cs="Arial Narrow" w:ascii="Arial Narrow" w:hAnsi="Arial Narrow"/>
        </w:rPr>
        <w:t xml:space="preserve"> je účtovná závierka zostavená ako riadna účtovná závierka za účtovné obdobie od 1.1.201</w:t>
      </w:r>
      <w:r>
        <w:rPr>
          <w:rFonts w:cs="Arial Narrow" w:ascii="Arial Narrow" w:hAnsi="Arial Narrow"/>
        </w:rPr>
        <w:t>9</w:t>
      </w:r>
      <w:r>
        <w:rPr>
          <w:rFonts w:cs="Arial Narrow" w:ascii="Arial Narrow" w:hAnsi="Arial Narrow"/>
        </w:rPr>
        <w:t xml:space="preserve"> do          </w:t>
      </w:r>
    </w:p>
    <w:p>
      <w:pPr>
        <w:pStyle w:val="Normal"/>
        <w:ind w:right="0" w:hanging="0"/>
        <w:jc w:val="both"/>
        <w:rPr/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</w:t>
      </w:r>
      <w:r>
        <w:rPr>
          <w:rFonts w:cs="Arial Narrow" w:ascii="Arial Narrow" w:hAnsi="Arial Narrow"/>
        </w:rPr>
        <w:t>9</w:t>
      </w:r>
      <w:r>
        <w:rPr>
          <w:rFonts w:cs="Arial Narrow" w:ascii="Arial Narrow" w:hAnsi="Arial Narrow"/>
        </w:rPr>
        <w:t>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3280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72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16" w:type="dxa"/>
                              <w:tblCellMar>
                                <w:top w:w="0" w:type="dxa"/>
                                <w:left w:w="-6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6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6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3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16" w:type="dxa"/>
                        <w:tblCellMar>
                          <w:top w:w="0" w:type="dxa"/>
                          <w:left w:w="-6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6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6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netvorila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</w:t>
      </w:r>
      <w:r>
        <w:rPr/>
        <w:t>9</w:t>
      </w:r>
      <w:r>
        <w:rPr/>
        <w:t xml:space="preserve"> predstavuje     </w:t>
      </w:r>
      <w:r>
        <w:rPr/>
        <w:t>72,-</w:t>
      </w:r>
      <w:r>
        <w:rPr/>
        <w:t xml:space="preserve">   €.</w:t>
      </w:r>
    </w:p>
    <w:p>
      <w:pPr>
        <w:pStyle w:val="NoSpacing"/>
        <w:rPr/>
      </w:pPr>
      <w:r>
        <w:rPr/>
        <w:t xml:space="preserve">Neuhradené pohľadávky z obchodného styku ku koncu roku sú v celkovej výške   </w:t>
      </w:r>
      <w:r>
        <w:rPr/>
        <w:t>362</w:t>
      </w:r>
      <w:r>
        <w:rPr/>
        <w:t>,</w:t>
      </w:r>
      <w:r>
        <w:rPr/>
        <w:t>15</w:t>
      </w:r>
      <w:r>
        <w:rPr/>
        <w:t xml:space="preserve">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2"/>
        <w:gridCol w:w="2126"/>
        <w:gridCol w:w="1556"/>
        <w:gridCol w:w="2269"/>
      </w:tblGrid>
      <w:tr>
        <w:trPr>
          <w:trHeight w:val="1870" w:hRule="atLeast"/>
        </w:trPr>
        <w:tc>
          <w:tcPr>
            <w:tcW w:w="33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35" w:type="dxa"/>
        <w:tblCellMar>
          <w:top w:w="0" w:type="dxa"/>
          <w:left w:w="7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>ÚJ používa rovnomerné odpisovanie dlhodobého hmotného majetku a dlhodobého nehmotného majetku. Podrobný účtovný odpisový plán po položkách sa vedie v podsystéme DHM s podporou softvéru OMEGA od KROS a.s.(taktiež daňové odpisy podľa zákona o dani z príjmov). Jednotka neeviduje dlhodobý hmotný a nehmotný majetok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color w:val="00000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3"/>
        <w:gridCol w:w="2602"/>
        <w:gridCol w:w="2861"/>
      </w:tblGrid>
      <w:tr>
        <w:trPr>
          <w:trHeight w:val="975" w:hRule="atLeast"/>
        </w:trPr>
        <w:tc>
          <w:tcPr>
            <w:tcW w:w="389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6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53040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103897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550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8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20519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55657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284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284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22893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32370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22893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32370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</w:r>
      <w:r>
        <w:rPr>
          <w:rFonts w:cs="Times New Roman" w:ascii="Times New Roman" w:hAnsi="Times New Roman"/>
          <w:b/>
          <w:color w:val="000000"/>
          <w:szCs w:val="24"/>
        </w:rPr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89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/>
      </w:pPr>
      <w:r>
        <w:rPr>
          <w:b/>
          <w:color w:val="000000"/>
        </w:rPr>
        <w:t xml:space="preserve">VI.           </w:t>
      </w:r>
      <w:r>
        <w:rPr>
          <w:b w:val="false"/>
          <w:bCs w:val="false"/>
          <w:color w:val="000000"/>
        </w:rPr>
        <w:t xml:space="preserve">   </w:t>
      </w:r>
      <w:r>
        <w:rPr>
          <w:rFonts w:cs="Times New Roman" w:ascii="Times New Roman" w:hAnsi="Times New Roman"/>
          <w:b w:val="false"/>
          <w:bCs w:val="false"/>
          <w:color w:val="000000"/>
        </w:rPr>
        <w:t>V nadväznosti na aktuálnu mimoriadnu situáciu, ktorá bola vyvolaná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vírusom COVID19 chce spoločnosť predbežne posúdiť možný vplyv tejto situácie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na obchodné aktivity a taktiež finančnú situáciu po 13.3.2020. Môže dôjsť k: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- prerušenie dodávateľských vzťahov,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- porušenie zmluvných ustanovení,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- možná zadĺženosť</w:t>
      </w:r>
    </w:p>
    <w:p>
      <w:pPr>
        <w:pStyle w:val="NoSpacing"/>
        <w:rPr>
          <w:rFonts w:ascii="Times New Roman" w:hAnsi="Times New Roman" w:cs="Times New Roman"/>
          <w:color w:val="000000"/>
        </w:rPr>
      </w:pPr>
      <w:r>
        <w:rPr>
          <w:b w:val="false"/>
          <w:bCs w:val="false"/>
        </w:rPr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V čase zverejnenia účtovnej závierky vedenie účtovnej jednotky nezaznamenalo významný pokles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obchodných aktív, nakoľko sa však situácia stále mení, nemožno predvídať budúce dopady.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Vedenie spoločnosti bude pokračovať v monitorovaní potenciálneho dopadu a podnikne všetky možné kroky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na zmiernenie akýchkoľvek negatívnych účinkov na spoločnosť</w:t>
      </w:r>
    </w:p>
    <w:p>
      <w:pPr>
        <w:pStyle w:val="NoSpacing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  <w:t>Akýkoľvek negatívny vplyv resp. straty zahrnie účtovná jednotka do účtovníctva a účtovnej závierky v roku 2020</w:t>
      </w:r>
    </w:p>
    <w:p>
      <w:pPr>
        <w:pStyle w:val="NoSpacing"/>
        <w:rPr>
          <w:rFonts w:ascii="Times New Roman" w:hAnsi="Times New Roman" w:cs="Times New Roman"/>
          <w:b w:val="false"/>
          <w:b w:val="false"/>
          <w:bCs w:val="false"/>
          <w:color w:val="000000"/>
        </w:rPr>
      </w:pPr>
      <w:r>
        <w:rPr>
          <w:rFonts w:cs="Times New Roman" w:ascii="Times New Roman" w:hAnsi="Times New Roman"/>
          <w:b w:val="false"/>
          <w:bCs w:val="false"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33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7"/>
      <w:gridCol w:w="288"/>
      <w:gridCol w:w="289"/>
      <w:gridCol w:w="287"/>
      <w:gridCol w:w="287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8"/>
      <w:gridCol w:w="288"/>
      <w:gridCol w:w="286"/>
      <w:gridCol w:w="284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7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9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9" w:type="dxa"/>
          <w:tcBorders>
            <w:left w:val="nil"/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6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ascii="Times New Roman" w:hAnsi="Times New Roman"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character" w:styleId="ListLabel12">
    <w:name w:val="ListLabel 12"/>
    <w:qFormat/>
    <w:rPr>
      <w:rFonts w:ascii="Times New Roman" w:hAnsi="Times New Roman" w:cs="Symbol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Application>LibreOffice/4.4.0.3$Windows_x86 LibreOffice_project/de093506bcdc5fafd9023ee680b8c60e3e0645d7</Application>
  <Paragraphs>267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2020-03-31T20:24:52Z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