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Základná umelecká škola – </w:t>
      </w:r>
      <w:proofErr w:type="spellStart"/>
      <w:r>
        <w:rPr>
          <w:rFonts w:ascii="Times New Roman" w:hAnsi="Times New Roman"/>
          <w:b/>
          <w:bCs/>
        </w:rPr>
        <w:t>Művészeti</w:t>
      </w:r>
      <w:proofErr w:type="spellEnd"/>
      <w:r>
        <w:rPr>
          <w:rFonts w:ascii="Times New Roman" w:hAnsi="Times New Roman"/>
          <w:b/>
          <w:bCs/>
        </w:rPr>
        <w:t xml:space="preserve"> </w:t>
      </w:r>
      <w:proofErr w:type="spellStart"/>
      <w:r>
        <w:rPr>
          <w:rFonts w:ascii="Times New Roman" w:hAnsi="Times New Roman"/>
          <w:b/>
          <w:bCs/>
        </w:rPr>
        <w:t>Alapiskola</w:t>
      </w:r>
      <w:proofErr w:type="spellEnd"/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930 05 Gabčíkovo, Námestie Svätej trojice 1042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__________________________________________________________________________________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Poznámky k individuálnej účtovnej závierke k 31.12.201</w:t>
      </w:r>
      <w:r w:rsidR="00804C71">
        <w:rPr>
          <w:rFonts w:ascii="Times New Roman" w:hAnsi="Times New Roman"/>
          <w:b/>
          <w:bCs/>
        </w:rPr>
        <w:t>9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Všeobecné údaje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tabs>
          <w:tab w:val="left" w:pos="555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1.Identifikačné údaje účtovnej jednotky: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a)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Základná umelecká škola-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Művészeti</w:t>
            </w:r>
            <w:proofErr w:type="spellEnd"/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b/>
                <w:sz w:val="20"/>
                <w:szCs w:val="20"/>
              </w:rPr>
              <w:t>Alapiskola</w:t>
            </w:r>
            <w:proofErr w:type="spellEnd"/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Námestie Svätej trojice 1042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Dátum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1.1.2004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Spôsob založenia/zriadenie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Zriaďovacia listina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Mesto Gabčíkovo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Sídlo zriaďovateľa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930 05 Gabčíkovo, Hlavná 1039/ 21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IČO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37847201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DIČ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2021765999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b)Právny dôvod na zostavenie účtovnej závierky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riadna ročná uzávierka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c) Účtovná jednotka je súčasťou konsolidovaného celku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  <w:tr w:rsidR="005F7690" w:rsidTr="00937B6D"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d) Účtovná jednotka je súčasťou súhrnného celku verejnej správy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áno</w:t>
            </w:r>
          </w:p>
        </w:tc>
      </w:tr>
    </w:tbl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Opis činnosti účtovnej jednotky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98"/>
        <w:gridCol w:w="4764"/>
      </w:tblGrid>
      <w:tr w:rsidR="005F7690" w:rsidTr="00937B6D">
        <w:trPr>
          <w:trHeight w:val="957"/>
        </w:trPr>
        <w:tc>
          <w:tcPr>
            <w:tcW w:w="4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90" w:rsidRDefault="005F7690" w:rsidP="00937B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Hlavná činnosť účtovnej jednotky</w:t>
            </w:r>
          </w:p>
        </w:tc>
        <w:tc>
          <w:tcPr>
            <w:tcW w:w="4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Škola poskytuje základné odborné umelecké vzdelanie s možnosťou poskytovania hudobného, tanečného, výtvarného, literárno-dramatického vzdelania</w:t>
            </w:r>
          </w:p>
        </w:tc>
      </w:tr>
    </w:tbl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>3. Informácie o štatutárnych zástupcov a o organizačnej štruktúre účtovnej jednotky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4814"/>
      </w:tblGrid>
      <w:tr w:rsidR="005F7690" w:rsidTr="00937B6D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Štatutárny orgán/meno a priezvisko/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804C71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Mgr. Vidová</w:t>
            </w:r>
            <w:r w:rsidR="005F7690">
              <w:rPr>
                <w:rFonts w:ascii="Times New Roman" w:hAnsi="Times New Roman"/>
                <w:b/>
                <w:sz w:val="20"/>
                <w:szCs w:val="20"/>
              </w:rPr>
              <w:t xml:space="preserve"> Gabriela, </w:t>
            </w:r>
            <w:proofErr w:type="spellStart"/>
            <w:r w:rsidR="005F7690">
              <w:rPr>
                <w:rFonts w:ascii="Times New Roman" w:hAnsi="Times New Roman"/>
                <w:b/>
                <w:sz w:val="20"/>
                <w:szCs w:val="20"/>
              </w:rPr>
              <w:t>DiS.art</w:t>
            </w:r>
            <w:proofErr w:type="spellEnd"/>
            <w:r w:rsidR="005F7690">
              <w:rPr>
                <w:rFonts w:ascii="Times New Roman" w:hAnsi="Times New Roman"/>
                <w:b/>
                <w:sz w:val="20"/>
                <w:szCs w:val="20"/>
              </w:rPr>
              <w:t xml:space="preserve"> - poverená riad. školy</w:t>
            </w:r>
          </w:p>
        </w:tc>
      </w:tr>
      <w:tr w:rsidR="005F7690" w:rsidTr="00937B6D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Počet riadiacich zamestnancov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5F7690" w:rsidTr="00937B6D">
        <w:trPr>
          <w:trHeight w:val="293"/>
        </w:trPr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Priemerný počet zamestnancov počas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účt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/>
                <w:sz w:val="20"/>
                <w:szCs w:val="20"/>
              </w:rPr>
              <w:t>obd</w:t>
            </w:r>
            <w:proofErr w:type="spellEnd"/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804C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1</w:t>
            </w:r>
            <w:r w:rsidR="00804C71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</w:tr>
      <w:tr w:rsidR="005F7690" w:rsidTr="00937B6D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Organizačné členenie účtovnej jednotky</w:t>
            </w:r>
          </w:p>
        </w:tc>
        <w:tc>
          <w:tcPr>
            <w:tcW w:w="4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Základná umelecká škola</w:t>
            </w:r>
          </w:p>
        </w:tc>
      </w:tr>
    </w:tbl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i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</w:t>
      </w:r>
    </w:p>
    <w:p w:rsidR="005F7690" w:rsidRDefault="005F7690" w:rsidP="005F7690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účtovných zásadách a účtovných metódach</w:t>
      </w:r>
    </w:p>
    <w:p w:rsidR="005F7690" w:rsidRDefault="005F7690" w:rsidP="005F769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eastAsia="Times New Roman" w:hAnsi="Times New Roman"/>
          <w:b/>
        </w:rPr>
        <w:t>Informácia, či je účtovná závierka zostavená za splnenia predpokladu, že účtovná jednotka bude nepretržite pokračovať vo svojej činnosti.</w:t>
      </w:r>
    </w:p>
    <w:p w:rsidR="005F7690" w:rsidRDefault="005F7690" w:rsidP="005F7690">
      <w:pPr>
        <w:spacing w:before="12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>Predpokladá sa, že budeme nepretržite pokračovať vo svojej činnosti</w:t>
      </w:r>
    </w:p>
    <w:p w:rsidR="005F7690" w:rsidRDefault="005F7690" w:rsidP="005F769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  <w:b/>
        </w:rPr>
      </w:pPr>
    </w:p>
    <w:p w:rsidR="005F7690" w:rsidRDefault="005F7690" w:rsidP="005F769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eastAsia="Calibri" w:hAnsi="Times New Roman"/>
          <w:b/>
          <w:lang w:eastAsia="en-US"/>
        </w:rPr>
      </w:pPr>
      <w:r>
        <w:rPr>
          <w:rFonts w:ascii="Times New Roman" w:hAnsi="Times New Roman"/>
          <w:b/>
        </w:rPr>
        <w:lastRenderedPageBreak/>
        <w:t xml:space="preserve">2. Zmeny účtovných metód a účtovných zásad </w:t>
      </w:r>
    </w:p>
    <w:p w:rsidR="005F7690" w:rsidRDefault="005F7690" w:rsidP="005F769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metódy, účtovné zásady oproti predchádzajúcemu účtovnému obdobiu</w:t>
      </w:r>
    </w:p>
    <w:p w:rsidR="005F7690" w:rsidRDefault="005F7690" w:rsidP="005F769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spacing w:before="120"/>
        <w:jc w:val="both"/>
        <w:rPr>
          <w:rFonts w:ascii="Calibri" w:hAnsi="Calibri"/>
          <w:b/>
        </w:rPr>
      </w:pPr>
      <w:r>
        <w:rPr>
          <w:b/>
        </w:rPr>
        <w:t>3. Spôsob ocenenia jednotlivých položiek</w:t>
      </w:r>
    </w:p>
    <w:p w:rsidR="005F7690" w:rsidRDefault="005F7690" w:rsidP="005F7690">
      <w:pPr>
        <w:spacing w:before="120"/>
        <w:jc w:val="both"/>
        <w:rPr>
          <w:rFonts w:ascii="Times New Roman" w:hAnsi="Times New Roman"/>
          <w:bCs/>
        </w:rPr>
      </w:pPr>
      <w:r>
        <w:t>a</w:t>
      </w:r>
      <w:r>
        <w:rPr>
          <w:rFonts w:ascii="Times New Roman" w:hAnsi="Times New Roman"/>
        </w:rPr>
        <w:t xml:space="preserve">) </w:t>
      </w:r>
      <w:r>
        <w:rPr>
          <w:rFonts w:ascii="Times New Roman" w:hAnsi="Times New Roman"/>
          <w:b/>
          <w:bCs/>
        </w:rPr>
        <w:t>Dlhodobý nehmotný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b)</w:t>
      </w:r>
      <w:r>
        <w:rPr>
          <w:rFonts w:ascii="Times New Roman" w:hAnsi="Times New Roman"/>
          <w:b/>
          <w:bCs/>
        </w:rPr>
        <w:t xml:space="preserve"> Dlhodobý hmotný majetok nakupovaný</w:t>
      </w:r>
      <w:r>
        <w:rPr>
          <w:rFonts w:ascii="Times New Roman" w:hAnsi="Times New Roman"/>
          <w:bCs/>
        </w:rPr>
        <w:t xml:space="preserve"> sa oceňuje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 xml:space="preserve">. Obstarávacia cena zahŕňa cenu, za ktorú sa majetok obstaral a náklady súvisiace s jeho obstaraním. 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c) </w:t>
      </w:r>
      <w:r>
        <w:rPr>
          <w:rFonts w:ascii="Times New Roman" w:hAnsi="Times New Roman"/>
          <w:b/>
          <w:bCs/>
        </w:rPr>
        <w:t xml:space="preserve">Zásoby nakupované - </w:t>
      </w:r>
      <w:r>
        <w:rPr>
          <w:rFonts w:ascii="Times New Roman" w:hAnsi="Times New Roman"/>
          <w:bCs/>
        </w:rPr>
        <w:t xml:space="preserve">sa oceňujú </w:t>
      </w:r>
      <w:r>
        <w:rPr>
          <w:rFonts w:ascii="Times New Roman" w:hAnsi="Times New Roman"/>
          <w:bCs/>
          <w:u w:val="single"/>
        </w:rPr>
        <w:t>obstarávacou cenou</w:t>
      </w:r>
      <w:r>
        <w:rPr>
          <w:rFonts w:ascii="Times New Roman" w:hAnsi="Times New Roman"/>
          <w:bCs/>
        </w:rPr>
        <w:t>. Obstarávacia cena zahŕňa cenu, za ktorú sa zásoby obstarali.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d) </w:t>
      </w:r>
      <w:r>
        <w:rPr>
          <w:rFonts w:ascii="Times New Roman" w:hAnsi="Times New Roman"/>
          <w:b/>
          <w:bCs/>
        </w:rPr>
        <w:t>Pohľadávky</w:t>
      </w:r>
      <w:r>
        <w:rPr>
          <w:rFonts w:ascii="Times New Roman" w:hAnsi="Times New Roman"/>
          <w:bCs/>
        </w:rPr>
        <w:t xml:space="preserve"> </w:t>
      </w:r>
      <w:r>
        <w:rPr>
          <w:rFonts w:ascii="Times New Roman" w:hAnsi="Times New Roman"/>
          <w:b/>
          <w:bCs/>
        </w:rPr>
        <w:t>-</w:t>
      </w:r>
      <w:r>
        <w:rPr>
          <w:rFonts w:ascii="Times New Roman" w:hAnsi="Times New Roman"/>
          <w:bCs/>
        </w:rPr>
        <w:t xml:space="preserve"> pri ich vzniku</w:t>
      </w:r>
      <w:r w:rsidR="00562049">
        <w:rPr>
          <w:rFonts w:ascii="Times New Roman" w:hAnsi="Times New Roman"/>
          <w:bCs/>
        </w:rPr>
        <w:t xml:space="preserve"> sa oceňujú menovitou hodnotou.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e) </w:t>
      </w:r>
      <w:r>
        <w:rPr>
          <w:rFonts w:ascii="Times New Roman" w:hAnsi="Times New Roman"/>
          <w:b/>
          <w:bCs/>
        </w:rPr>
        <w:t>Krátkodobý finančný majetok</w:t>
      </w:r>
      <w:r>
        <w:rPr>
          <w:rFonts w:ascii="Times New Roman" w:hAnsi="Times New Roman"/>
          <w:bCs/>
        </w:rPr>
        <w:t xml:space="preserve"> - peňažné prostriedky a ceniny sa oceňujú ich menovito</w:t>
      </w:r>
      <w:r w:rsidR="00562049">
        <w:rPr>
          <w:rFonts w:ascii="Times New Roman" w:hAnsi="Times New Roman"/>
          <w:bCs/>
        </w:rPr>
        <w:t>u hodnotou.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f) </w:t>
      </w:r>
      <w:r>
        <w:rPr>
          <w:rFonts w:ascii="Times New Roman" w:hAnsi="Times New Roman"/>
          <w:b/>
          <w:bCs/>
        </w:rPr>
        <w:t>Časové rozlíšenie na strane aktív a pasív</w:t>
      </w:r>
      <w:r>
        <w:rPr>
          <w:rFonts w:ascii="Times New Roman" w:hAnsi="Times New Roman"/>
          <w:bCs/>
        </w:rPr>
        <w:t xml:space="preserve"> - účty časového rozlíšenia aktív a p</w:t>
      </w:r>
      <w:bookmarkStart w:id="0" w:name="_GoBack"/>
      <w:bookmarkEnd w:id="0"/>
      <w:r>
        <w:rPr>
          <w:rFonts w:ascii="Times New Roman" w:hAnsi="Times New Roman"/>
          <w:bCs/>
        </w:rPr>
        <w:t xml:space="preserve">asív sú vykázané vo výške, ktorá je potrebná  na dodržanie zásady vecnej a časovej súvislosti s účtovným obdobím. 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g) </w:t>
      </w:r>
      <w:r>
        <w:rPr>
          <w:rFonts w:ascii="Times New Roman" w:hAnsi="Times New Roman"/>
          <w:b/>
          <w:bCs/>
        </w:rPr>
        <w:t>Záväzky</w:t>
      </w:r>
      <w:r>
        <w:rPr>
          <w:rFonts w:ascii="Times New Roman" w:hAnsi="Times New Roman"/>
          <w:bCs/>
        </w:rPr>
        <w:t xml:space="preserve"> - pri ich vzniku sa oceňujú menovitou hodnotou. Záväzky pri ich prevzatí sa oceňujú obstarávacou cenou.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h) </w:t>
      </w:r>
      <w:r>
        <w:rPr>
          <w:rFonts w:ascii="Times New Roman" w:hAnsi="Times New Roman"/>
          <w:b/>
          <w:bCs/>
        </w:rPr>
        <w:t>Rezervy</w:t>
      </w:r>
      <w:r>
        <w:rPr>
          <w:rFonts w:ascii="Times New Roman" w:hAnsi="Times New Roman"/>
          <w:bCs/>
        </w:rPr>
        <w:t xml:space="preserve"> - sú záväzky s neurčitým časovým vy vymedzením alebo výškou a oceňujú sa v očakávanej výške záväzku alebo poistno-matematickými metódami.</w:t>
      </w:r>
    </w:p>
    <w:p w:rsidR="005F7690" w:rsidRDefault="005F7690" w:rsidP="005F7690">
      <w:pPr>
        <w:ind w:left="142" w:hanging="142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4. Spôsob zostavenia odpisovaného plánu pre dlhodobý majetok, doba odpisovania, sadzby odpisov a odpisové metódy pri stanovení účtovných odpisov</w:t>
      </w:r>
    </w:p>
    <w:p w:rsidR="005F7690" w:rsidRDefault="005F7690" w:rsidP="005F7690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Odpisy dlhodobého hmotného majetku a dlhodobého nehmotného majetku sú stanovené tak, že sa vychádza z predpokladanej doby jeho užívania a predpokladaného priebehu jeho opotrebovania. Odpisovať sa začína odo dňa jeho zaradenia do používania. Účtovné odpisy sa zaokrúhľujú na celé eurá nahor. Metóda odpisovania sa používa lineárna.</w:t>
      </w:r>
    </w:p>
    <w:p w:rsidR="005F7690" w:rsidRDefault="005F7690" w:rsidP="005F7690">
      <w:pPr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III.</w:t>
      </w:r>
    </w:p>
    <w:p w:rsidR="005F7690" w:rsidRDefault="005F7690" w:rsidP="005F769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Informácie o údajoch na strane aktív súvahy </w:t>
      </w:r>
    </w:p>
    <w:p w:rsidR="005F7690" w:rsidRPr="008D637A" w:rsidRDefault="005F7690" w:rsidP="005F769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</w:rPr>
      </w:pPr>
    </w:p>
    <w:p w:rsidR="005F7690" w:rsidRDefault="005F7690" w:rsidP="005F7690">
      <w:pPr>
        <w:tabs>
          <w:tab w:val="left" w:pos="3767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 Neobežný majetok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Dlhodobý nehmotný majetok a dlhodobý hmotný majetok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Dlhodobý nehmotný majetok a dlhodobý hmotný majetok </w:t>
      </w:r>
    </w:p>
    <w:p w:rsidR="005F7690" w:rsidRPr="008D637A" w:rsidRDefault="005F7690" w:rsidP="005F769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</w:rPr>
        <w:t xml:space="preserve">prehľad o pohybe dlhodobého majetku (pohyb obstarávacích cien, oprávok a opravných položiek, zostatkových cien) podľa jednotlivých zložiek tohto majetku v členení podľa jednotlivých položiek súvahy. </w:t>
      </w:r>
      <w:r w:rsidRPr="008D637A">
        <w:rPr>
          <w:rFonts w:ascii="Times New Roman" w:hAnsi="Times New Roman"/>
          <w:b/>
          <w:u w:val="single"/>
        </w:rPr>
        <w:t>viď tabuľkovej časti č. 1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B. Obežný majetok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1. Zásoby </w:t>
      </w: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ZUŠ neeviduje zásoby. </w:t>
      </w: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</w:rPr>
      </w:pP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Pohľadávky </w:t>
      </w: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Opis významných pohľadávok podľa jednotlivých položiek súvahy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Počas roku 201</w:t>
      </w:r>
      <w:r w:rsidR="00804C71">
        <w:rPr>
          <w:rFonts w:ascii="Times New Roman" w:hAnsi="Times New Roman"/>
        </w:rPr>
        <w:t>9</w:t>
      </w:r>
      <w:r>
        <w:rPr>
          <w:rFonts w:ascii="Times New Roman" w:hAnsi="Times New Roman"/>
        </w:rPr>
        <w:t xml:space="preserve"> sa nevyskytli žiadne pohľadávky voči odberateľom, prípadne zamestnancom.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Opravné položky k pohľadávkam neboli tvorené k 31.12.201</w:t>
      </w:r>
      <w:r w:rsidR="00804C71">
        <w:rPr>
          <w:rFonts w:ascii="Times New Roman" w:hAnsi="Times New Roman"/>
        </w:rPr>
        <w:t>9</w:t>
      </w:r>
      <w:r>
        <w:rPr>
          <w:rFonts w:ascii="Times New Roman" w:hAnsi="Times New Roman"/>
        </w:rPr>
        <w:t>.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Pohľadávky podľa doby splatnosti škola neúčtovala.</w:t>
      </w: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3. Finančné účty </w:t>
      </w:r>
    </w:p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Cs/>
        </w:rPr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F7690" w:rsidTr="00937B6D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804C71"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804C71">
              <w:rPr>
                <w:rFonts w:ascii="Times New Roman" w:hAnsi="Times New Roman"/>
                <w:bCs/>
              </w:rPr>
              <w:t>9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Pokladnica (211)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Ceniny (213)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543,60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739,19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Soc. fond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2447,17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2235,11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BÚ - Depozit (221 AU)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12517,53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15099,70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Spolu BÚ (221)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14964,70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17334,81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rozp.účet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(222)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45,03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62,47</w:t>
            </w:r>
          </w:p>
        </w:tc>
      </w:tr>
      <w:tr w:rsidR="00804C71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rozp</w:t>
            </w:r>
            <w:proofErr w:type="spellEnd"/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. účet (223)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C71" w:rsidRDefault="00804C71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20,93</w:t>
            </w:r>
          </w:p>
        </w:tc>
      </w:tr>
    </w:tbl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4. Časové rozlíšenie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218"/>
        <w:gridCol w:w="3021"/>
      </w:tblGrid>
      <w:tr w:rsidR="005F7690" w:rsidTr="00937B6D">
        <w:trPr>
          <w:trHeight w:val="198"/>
        </w:trPr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804C71"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804C71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804C71">
              <w:rPr>
                <w:rFonts w:ascii="Times New Roman" w:hAnsi="Times New Roman"/>
                <w:bCs/>
              </w:rPr>
              <w:t>9</w:t>
            </w:r>
          </w:p>
        </w:tc>
      </w:tr>
      <w:tr w:rsidR="005F7690" w:rsidTr="00937B6D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Náklady budúcich období (381) – poistné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804C71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172,97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Pr="00634B78" w:rsidRDefault="00804C71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</w:pPr>
            <w:r>
              <w:rPr>
                <w:rFonts w:ascii="Times New Roman" w:eastAsia="DengXian" w:hAnsi="Times New Roman"/>
                <w:b/>
                <w:bCs/>
                <w:sz w:val="20"/>
                <w:szCs w:val="20"/>
                <w:lang w:eastAsia="zh-CN"/>
              </w:rPr>
              <w:t>151,64</w:t>
            </w:r>
          </w:p>
        </w:tc>
      </w:tr>
      <w:tr w:rsidR="005F7690" w:rsidTr="00937B6D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Príjmy budúcich období (385)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Pr="00634B78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0,00</w:t>
            </w:r>
          </w:p>
        </w:tc>
      </w:tr>
    </w:tbl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IV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strane pasív súvahy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/>
          <w:bCs/>
        </w:rPr>
        <w:t xml:space="preserve">A. Vlastné imanie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Opis jednotlivých položiek a opis uvedených zmien jednotlivých položiek vlastného imania uskutočnených v priebehu účtovného obdobia najmä výsledok hospodárenia z predošlých rokoch - stav na účte </w:t>
      </w:r>
      <w:r w:rsidRPr="00634B78">
        <w:rPr>
          <w:rFonts w:ascii="Times New Roman" w:hAnsi="Times New Roman"/>
          <w:b/>
          <w:bCs/>
        </w:rPr>
        <w:t>(428)</w:t>
      </w:r>
      <w:r>
        <w:rPr>
          <w:rFonts w:ascii="Times New Roman" w:hAnsi="Times New Roman"/>
          <w:bCs/>
        </w:rPr>
        <w:t xml:space="preserve"> viď v </w:t>
      </w:r>
      <w:r w:rsidRPr="00634B78">
        <w:rPr>
          <w:rFonts w:ascii="Times New Roman" w:hAnsi="Times New Roman"/>
          <w:b/>
          <w:bCs/>
        </w:rPr>
        <w:t>tabuľkovej časti č. 5</w:t>
      </w:r>
      <w:r>
        <w:rPr>
          <w:rFonts w:ascii="Times New Roman" w:hAnsi="Times New Roman"/>
          <w:bCs/>
        </w:rPr>
        <w:t>.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B. Záväzky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</w:rPr>
        <w:t xml:space="preserve">1. </w:t>
      </w:r>
      <w:r>
        <w:rPr>
          <w:rFonts w:ascii="Times New Roman" w:hAnsi="Times New Roman"/>
          <w:b/>
          <w:bCs/>
        </w:rPr>
        <w:t xml:space="preserve">Rezervy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Krátkodobé rezervy v organizácii boli za nevyfakturované dodávky a služby. K 31.12.2018 boli vytvorené rezervy za nevyfakturované dodávky a služby. Pohyby viď v tabuľkovej časti č. 6.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 xml:space="preserve">2. Záväzky podľa doby splatnosti 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a) záväzky podľa doby splatnosti  </w:t>
      </w:r>
      <w:r w:rsidRPr="00634B78">
        <w:rPr>
          <w:rFonts w:ascii="Times New Roman" w:hAnsi="Times New Roman"/>
          <w:b/>
        </w:rPr>
        <w:t>tabuľka č. 8.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F7690" w:rsidTr="00937B6D">
        <w:trPr>
          <w:trHeight w:val="198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E4297"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E4297">
              <w:rPr>
                <w:rFonts w:ascii="Times New Roman" w:hAnsi="Times New Roman"/>
                <w:bCs/>
              </w:rPr>
              <w:t>9</w:t>
            </w:r>
          </w:p>
        </w:tc>
      </w:tr>
      <w:tr w:rsidR="005F7690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Dlhodobé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BE4297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2447,17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BE4297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2235,11</w:t>
            </w:r>
          </w:p>
        </w:tc>
      </w:tr>
      <w:tr w:rsidR="005F7690" w:rsidRPr="00634B78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Pr="00634B78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>záväzky zo sociálneho fondu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Pr="00634B78" w:rsidRDefault="00BE4297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2447,17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Pr="00634B78" w:rsidRDefault="00BE4297" w:rsidP="00937B6D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2235,11</w:t>
            </w:r>
          </w:p>
        </w:tc>
      </w:tr>
      <w:tr w:rsidR="00BE4297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Krátkodobé záväzky z toho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12517,53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15099,70 </w:t>
            </w:r>
          </w:p>
        </w:tc>
      </w:tr>
      <w:tr w:rsidR="00BE4297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dodávateľom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0,00</w:t>
            </w:r>
          </w:p>
        </w:tc>
      </w:tr>
      <w:tr w:rsidR="00BE4297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zamestnancom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7230,27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8244,72</w:t>
            </w:r>
          </w:p>
        </w:tc>
      </w:tr>
      <w:tr w:rsidR="00BE4297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voči </w:t>
            </w:r>
            <w:proofErr w:type="spellStart"/>
            <w:r>
              <w:rPr>
                <w:rFonts w:ascii="Times New Roman" w:hAnsi="Times New Roman"/>
                <w:bCs/>
                <w:sz w:val="20"/>
                <w:szCs w:val="20"/>
              </w:rPr>
              <w:t>poiťovňam</w:t>
            </w:r>
            <w:proofErr w:type="spellEnd"/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4353,31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5488,07</w:t>
            </w:r>
          </w:p>
        </w:tc>
      </w:tr>
      <w:tr w:rsidR="00BE4297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634B78">
              <w:rPr>
                <w:rFonts w:ascii="Times New Roman" w:hAnsi="Times New Roman"/>
                <w:bCs/>
                <w:sz w:val="20"/>
                <w:szCs w:val="20"/>
              </w:rPr>
              <w:t xml:space="preserve">záväzky 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voči daňovému úradu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873,95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1306,91</w:t>
            </w:r>
          </w:p>
        </w:tc>
      </w:tr>
      <w:tr w:rsidR="00BE4297" w:rsidTr="00937B6D"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Pr="00634B78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lastRenderedPageBreak/>
              <w:t>Ostatné záväzky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Pr="001769FC" w:rsidRDefault="00BE4297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1769FC">
              <w:rPr>
                <w:rFonts w:ascii="Times New Roman" w:hAnsi="Times New Roman"/>
                <w:bCs/>
                <w:sz w:val="20"/>
                <w:szCs w:val="20"/>
              </w:rPr>
              <w:t>60</w:t>
            </w:r>
          </w:p>
        </w:tc>
      </w:tr>
    </w:tbl>
    <w:p w:rsidR="005F7690" w:rsidRDefault="005F7690" w:rsidP="005F7690">
      <w:pPr>
        <w:pStyle w:val="Odsekzoznamu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4F4012">
        <w:rPr>
          <w:rFonts w:ascii="Times New Roman" w:hAnsi="Times New Roman"/>
        </w:rPr>
        <w:t>Účtovná jednotka podľa zostatkovou dobou splatnosti do jedného roka eviduje záväzky sociálneho fondu a mzdy a odvody za mesiac december 201</w:t>
      </w:r>
      <w:r w:rsidR="00BE4297">
        <w:rPr>
          <w:rFonts w:ascii="Times New Roman" w:hAnsi="Times New Roman"/>
        </w:rPr>
        <w:t>9</w:t>
      </w:r>
    </w:p>
    <w:p w:rsidR="005F7690" w:rsidRPr="004F4012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neeviduje žiadne záväzky po lehote splatnosti.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výnosoch a nákladoch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Výnosy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výnosov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1829"/>
        <w:gridCol w:w="1993"/>
      </w:tblGrid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Popis 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E4297"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E4297">
              <w:rPr>
                <w:rFonts w:ascii="Times New Roman" w:hAnsi="Times New Roman"/>
                <w:bCs/>
              </w:rPr>
              <w:t>9</w:t>
            </w: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tržby za vlastné výkony a tovar,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aktivácia,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daňové výnosy a colné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finančné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mimoriadne výnosy,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BE4297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výnosy z transferov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191084,91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DE1F6C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211647,23</w:t>
            </w:r>
          </w:p>
        </w:tc>
      </w:tr>
      <w:tr w:rsidR="00BE4297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ostatné výnosy (napríklad pokuty, penále, úroky z omeškania) a výnosy z poplatkov,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16441,12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DE1F6C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14959,67</w:t>
            </w:r>
          </w:p>
        </w:tc>
      </w:tr>
      <w:tr w:rsidR="005F7690" w:rsidTr="00937B6D"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i.) výnosy v členení podľa rozpočtových programov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</w:tbl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Náklady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Popis a výška významných položiek nákladov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</w:r>
      <w:r>
        <w:rPr>
          <w:rFonts w:ascii="Times New Roman" w:hAnsi="Times New Roman"/>
          <w:bCs/>
        </w:rPr>
        <w:tab/>
        <w:t>€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32"/>
        <w:gridCol w:w="1835"/>
        <w:gridCol w:w="1995"/>
      </w:tblGrid>
      <w:tr w:rsidR="005F7690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popis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E4297">
              <w:rPr>
                <w:rFonts w:ascii="Times New Roman" w:hAnsi="Times New Roman"/>
                <w:bCs/>
              </w:rPr>
              <w:t>8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BE4297">
            <w:pPr>
              <w:pStyle w:val="Odsekzoznamu"/>
              <w:autoSpaceDE w:val="0"/>
              <w:autoSpaceDN w:val="0"/>
              <w:adjustRightInd w:val="0"/>
              <w:spacing w:after="0"/>
              <w:ind w:left="0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Stav k 31.12.201</w:t>
            </w:r>
            <w:r w:rsidR="00BE4297">
              <w:rPr>
                <w:rFonts w:ascii="Times New Roman" w:hAnsi="Times New Roman"/>
                <w:bCs/>
              </w:rPr>
              <w:t>9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a) spotrebované nákupy,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23945,89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21984,55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b) služby,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4463,85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5998,64 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c) osobné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160274,17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181222,49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d) dane a poplatky,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 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e) odpisy, rezervy a opravné položky,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1561,86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1497,00 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f) finančné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601,53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770,29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g) mimoriadne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h) náklady na transfery a náklady z odvodu príjmov,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16441,12 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 xml:space="preserve">14959,67 </w:t>
            </w:r>
          </w:p>
        </w:tc>
      </w:tr>
      <w:tr w:rsidR="00BE4297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i) ostatné náklady,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297" w:rsidRDefault="00BE4297" w:rsidP="00BE4297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  <w:tr w:rsidR="005F7690" w:rsidTr="00937B6D">
        <w:tc>
          <w:tcPr>
            <w:tcW w:w="5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j) náklady podľa rozpočtových programov.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</w:rPr>
            </w:pPr>
          </w:p>
        </w:tc>
      </w:tr>
    </w:tbl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DE1F6C" w:rsidRDefault="00DE1F6C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DE1F6C" w:rsidRDefault="00DE1F6C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Cs/>
          <w:lang w:eastAsia="en-US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VII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údajoch na podsúvahových účtoch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Informácie o významných položkách prenajatého majetku.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ZUŠ nevyužíva žiadny prenajatý majetok. Na podsúvahových účtoch sa eviduje majetok nezaradený na účtoch účtovej triedy 0 podľa osobitnej analytickej evidencie podľa organizačných zložiek 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ČI. VIII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iných aktívach a iných pasívach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1. Iné aktíva a iné pasíva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nemá žiadne iné aktíva a iné pasíva, ktorými by bol možný majetok, ktorý vznikol v dôsledku minulých udalostí a ktorého existencia alebo vlastníctvo závisí od toho, či nastane alebo nenastane jedna alebo viac neistých udalostí v budúcnosti, ktorých vznik nezávisí od účtovnej jednotky.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Nemáme žiadne vyčíslené hodnoty iných pasív vyplývajúcich zo súdnych rozhodnutí, z poskytnutých záruk, zo všeobecne záväzných právnych predpisov, nakoľko žiadne súdne spory neprebiehajú.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Nevlastníme žiadne nehnuteľné kultúrne pamiatky.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2. Ostatné finančné povinnosti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zákonná alebo zmluvná povinnosť odobrať určité produkty, napríklad z dodávateľských zmlúv alebo odberateľských zmlúv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ZUŠ má uzatvorené zmluvy na dodávku energií, z ktorých nám vyplývajú povinnosti. Tieto hradíme z rozpočtu školy.  Zmluvy na odber produktov nie sú uzatvorené.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IX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rozpočte a hodnotenie plnenia rozpočtu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Informácie o rozpočte a hodnotenie plnenia rozpočtu v nasledovnej štruktúre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tbl>
      <w:tblPr>
        <w:tblW w:w="94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3"/>
        <w:gridCol w:w="1716"/>
      </w:tblGrid>
      <w:tr w:rsidR="005F7690" w:rsidTr="00937B6D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Default="005F7690" w:rsidP="00DD0C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bežného rozpočtu s uvedením zdroja financovania, názvu príjmu, výška príjmu podľa schváleného rozpočtu, upraveného rozpočtu a skutočnosti za rok 201</w:t>
            </w:r>
            <w:r w:rsidR="00DD0C55"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Pr="008D637A" w:rsidRDefault="005F7690" w:rsidP="00937B6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č.12</w:t>
            </w:r>
          </w:p>
        </w:tc>
      </w:tr>
      <w:tr w:rsidR="005F7690" w:rsidTr="00937B6D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Default="005F7690" w:rsidP="00DD0C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príjmy kapitálového rozpočtu s uvedením zdroja financovania, názvu príjmu, výška príjmu podľa schváleného rozpočtu, upraveného rozpočtu a skutočnosti za rok 201</w:t>
            </w:r>
            <w:r w:rsidR="00DD0C55"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  <w:tr w:rsidR="005F7690" w:rsidTr="00937B6D"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Default="005F7690" w:rsidP="00DD0C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bežného rozpočtu s uvedením programu, zdroja financovania, názvu výdavku, výška výdavku podľa schváleného rozpočtu, upraveného rozpočtu a skutočnosti za rok 201</w:t>
            </w:r>
            <w:r w:rsidR="00DD0C55"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Pr="008D637A" w:rsidRDefault="005F7690" w:rsidP="00937B6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eastAsia="en-US"/>
              </w:rPr>
            </w:pPr>
            <w:proofErr w:type="spellStart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>viď.tabulkovej</w:t>
            </w:r>
            <w:proofErr w:type="spellEnd"/>
            <w:r w:rsidRPr="008D637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časti č.13.</w:t>
            </w:r>
          </w:p>
        </w:tc>
      </w:tr>
      <w:tr w:rsidR="005F7690" w:rsidTr="00DD0C55">
        <w:trPr>
          <w:trHeight w:val="737"/>
        </w:trPr>
        <w:tc>
          <w:tcPr>
            <w:tcW w:w="7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Default="005F7690" w:rsidP="00DD0C5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Cs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bCs/>
                <w:sz w:val="20"/>
                <w:szCs w:val="20"/>
              </w:rPr>
              <w:t>výdavky kapitálového rozpočtu s uvedením programu, zdroja financovania, názvu výdavku, výška výdavku podľa schváleného rozpočtu, upraveného rozpočtu a skutočnosti za rok 201</w:t>
            </w:r>
            <w:r w:rsidR="00DD0C55">
              <w:rPr>
                <w:rFonts w:ascii="Times New Roman" w:hAnsi="Times New Roman"/>
                <w:bCs/>
                <w:sz w:val="20"/>
                <w:szCs w:val="20"/>
              </w:rPr>
              <w:t>9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5F7690" w:rsidRDefault="005F7690" w:rsidP="00937B6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</w:tr>
    </w:tbl>
    <w:p w:rsidR="00DD0C55" w:rsidRPr="00DD0C55" w:rsidRDefault="00DD0C55" w:rsidP="00DD0C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D0C55">
        <w:rPr>
          <w:rFonts w:ascii="Times New Roman" w:eastAsia="Times New Roman" w:hAnsi="Times New Roman" w:cs="Times New Roman"/>
          <w:color w:val="222222"/>
          <w:sz w:val="24"/>
          <w:szCs w:val="24"/>
        </w:rPr>
        <w:t>Rozpočet mesta bol schválený mestským zastupiteľstvom dňa 3.11.2018  uznesením č. 39/2MZ/2019</w:t>
      </w:r>
    </w:p>
    <w:p w:rsidR="00DD0C55" w:rsidRPr="00DD0C55" w:rsidRDefault="00DD0C55" w:rsidP="00DD0C55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D0C55">
        <w:rPr>
          <w:rFonts w:ascii="Times New Roman" w:eastAsia="Times New Roman" w:hAnsi="Times New Roman" w:cs="Times New Roman"/>
          <w:color w:val="222222"/>
          <w:sz w:val="24"/>
          <w:szCs w:val="24"/>
        </w:rPr>
        <w:t>Zmeny rozpočtu:</w:t>
      </w:r>
    </w:p>
    <w:p w:rsidR="00DD0C55" w:rsidRPr="00DD0C55" w:rsidRDefault="00DD0C55" w:rsidP="00DD0C5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D0C55">
        <w:rPr>
          <w:rFonts w:ascii="Times New Roman" w:eastAsia="Times New Roman" w:hAnsi="Times New Roman" w:cs="Times New Roman"/>
          <w:color w:val="222222"/>
          <w:sz w:val="24"/>
          <w:szCs w:val="24"/>
        </w:rPr>
        <w:t>-</w:t>
      </w:r>
      <w:r w:rsidRPr="00DD0C55">
        <w:rPr>
          <w:rFonts w:ascii="Times New Roman" w:eastAsia="Times New Roman" w:hAnsi="Times New Roman" w:cs="Times New Roman"/>
          <w:color w:val="222222"/>
          <w:sz w:val="14"/>
          <w:szCs w:val="14"/>
        </w:rPr>
        <w:t>          </w:t>
      </w:r>
      <w:r w:rsidRPr="00DD0C55">
        <w:rPr>
          <w:rFonts w:ascii="Times New Roman" w:eastAsia="Times New Roman" w:hAnsi="Times New Roman" w:cs="Times New Roman"/>
          <w:color w:val="222222"/>
          <w:sz w:val="24"/>
          <w:szCs w:val="24"/>
        </w:rPr>
        <w:t>prvá  zmena  schválená dňa 20.02.2019 uznesením č. 32/3MZ/2019</w:t>
      </w:r>
    </w:p>
    <w:p w:rsidR="00DD0C55" w:rsidRPr="00DD0C55" w:rsidRDefault="00DD0C55" w:rsidP="00DD0C55">
      <w:pPr>
        <w:shd w:val="clear" w:color="auto" w:fill="FFFFFF"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DD0C55">
        <w:rPr>
          <w:rFonts w:ascii="Times New Roman" w:eastAsia="Times New Roman" w:hAnsi="Times New Roman" w:cs="Times New Roman"/>
          <w:color w:val="222222"/>
          <w:sz w:val="24"/>
          <w:szCs w:val="24"/>
        </w:rPr>
        <w:t>-</w:t>
      </w:r>
      <w:r w:rsidRPr="00DD0C55">
        <w:rPr>
          <w:rFonts w:ascii="Times New Roman" w:eastAsia="Times New Roman" w:hAnsi="Times New Roman" w:cs="Times New Roman"/>
          <w:color w:val="222222"/>
          <w:sz w:val="14"/>
          <w:szCs w:val="14"/>
        </w:rPr>
        <w:t>          </w:t>
      </w:r>
      <w:r w:rsidRPr="00DD0C55">
        <w:rPr>
          <w:rFonts w:ascii="Times New Roman" w:eastAsia="Times New Roman" w:hAnsi="Times New Roman" w:cs="Times New Roman"/>
          <w:color w:val="222222"/>
          <w:sz w:val="24"/>
          <w:szCs w:val="24"/>
        </w:rPr>
        <w:t>druhá zmena schválená dňa 20.11.2019 uznesením č. 25/8MZ/2019</w:t>
      </w:r>
    </w:p>
    <w:p w:rsidR="005F7690" w:rsidRPr="00DD0C55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DD0C55" w:rsidRDefault="00DD0C55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DD0C55" w:rsidRDefault="00DD0C55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Čl. X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Informácie o skutočnostiach, ktoré nastali po dni, ku ktorému sa zostavuje účtovná závierka do dňa zostavenia účtovnej závierky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ZUŠ nemá informácie o skutočnostiach, ktoré nastali po dni, ku ktorému sa zostavuje účtovná závierka do dňa zostavenia účtovnej závierky, ktoré by ovplyvnili výšku rezerv a opravných položiek, zmeny významných položiek dlhodobého finančného majetku, právnu formu  účtovnej jednotky. 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Prílohy: Tabuľková časť</w:t>
      </w: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Cs/>
        </w:rPr>
      </w:pPr>
    </w:p>
    <w:p w:rsidR="005F7690" w:rsidRDefault="005F7690" w:rsidP="005F7690"/>
    <w:p w:rsidR="005F7690" w:rsidRDefault="005F7690" w:rsidP="005F7690"/>
    <w:p w:rsidR="005F7690" w:rsidRDefault="005F7690" w:rsidP="005F7690"/>
    <w:p w:rsidR="005F7690" w:rsidRDefault="005F7690" w:rsidP="005F7690"/>
    <w:p w:rsidR="00F3227B" w:rsidRDefault="00F3227B"/>
    <w:sectPr w:rsidR="00F3227B" w:rsidSect="008D21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E93AC3"/>
    <w:multiLevelType w:val="hybridMultilevel"/>
    <w:tmpl w:val="21981CF4"/>
    <w:lvl w:ilvl="0" w:tplc="FA96E53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5473AE0"/>
    <w:multiLevelType w:val="hybridMultilevel"/>
    <w:tmpl w:val="6DDE390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690"/>
    <w:rsid w:val="00562049"/>
    <w:rsid w:val="005F7690"/>
    <w:rsid w:val="00804C71"/>
    <w:rsid w:val="00BE4297"/>
    <w:rsid w:val="00DD0C55"/>
    <w:rsid w:val="00DE1F6C"/>
    <w:rsid w:val="00F32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58647"/>
  <w15:chartTrackingRefBased/>
  <w15:docId w15:val="{D944AC8B-F0B4-468B-907F-3FA4A83B0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F7690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F7690"/>
    <w:pPr>
      <w:ind w:left="720"/>
      <w:contextualSpacing/>
    </w:pPr>
    <w:rPr>
      <w:rFonts w:ascii="Calibri" w:eastAsia="Calibri" w:hAnsi="Calibri" w:cs="Times New Roman"/>
      <w:lang w:eastAsia="en-US"/>
    </w:rPr>
  </w:style>
  <w:style w:type="table" w:styleId="Mriekatabuky">
    <w:name w:val="Table Grid"/>
    <w:basedOn w:val="Normlnatabuka"/>
    <w:uiPriority w:val="59"/>
    <w:rsid w:val="005F7690"/>
    <w:pPr>
      <w:spacing w:after="0" w:line="240" w:lineRule="auto"/>
    </w:pPr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D0C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D0C55"/>
    <w:rPr>
      <w:rFonts w:ascii="Segoe UI" w:eastAsiaTheme="minorEastAsia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86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1441</Words>
  <Characters>8220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acer2</dc:creator>
  <cp:keywords/>
  <dc:description/>
  <cp:lastModifiedBy>acer2</cp:lastModifiedBy>
  <cp:revision>7</cp:revision>
  <cp:lastPrinted>2020-04-27T09:33:00Z</cp:lastPrinted>
  <dcterms:created xsi:type="dcterms:W3CDTF">2020-04-27T08:59:00Z</dcterms:created>
  <dcterms:modified xsi:type="dcterms:W3CDTF">2020-04-28T08:12:00Z</dcterms:modified>
</cp:coreProperties>
</file>