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DC9" w:rsidRDefault="00A34DC9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</w:rPr>
        <w:t>POZNÁMKY K ÚČTOVNEJ ZÁVIERKE 201</w:t>
      </w:r>
      <w:r w:rsidR="008A3445">
        <w:rPr>
          <w:rFonts w:ascii="Arial Narrow" w:hAnsi="Arial Narrow" w:cs="Arial Narrow"/>
          <w:b/>
        </w:rPr>
        <w:t>9</w:t>
      </w:r>
    </w:p>
    <w:p w:rsidR="00A34DC9" w:rsidRDefault="00A34DC9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A34DC9" w:rsidRDefault="00A34DC9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pre malé účtovné jednotky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A34DC9" w:rsidRDefault="00A34DC9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 znení Opatrenia č.MF/19927/2015-74 (FS č.12/2015) </w:t>
      </w:r>
    </w:p>
    <w:p w:rsidR="00A34DC9" w:rsidRDefault="00A34DC9">
      <w:pPr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:rsidR="00A34DC9" w:rsidRDefault="00A34DC9">
      <w:pPr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:rsidR="00A34DC9" w:rsidRDefault="00A34DC9">
      <w:pPr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2636"/>
        <w:gridCol w:w="6979"/>
        <w:gridCol w:w="10"/>
      </w:tblGrid>
      <w:tr w:rsidR="00A34DC9">
        <w:trPr>
          <w:gridAfter w:val="1"/>
          <w:wAfter w:w="10" w:type="dxa"/>
          <w:trHeight w:val="23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4DC9" w:rsidRDefault="00A34DC9" w:rsidP="00A75004">
            <w:pPr>
              <w:jc w:val="both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r w:rsidR="00A75004">
              <w:rPr>
                <w:rFonts w:ascii="Arial Narrow" w:hAnsi="Arial Narrow" w:cs="Arial Narrow"/>
                <w:b/>
                <w:sz w:val="22"/>
                <w:szCs w:val="22"/>
              </w:rPr>
              <w:t>BRUNO FAKTORY s.r.o</w:t>
            </w:r>
          </w:p>
        </w:tc>
      </w:tr>
      <w:tr w:rsidR="00A34DC9">
        <w:trPr>
          <w:gridAfter w:val="1"/>
          <w:wAfter w:w="10" w:type="dxa"/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4DC9" w:rsidRDefault="00A75004" w:rsidP="0051295C">
            <w:pPr>
              <w:jc w:val="both"/>
            </w:pPr>
            <w:r>
              <w:t>Stará Ľubovňa ,Zámocka 064 01 Stará Ľubovňa</w:t>
            </w:r>
          </w:p>
        </w:tc>
      </w:tr>
      <w:tr w:rsidR="00A34DC9">
        <w:trPr>
          <w:gridAfter w:val="1"/>
          <w:wAfter w:w="10" w:type="dxa"/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</w:tr>
      <w:tr w:rsidR="00A34DC9"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34DC9" w:rsidRDefault="00A34DC9" w:rsidP="00B941EE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registra:. </w:t>
            </w:r>
          </w:p>
        </w:tc>
      </w:tr>
      <w:tr w:rsidR="00A34DC9"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34DC9" w:rsidRDefault="00A75004" w:rsidP="0051295C">
            <w:pPr>
              <w:jc w:val="both"/>
            </w:pPr>
            <w:r>
              <w:t>Reklamné agentúry</w:t>
            </w:r>
          </w:p>
        </w:tc>
      </w:tr>
      <w:tr w:rsidR="00A34DC9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34DC9" w:rsidRDefault="00A75004" w:rsidP="00B941EE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Bruno Faktory s.r.o</w:t>
            </w:r>
            <w:r w:rsidR="00A34DC9">
              <w:rPr>
                <w:rFonts w:ascii="Arial Narrow" w:hAnsi="Arial Narrow" w:cs="Arial Narrow"/>
                <w:sz w:val="22"/>
                <w:szCs w:val="22"/>
              </w:rPr>
              <w:t xml:space="preserve"> nie je subjektom verejného záujmu (§ 2/14 ZoU).</w:t>
            </w:r>
          </w:p>
        </w:tc>
      </w:tr>
      <w:tr w:rsidR="00A34DC9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34DC9" w:rsidRDefault="00A34DC9" w:rsidP="004D678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201</w:t>
            </w:r>
            <w:r w:rsidR="001140E5">
              <w:rPr>
                <w:rFonts w:ascii="Arial Narrow" w:hAnsi="Arial Narrow" w:cs="Arial Narrow"/>
                <w:sz w:val="22"/>
                <w:szCs w:val="22"/>
              </w:rPr>
              <w:t>9</w:t>
            </w:r>
          </w:p>
        </w:tc>
      </w:tr>
    </w:tbl>
    <w:p w:rsidR="00A34DC9" w:rsidRDefault="00A34DC9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A34DC9" w:rsidRDefault="00A34DC9">
      <w:pPr>
        <w:ind w:right="-425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:rsidR="00A34DC9" w:rsidRDefault="00A34DC9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:rsidR="00A34DC9" w:rsidRDefault="00A34DC9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0" w:type="auto"/>
        <w:tblInd w:w="33" w:type="dxa"/>
        <w:tblLayout w:type="fixed"/>
        <w:tblLook w:val="0000"/>
      </w:tblPr>
      <w:tblGrid>
        <w:gridCol w:w="2197"/>
        <w:gridCol w:w="2835"/>
        <w:gridCol w:w="3260"/>
        <w:gridCol w:w="1286"/>
      </w:tblGrid>
      <w:tr w:rsidR="00A34DC9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A34DC9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1140E5" w:rsidP="00930924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6329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1140E5" w:rsidP="001140E5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10690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A34DC9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1140E5" w:rsidP="001140E5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5980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1140E5" w:rsidP="001140E5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2734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A34DC9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1140E5" w:rsidP="001140E5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B941EE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:rsidR="00A34DC9" w:rsidRDefault="00A34DC9">
      <w:pPr>
        <w:jc w:val="both"/>
      </w:pPr>
    </w:p>
    <w:p w:rsidR="00A34DC9" w:rsidRDefault="00A34DC9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UJ spĺňa veľkostné podmienky na zatriedenie do veľkostnej skupiny – </w:t>
      </w:r>
      <w:r>
        <w:rPr>
          <w:rFonts w:ascii="Arial Narrow" w:hAnsi="Arial Narrow" w:cs="Arial Narrow"/>
          <w:b/>
          <w:sz w:val="22"/>
          <w:szCs w:val="22"/>
        </w:rPr>
        <w:t xml:space="preserve">malá účtovná jednotka, </w:t>
      </w:r>
      <w:r>
        <w:rPr>
          <w:rFonts w:ascii="Arial Narrow" w:hAnsi="Arial Narrow" w:cs="Arial Narrow"/>
          <w:sz w:val="22"/>
          <w:szCs w:val="22"/>
        </w:rPr>
        <w:t>preto zostavuje účtovnú závierku podľa metodiky pre túto veľkostnú skupinu (Opatrenie č.MF/23378/2014-74 v znení neskorších predpisov).</w:t>
      </w:r>
    </w:p>
    <w:p w:rsidR="00A34DC9" w:rsidRDefault="00A34DC9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A34DC9" w:rsidRDefault="00A34DC9" w:rsidP="0051295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3A2C69">
        <w:rPr>
          <w:rFonts w:ascii="Arial Narrow" w:hAnsi="Arial Narrow" w:cs="Arial Narrow"/>
          <w:sz w:val="22"/>
          <w:szCs w:val="22"/>
        </w:rPr>
        <w:t xml:space="preserve"> </w:t>
      </w:r>
      <w:r w:rsidR="0051295C">
        <w:rPr>
          <w:rFonts w:ascii="Arial Narrow" w:hAnsi="Arial Narrow" w:cs="Arial Narrow"/>
          <w:sz w:val="22"/>
          <w:szCs w:val="22"/>
        </w:rPr>
        <w:t>Riadna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</w:t>
      </w:r>
      <w:r>
        <w:rPr>
          <w:rFonts w:ascii="Arial Narrow" w:hAnsi="Arial Narrow" w:cs="Arial Narrow"/>
          <w:b/>
          <w:bCs/>
          <w:sz w:val="22"/>
          <w:szCs w:val="22"/>
        </w:rPr>
        <w:t>s konsolidáciou</w:t>
      </w:r>
      <w:r>
        <w:rPr>
          <w:rFonts w:ascii="Arial Narrow" w:hAnsi="Arial Narrow" w:cs="Arial Narrow"/>
          <w:bCs/>
          <w:sz w:val="22"/>
          <w:szCs w:val="22"/>
        </w:rPr>
        <w:t>:</w:t>
      </w:r>
    </w:p>
    <w:p w:rsidR="00A34DC9" w:rsidRDefault="00A34DC9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najväčšiu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 konsolidácie):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Obchodné meno a 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najmenšiu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(bezprostredne vyšší stupeň konsolidácie), a ktorá je tiež začlenená do skupiny účtovných jednotiek na najvyššom stupni konsolidácie: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Adresa, kde sa môže vyžiadať kópia vyššie uvedených </w:t>
      </w:r>
      <w:r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>
        <w:rPr>
          <w:rFonts w:ascii="Arial Narrow" w:hAnsi="Arial Narrow" w:cs="Arial Narrow"/>
          <w:sz w:val="22"/>
          <w:szCs w:val="22"/>
        </w:rPr>
        <w:t>:</w:t>
      </w:r>
    </w:p>
    <w:p w:rsidR="003A2C69" w:rsidRDefault="003A2C6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A34DC9" w:rsidRPr="003A2C69" w:rsidRDefault="003A2C69" w:rsidP="003A2C69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Takéto účtovné jednotky  nemám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d) Údaj, či účtovná jednotka je materskou účtovnou jednotkou a údaj, či je oslobodená od povinnosti zostaviť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a konsolidovanú výročnú správu podľa § 22 zákona o účtovníctve, pričom sa uvádzajú:</w:t>
      </w:r>
      <w:r w:rsidR="003A2C69">
        <w:rPr>
          <w:rFonts w:ascii="Arial Narrow" w:hAnsi="Arial Narrow" w:cs="Arial Narrow"/>
          <w:sz w:val="22"/>
          <w:szCs w:val="22"/>
        </w:rPr>
        <w:t xml:space="preserve"> není materskou jednotkou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1. pri oslobodení podľa § 22 ods. 8 zákona o účtovníctve obchodné meno a sídlo materskej účtovnej jednotky zostavujúcej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podľa osobitných predpisov (IFRS/EÚ):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2. pri oslobodení podľa § 22 ods. 10 a 12 zákona o účtovníctve obchodné meno a sídlo dcérskych účtovných jednotiek:  </w:t>
      </w:r>
      <w:r w:rsidR="003A2C69">
        <w:rPr>
          <w:rFonts w:ascii="Arial Narrow" w:hAnsi="Arial Narrow" w:cs="Arial Narrow"/>
          <w:sz w:val="22"/>
          <w:szCs w:val="22"/>
        </w:rPr>
        <w:t>dcerské</w:t>
      </w:r>
      <w:r w:rsidR="002C58B0">
        <w:rPr>
          <w:rFonts w:ascii="Arial Narrow" w:hAnsi="Arial Narrow" w:cs="Arial Narrow"/>
          <w:sz w:val="22"/>
          <w:szCs w:val="22"/>
        </w:rPr>
        <w:t xml:space="preserve"> a ani materské  účtovne </w:t>
      </w:r>
      <w:r w:rsidR="003A2C69">
        <w:rPr>
          <w:rFonts w:ascii="Arial Narrow" w:hAnsi="Arial Narrow" w:cs="Arial Narrow"/>
          <w:sz w:val="22"/>
          <w:szCs w:val="22"/>
        </w:rPr>
        <w:t xml:space="preserve"> jednotky nemám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0" w:type="auto"/>
        <w:tblInd w:w="-5" w:type="dxa"/>
        <w:tblLayout w:type="fixed"/>
        <w:tblLook w:val="0000"/>
      </w:tblPr>
      <w:tblGrid>
        <w:gridCol w:w="4857"/>
        <w:gridCol w:w="2523"/>
        <w:gridCol w:w="2377"/>
      </w:tblGrid>
      <w:tr w:rsidR="00A34DC9">
        <w:trPr>
          <w:trHeight w:val="537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34DC9">
        <w:trPr>
          <w:trHeight w:val="163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34DC9" w:rsidRDefault="001140E5" w:rsidP="001140E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3A2C69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A34DC9" w:rsidRDefault="00A34DC9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ind w:right="-468"/>
        <w:jc w:val="center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A34DC9" w:rsidRDefault="00A34DC9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A34DC9" w:rsidRDefault="00A34DC9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W w:w="0" w:type="auto"/>
        <w:tblInd w:w="108" w:type="dxa"/>
        <w:tblLayout w:type="fixed"/>
        <w:tblLook w:val="0000"/>
      </w:tblPr>
      <w:tblGrid>
        <w:gridCol w:w="6312"/>
        <w:gridCol w:w="1701"/>
        <w:gridCol w:w="1711"/>
      </w:tblGrid>
      <w:tr w:rsidR="00A34DC9">
        <w:trPr>
          <w:trHeight w:val="780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Orgány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Bežné účtovné obdobie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930924">
            <w:pPr>
              <w:pStyle w:val="TopHeader"/>
            </w:pPr>
            <w:r>
              <w:t>Predchádzajúce</w:t>
            </w:r>
          </w:p>
          <w:p w:rsidR="00930924" w:rsidRDefault="00930924">
            <w:pPr>
              <w:pStyle w:val="TopHeader"/>
            </w:pPr>
            <w:r>
              <w:t>obdobie</w:t>
            </w:r>
          </w:p>
        </w:tc>
      </w:tr>
      <w:tr w:rsidR="00A34DC9">
        <w:trPr>
          <w:trHeight w:val="267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2C58B0" w:rsidP="00930924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Zamkovský Matej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2C58B0" w:rsidP="002D05E1">
            <w:r>
              <w:t>Zamkovský Matej</w:t>
            </w:r>
          </w:p>
        </w:tc>
      </w:tr>
      <w:tr w:rsidR="00A34DC9">
        <w:trPr>
          <w:trHeight w:val="144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A34DC9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2C58B0">
              <w:rPr>
                <w:rFonts w:ascii="Arial Narrow" w:hAnsi="Arial Narrow" w:cs="Arial Narrow"/>
                <w:sz w:val="22"/>
                <w:szCs w:val="22"/>
              </w:rPr>
              <w:t>nemám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2C58B0">
              <w:rPr>
                <w:rFonts w:ascii="Arial Narrow" w:hAnsi="Arial Narrow" w:cs="Arial Narrow"/>
                <w:sz w:val="22"/>
                <w:szCs w:val="22"/>
              </w:rPr>
              <w:t>nemám</w:t>
            </w:r>
          </w:p>
        </w:tc>
      </w:tr>
      <w:tr w:rsidR="00A34DC9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A34DC9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2C58B0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nemám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2C58B0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nemám</w:t>
            </w:r>
          </w:p>
        </w:tc>
      </w:tr>
      <w:tr w:rsidR="00A34DC9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34DC9" w:rsidRDefault="00A34DC9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A34DC9" w:rsidRDefault="00A34DC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:rsidR="00A34DC9" w:rsidRDefault="00A34DC9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A34DC9" w:rsidRDefault="00A34DC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závierkovom dni v zmysle § 7 ods. 4 zákona o účtovníctve. Ak by tento predpoklad nebol splnený, uvedie sa aj dopad do účtovnej závierky (napr. zrušenie dlhodobých rezerv): </w:t>
      </w:r>
    </w:p>
    <w:p w:rsidR="00A34DC9" w:rsidRDefault="00A34DC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  <w:r w:rsidR="003A2C69">
        <w:rPr>
          <w:rFonts w:ascii="Arial Narrow" w:hAnsi="Arial Narrow" w:cs="Arial Narrow"/>
          <w:sz w:val="22"/>
          <w:szCs w:val="22"/>
        </w:rPr>
        <w:t>Spoločnosť</w:t>
      </w:r>
      <w:r w:rsidR="00930924">
        <w:rPr>
          <w:rFonts w:ascii="Arial Narrow" w:hAnsi="Arial Narrow" w:cs="Arial Narrow"/>
          <w:sz w:val="22"/>
          <w:szCs w:val="22"/>
        </w:rPr>
        <w:t xml:space="preserve"> nie je v likvidácii</w:t>
      </w:r>
    </w:p>
    <w:p w:rsidR="00A34DC9" w:rsidRDefault="00A34DC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930924">
        <w:rPr>
          <w:rFonts w:ascii="Arial Narrow" w:hAnsi="Arial Narrow" w:cs="Arial Narrow"/>
          <w:sz w:val="22"/>
          <w:szCs w:val="22"/>
        </w:rPr>
        <w:t>Neboli žiadne zmeny</w:t>
      </w:r>
    </w:p>
    <w:p w:rsidR="00A34DC9" w:rsidRDefault="00A34DC9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3A2C69" w:rsidRDefault="00A34DC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</w:p>
    <w:p w:rsidR="003A2C69" w:rsidRDefault="003A2C69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3A2C69" w:rsidRDefault="003A2C69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časovo limitované licencie a oprávnenia, podnikové kombinácie, záväzky investovať, dopad legislatívy, celkový pokles v hospodárskom segmente):    </w:t>
      </w:r>
      <w:r w:rsidR="003A2C69">
        <w:rPr>
          <w:rFonts w:ascii="Arial Narrow" w:hAnsi="Arial Narrow" w:cs="Arial Narrow"/>
          <w:sz w:val="22"/>
          <w:szCs w:val="22"/>
        </w:rPr>
        <w:t>takéto transakcie nemáme</w:t>
      </w:r>
    </w:p>
    <w:p w:rsidR="00A34DC9" w:rsidRDefault="00A34DC9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:rsidR="00A34DC9" w:rsidRDefault="00A34DC9">
      <w:pPr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Spôsob oceňovania majetku a záväzkov (§ 25 ZoU):</w:t>
      </w:r>
    </w:p>
    <w:p w:rsidR="00A34DC9" w:rsidRDefault="00A34D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706"/>
        <w:gridCol w:w="5300"/>
        <w:gridCol w:w="3610"/>
      </w:tblGrid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 w:rsidP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 w:rsidP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 w:rsidP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2C58B0" w:rsidP="002C58B0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t>nebol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 w:rsidP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ZV a zákazková výstavba nehnuteľnosti určenej na predaj: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2C58B0" w:rsidP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2C58B0" w:rsidP="001140E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t xml:space="preserve">                         </w:t>
            </w:r>
            <w:r w:rsidR="001140E5">
              <w:t>6329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 w:rsidP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en-AU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riv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en-AU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ty: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Majetok a záväzky zabezpečené derivátmi: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 w:rsidP="002C58B0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107CC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neevidujem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107CC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t>0</w:t>
            </w:r>
          </w:p>
        </w:tc>
      </w:tr>
    </w:tbl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je zaúčtované formou opravnej položky stanovené odborným odhadom bonity klienta. 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Záväzky účtovná jednotka ocenila menovitou hodnotou záväzkov. Rezervy účtovná jednotka </w:t>
      </w:r>
      <w:r w:rsidR="00107CC8">
        <w:rPr>
          <w:rFonts w:ascii="Arial Narrow" w:hAnsi="Arial Narrow" w:cs="Arial Narrow"/>
          <w:sz w:val="22"/>
          <w:szCs w:val="22"/>
        </w:rPr>
        <w:t>neučtovala</w:t>
      </w:r>
      <w:r>
        <w:rPr>
          <w:rFonts w:ascii="Arial Narrow" w:hAnsi="Arial Narrow" w:cs="Arial Narrow"/>
          <w:sz w:val="22"/>
          <w:szCs w:val="22"/>
        </w:rPr>
        <w:t xml:space="preserve">. 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oceňovaniu majetku a záväzkov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A34DC9" w:rsidRDefault="00A34DC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Finančné nástroje</w:t>
      </w:r>
      <w:r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:rsidR="00A34DC9" w:rsidRDefault="00A34DC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Opravné položky</w:t>
      </w:r>
      <w:r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odborným odhadom bonity príslušného majetku.</w:t>
      </w:r>
      <w:r w:rsidR="00107CC8">
        <w:rPr>
          <w:rFonts w:ascii="Arial Narrow" w:hAnsi="Arial Narrow" w:cs="Arial Narrow"/>
          <w:sz w:val="22"/>
          <w:szCs w:val="22"/>
        </w:rPr>
        <w:t xml:space="preserve"> nemám</w:t>
      </w:r>
    </w:p>
    <w:p w:rsidR="00A34DC9" w:rsidRDefault="00A34DC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>
        <w:rPr>
          <w:rFonts w:ascii="Arial Narrow" w:hAnsi="Arial Narrow" w:cs="Arial Narrow"/>
          <w:sz w:val="22"/>
          <w:szCs w:val="22"/>
        </w:rPr>
        <w:t xml:space="preserve"> (§ 18/8 PU; § 21/6 PU).</w:t>
      </w:r>
      <w:r w:rsidR="00107CC8">
        <w:rPr>
          <w:rFonts w:ascii="Arial Narrow" w:hAnsi="Arial Narrow" w:cs="Arial Narrow"/>
          <w:sz w:val="22"/>
          <w:szCs w:val="22"/>
        </w:rPr>
        <w:t>neučtovala</w:t>
      </w:r>
    </w:p>
    <w:p w:rsidR="00A34DC9" w:rsidRDefault="00A34DC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Rezervy</w:t>
      </w:r>
      <w:r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A34DC9" w:rsidRDefault="00A34DC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  <w:r w:rsidR="00107CC8">
        <w:rPr>
          <w:rFonts w:ascii="Arial Narrow" w:hAnsi="Arial Narrow" w:cs="Arial Narrow"/>
          <w:sz w:val="22"/>
          <w:szCs w:val="22"/>
        </w:rPr>
        <w:t>-nemala</w:t>
      </w:r>
    </w:p>
    <w:p w:rsidR="00A34DC9" w:rsidRDefault="00A34DC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ÚJ používa pri oceňovaní úbytku rovnakého druhu zásob a cenných papierov – </w:t>
      </w:r>
      <w:r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:rsidR="00A34DC9" w:rsidRDefault="00A34DC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prírastku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>
        <w:rPr>
          <w:rFonts w:ascii="Arial Narrow" w:hAnsi="Arial Narrow" w:cs="Arial Narrow"/>
          <w:sz w:val="22"/>
          <w:szCs w:val="22"/>
          <w:u w:val="single"/>
        </w:rPr>
        <w:t>zmenárenský kurz</w:t>
      </w:r>
      <w:r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:rsidR="00A34DC9" w:rsidRDefault="00A34DC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úbytku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>
        <w:rPr>
          <w:rFonts w:ascii="Arial Narrow" w:hAnsi="Arial Narrow" w:cs="Arial Narrow"/>
          <w:sz w:val="22"/>
          <w:szCs w:val="22"/>
          <w:u w:val="single"/>
        </w:rPr>
        <w:t>základné pravidlo</w:t>
      </w:r>
      <w:r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A34DC9" w:rsidRDefault="00A34DC9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ZoU).</w:t>
      </w:r>
    </w:p>
    <w:p w:rsidR="00A34DC9" w:rsidRDefault="00A34DC9"/>
    <w:p w:rsidR="00A34DC9" w:rsidRDefault="00A34DC9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  <w:r w:rsidR="00107CC8">
        <w:rPr>
          <w:rFonts w:ascii="Arial Narrow" w:hAnsi="Arial Narrow" w:cs="Arial Narrow"/>
          <w:b w:val="0"/>
          <w:bCs w:val="0"/>
          <w:sz w:val="22"/>
          <w:szCs w:val="22"/>
        </w:rPr>
        <w:t xml:space="preserve"> o odpisoch spoločnosť neúčtovala</w:t>
      </w:r>
    </w:p>
    <w:tbl>
      <w:tblPr>
        <w:tblW w:w="0" w:type="auto"/>
        <w:tblInd w:w="-5" w:type="dxa"/>
        <w:tblLayout w:type="fixed"/>
        <w:tblLook w:val="0000"/>
      </w:tblPr>
      <w:tblGrid>
        <w:gridCol w:w="4218"/>
        <w:gridCol w:w="1013"/>
        <w:gridCol w:w="2107"/>
        <w:gridCol w:w="2278"/>
      </w:tblGrid>
      <w:tr w:rsidR="00A34DC9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Dlhodobý hmotný a nehmotný</w:t>
            </w:r>
          </w:p>
          <w:p w:rsidR="00A34DC9" w:rsidRDefault="00A34DC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A34DC9" w:rsidRDefault="00A34DC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A34DC9" w:rsidRDefault="00A34DC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A34DC9" w:rsidRDefault="00A34DC9">
            <w:pPr>
              <w:jc w:val="center"/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A34DC9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</w:pPr>
          </w:p>
        </w:tc>
      </w:tr>
      <w:tr w:rsidR="00A34DC9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</w:pPr>
          </w:p>
        </w:tc>
      </w:tr>
      <w:tr w:rsidR="00A34DC9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</w:pPr>
          </w:p>
        </w:tc>
      </w:tr>
      <w:tr w:rsidR="00A34DC9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Počítače s príslušenstvom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</w:pPr>
          </w:p>
        </w:tc>
      </w:tr>
      <w:tr w:rsidR="00A34DC9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CF2CB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</w:pPr>
          </w:p>
        </w:tc>
      </w:tr>
      <w:tr w:rsidR="00A34DC9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 w:rsidP="00107CC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</w:pPr>
          </w:p>
        </w:tc>
      </w:tr>
      <w:tr w:rsidR="00A34DC9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 w:rsidP="00107CC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 w:rsidP="00107CC8">
            <w:pPr>
              <w:jc w:val="center"/>
            </w:pPr>
          </w:p>
        </w:tc>
      </w:tr>
    </w:tbl>
    <w:p w:rsidR="00A34DC9" w:rsidRDefault="00A34DC9">
      <w:pPr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A34DC9" w:rsidRDefault="00A34DC9">
      <w:pPr>
        <w:spacing w:after="12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A34DC9" w:rsidRDefault="00A34DC9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"/>
          <w:sz w:val="22"/>
          <w:szCs w:val="22"/>
          <w:u w:val="single"/>
        </w:rPr>
        <w:t>zaradený do užívania</w:t>
      </w:r>
      <w:r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:rsidR="00A34DC9" w:rsidRDefault="00A34DC9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rovnomerné odpisovanie</w:t>
      </w:r>
      <w:r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:rsidR="00A34DC9" w:rsidRDefault="00A34DC9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>
        <w:rPr>
          <w:rFonts w:ascii="Arial Narrow" w:hAnsi="Arial Narrow" w:cs="Arial"/>
          <w:sz w:val="22"/>
          <w:szCs w:val="22"/>
          <w:u w:val="single"/>
        </w:rPr>
        <w:t>súbory hnuteľných vecí</w:t>
      </w:r>
      <w:r>
        <w:rPr>
          <w:rFonts w:ascii="Arial Narrow" w:hAnsi="Arial Narrow" w:cs="Arial"/>
          <w:sz w:val="22"/>
          <w:szCs w:val="22"/>
        </w:rPr>
        <w:t xml:space="preserve"> (napr. počítačová sieť, nábytková zostava). UJ nepoužíva komponentné odpisovanie (odpisovanie častí majetku - komponentov).</w:t>
      </w:r>
    </w:p>
    <w:p w:rsidR="00A34DC9" w:rsidRDefault="00A34DC9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nepoužila </w:t>
      </w:r>
      <w:r>
        <w:rPr>
          <w:rFonts w:ascii="Arial Narrow" w:hAnsi="Arial Narrow" w:cs="Arial Narrow"/>
          <w:sz w:val="22"/>
          <w:szCs w:val="22"/>
          <w:u w:val="single"/>
        </w:rPr>
        <w:t>jednorazový odpis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dlhodobého majetku z dôvodu jednorazového trvalého zníženia hodnoty majetku (§ 21/5 PU).</w:t>
      </w:r>
    </w:p>
    <w:p w:rsidR="00A34DC9" w:rsidRDefault="00A34DC9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nehmotného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2 400 eur jednotkovej ceny so životnosťou nad jeden rok (§ 13/2 PU).</w:t>
      </w:r>
    </w:p>
    <w:p w:rsidR="00A34DC9" w:rsidRDefault="00A34DC9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1 700 eur jednotkovej ceny so životnosťou nad jeden rok (§ 13/6 PU).</w:t>
      </w:r>
    </w:p>
    <w:p w:rsidR="00A34DC9" w:rsidRDefault="00A34DC9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>
        <w:rPr>
          <w:rFonts w:ascii="Arial Narrow" w:hAnsi="Arial Narrow" w:cs="Arial Narrow"/>
          <w:sz w:val="22"/>
          <w:szCs w:val="22"/>
        </w:rPr>
        <w:t xml:space="preserve"> do odpisovaného dlhodobého majetku – technické zhodnotenie pod 1 700 eur za účtovné obdobie (§ 21/3 PU; § 29/2 ZDP).</w:t>
      </w:r>
    </w:p>
    <w:p w:rsidR="00A34DC9" w:rsidRDefault="00A34DC9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>
        <w:rPr>
          <w:rFonts w:ascii="Arial Narrow" w:hAnsi="Arial Narrow" w:cs="Arial Narrow"/>
          <w:sz w:val="22"/>
          <w:szCs w:val="22"/>
        </w:rPr>
        <w:t xml:space="preserve"> do obstarávacej ceny odpisovaného dlhodobého hmotného majetku alebo dlhodobého nehmotného majetku (§ 34/1 PU; § 35/2/h PU).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107CC8">
        <w:rPr>
          <w:rFonts w:ascii="Arial Narrow" w:hAnsi="Arial Narrow" w:cs="Arial Narrow"/>
          <w:b w:val="0"/>
          <w:bCs w:val="0"/>
          <w:sz w:val="22"/>
          <w:szCs w:val="22"/>
        </w:rPr>
        <w:t>Dotácie v účtovnom období nedostala</w:t>
      </w:r>
    </w:p>
    <w:p w:rsidR="00A34DC9" w:rsidRDefault="00A34DC9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A34DC9" w:rsidRDefault="00A34DC9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lastRenderedPageBreak/>
        <w:t xml:space="preserve">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0" w:type="auto"/>
        <w:tblInd w:w="-5" w:type="dxa"/>
        <w:tblLayout w:type="fixed"/>
        <w:tblLook w:val="0000"/>
      </w:tblPr>
      <w:tblGrid>
        <w:gridCol w:w="3075"/>
        <w:gridCol w:w="1040"/>
        <w:gridCol w:w="1039"/>
        <w:gridCol w:w="1928"/>
        <w:gridCol w:w="2529"/>
      </w:tblGrid>
      <w:tr w:rsidR="00A34DC9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A34DC9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706945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706945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A34DC9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706945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706945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34DC9" w:rsidRDefault="00A34DC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:rsidR="00A34DC9" w:rsidRDefault="00A34DC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 schválení účtovnej závierky na valnom zhromaždení už nemožno otvárať účtovné knihy minulých účtovných období a prípadné opravy sa vykonajú v bežnom účtovnom období (§ 16/10,11 ZoU).</w:t>
      </w:r>
    </w:p>
    <w:p w:rsidR="00A34DC9" w:rsidRDefault="00A34DC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:rsidR="00A34DC9" w:rsidRDefault="00A34DC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Významné opravy chýb minulých účtovných období sa účtujú (§ 59/13 PU) - voči minulým výsledkom hospodárenia (voči vlastnému imaniu na účet 428 alebo 429). </w:t>
      </w:r>
      <w:r w:rsidR="00CF2CBE">
        <w:rPr>
          <w:rFonts w:ascii="Arial Narrow" w:hAnsi="Arial Narrow" w:cs="Arial Narrow"/>
          <w:sz w:val="22"/>
          <w:szCs w:val="22"/>
        </w:rPr>
        <w:t>Neučtoval msom</w:t>
      </w:r>
    </w:p>
    <w:p w:rsidR="00A34DC9" w:rsidRDefault="00A34DC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:rsidR="00A34DC9" w:rsidRDefault="00A34DC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 ukladaní pokuty za nesprávnosti v účtovníctve prihliadne daňový úrad aj na to, či UJ písomne ohlásila obsah a sumu vykonanej opravy chýb minulých účtovných období (§ 38/5 ZoU).</w:t>
      </w:r>
    </w:p>
    <w:p w:rsidR="00A34DC9" w:rsidRDefault="00A34DC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chýb minulých účtovných období sa daňovo vysporiadajú podľa pravidiel v zákone o dani z príjmov (§ 17/15,29 ZDP) a pravidiel v daňovom poriadku (§ 16). 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ind w:right="-468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:rsidR="00A34DC9" w:rsidRDefault="00A34DC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[Vysvetlivky: Záporný goodwill sa účtovne odpíše do výnosov (075/551) jednorázovo v roku jeho vzniku (§ 37 PU). Daňovo sa goodwill z podnikových kombinácií spravidla odpisuje najdlhšie počas 7 rokov podľa pravidiel v zákone o dani z príjmov (§ 17/11; § 17a - 17e ZDP)]</w:t>
      </w:r>
    </w:p>
    <w:p w:rsidR="00A34DC9" w:rsidRDefault="00A34DC9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A34DC9" w:rsidRDefault="002D05E1" w:rsidP="00107CC8">
      <w:pPr>
        <w:tabs>
          <w:tab w:val="left" w:pos="3630"/>
        </w:tabs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Takéto prípady spoločnosť neočtovala</w:t>
      </w:r>
      <w:r w:rsidR="00107CC8">
        <w:rPr>
          <w:rFonts w:ascii="Arial Narrow" w:hAnsi="Arial Narrow" w:cs="Arial Narrow"/>
          <w:sz w:val="22"/>
          <w:szCs w:val="22"/>
        </w:rPr>
        <w:tab/>
      </w:r>
    </w:p>
    <w:p w:rsidR="00A34DC9" w:rsidRDefault="00A34DC9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Pritom sa uvádza forma tohto zabezpečenia a uvádza sa zmena reálnej hodnoty v priebehu účtovného obdobia (§ 27 ZoU). Pre každý druh derivátov sa uvádza informácia o rozsahu a povahe týchto derivátov vrátane významných podmienok, ktoré môžu ovplyvniť sumu, načasovanie a mieru istoty budúcich peňažných tokov a </w:t>
      </w:r>
      <w:r>
        <w:rPr>
          <w:rFonts w:ascii="Arial Narrow" w:hAnsi="Arial Narrow" w:cs="Arial Narrow"/>
          <w:sz w:val="22"/>
          <w:szCs w:val="22"/>
          <w:u w:val="single"/>
        </w:rPr>
        <w:t>v tabuľkovej forme</w:t>
      </w:r>
      <w:r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0" w:type="auto"/>
        <w:tblInd w:w="-5" w:type="dxa"/>
        <w:tblLayout w:type="fixed"/>
        <w:tblLook w:val="0000"/>
      </w:tblPr>
      <w:tblGrid>
        <w:gridCol w:w="3655"/>
        <w:gridCol w:w="1135"/>
        <w:gridCol w:w="1135"/>
        <w:gridCol w:w="1844"/>
        <w:gridCol w:w="1846"/>
      </w:tblGrid>
      <w:tr w:rsidR="00A34DC9">
        <w:trPr>
          <w:trHeight w:val="153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 derivátov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A34DC9">
        <w:trPr>
          <w:trHeight w:val="62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706945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A34DC9">
        <w:trPr>
          <w:trHeight w:val="109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706945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34DC9" w:rsidRDefault="00A34DC9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</w:t>
      </w:r>
      <w:r>
        <w:rPr>
          <w:rFonts w:ascii="Arial Narrow" w:hAnsi="Arial Narrow" w:cs="Arial Narrow"/>
          <w:sz w:val="22"/>
          <w:szCs w:val="22"/>
        </w:rPr>
        <w:t>: Prvotné ocenenie reálnou hodnotou (§ 25 ZoU) počas účtovného obdobia – bez náplne.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sa k závierkovému dňu oceňujú, okrem iného, aj deriváty a majetok a záväzky zabezpečené derivátmi (§ 27/1 ZoU); precenenie na reálnu hodnotu k závierkovému dňu sa účtuje (§ 16 PU) - výsledkovo (účty 56x, 66x) alebo súvahovo (účet 414)].</w:t>
      </w:r>
    </w:p>
    <w:p w:rsidR="00A34DC9" w:rsidRDefault="00A34DC9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  <w:r w:rsidR="00CF2CBE">
        <w:rPr>
          <w:rFonts w:ascii="Arial Narrow" w:hAnsi="Arial Narrow" w:cs="Arial Narrow"/>
          <w:sz w:val="22"/>
          <w:szCs w:val="22"/>
        </w:rPr>
        <w:t>Nemám</w:t>
      </w:r>
    </w:p>
    <w:tbl>
      <w:tblPr>
        <w:tblW w:w="0" w:type="auto"/>
        <w:tblInd w:w="108" w:type="dxa"/>
        <w:tblLayout w:type="fixed"/>
        <w:tblLook w:val="0000"/>
      </w:tblPr>
      <w:tblGrid>
        <w:gridCol w:w="4785"/>
        <w:gridCol w:w="2553"/>
        <w:gridCol w:w="2386"/>
      </w:tblGrid>
      <w:tr w:rsidR="00A34DC9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lastRenderedPageBreak/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Bežné účtovné obdobie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Bezprostredne predchádzajúce účtovné obdobie</w:t>
            </w:r>
          </w:p>
        </w:tc>
      </w:tr>
      <w:tr w:rsidR="00A34DC9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:rsidR="00A34DC9" w:rsidRDefault="00A34DC9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 Zostatková doba splatnosti záväzku alebo jeho časti – je rozdiel medzi dohodnutou dobou splatnosti záväzkov a závierkovým dňom (§ 12 PU).]</w:t>
      </w:r>
    </w:p>
    <w:p w:rsidR="00A34DC9" w:rsidRDefault="00A34DC9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6"/>
        <w:gridCol w:w="2831"/>
        <w:gridCol w:w="2421"/>
      </w:tblGrid>
      <w:tr w:rsidR="00A34DC9"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Zabezpečené záväzky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Bežné účtovné obdobie</w:t>
            </w:r>
          </w:p>
        </w:tc>
      </w:tr>
      <w:tr w:rsidR="00A34DC9"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  <w:snapToGrid w:val="0"/>
              <w:jc w:val="both"/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 xml:space="preserve">Spôsob </w:t>
            </w:r>
          </w:p>
          <w:p w:rsidR="00A34DC9" w:rsidRDefault="00A34DC9">
            <w:pPr>
              <w:pStyle w:val="TopHeader"/>
            </w:pPr>
            <w:r>
              <w:t>zabezpečenia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Hodnota záväzkov</w:t>
            </w:r>
          </w:p>
        </w:tc>
      </w:tr>
      <w:tr w:rsidR="00A34DC9">
        <w:trPr>
          <w:trHeight w:val="69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A34DC9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A34DC9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2C58B0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nemám</w:t>
            </w:r>
          </w:p>
        </w:tc>
      </w:tr>
    </w:tbl>
    <w:p w:rsidR="00A34DC9" w:rsidRDefault="00A34DC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:rsidR="00A34DC9" w:rsidRDefault="00A34DC9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A34DC9" w:rsidRDefault="00A34DC9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A34DC9" w:rsidRDefault="00A34DC9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CF2CBE">
        <w:rPr>
          <w:rFonts w:ascii="Arial Narrow" w:hAnsi="Arial Narrow" w:cs="Arial Narrow"/>
          <w:sz w:val="22"/>
          <w:szCs w:val="22"/>
        </w:rPr>
        <w:t>nemám</w:t>
      </w:r>
    </w:p>
    <w:p w:rsidR="00A34DC9" w:rsidRDefault="00A34DC9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A34DC9" w:rsidRDefault="00A34DC9">
      <w:pPr>
        <w:spacing w:after="120"/>
        <w:ind w:right="-471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:rsidR="00A34DC9" w:rsidRDefault="00A34DC9">
      <w:pPr>
        <w:numPr>
          <w:ilvl w:val="0"/>
          <w:numId w:val="6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:rsidR="00A34DC9" w:rsidRDefault="00A34DC9">
      <w:pPr>
        <w:numPr>
          <w:ilvl w:val="0"/>
          <w:numId w:val="6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0" w:type="auto"/>
        <w:tblInd w:w="108" w:type="dxa"/>
        <w:tblLayout w:type="fixed"/>
        <w:tblLook w:val="0000"/>
      </w:tblPr>
      <w:tblGrid>
        <w:gridCol w:w="6311"/>
        <w:gridCol w:w="1701"/>
        <w:gridCol w:w="1603"/>
      </w:tblGrid>
      <w:tr w:rsidR="00A34DC9">
        <w:trPr>
          <w:trHeight w:val="780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Názov podsúvahovej položky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Bežné účtovné obdobie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Bezprostredne predchádzajúce účtovné obdobie</w:t>
            </w:r>
          </w:p>
        </w:tc>
      </w:tr>
      <w:tr w:rsidR="00A34DC9">
        <w:trPr>
          <w:trHeight w:val="267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706945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  <w:p w:rsidR="00706945" w:rsidRDefault="0070694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706945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A34DC9">
        <w:trPr>
          <w:trHeight w:val="144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706945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706945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A34DC9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706945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706945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A34DC9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A34DC9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A34DC9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A34DC9" w:rsidRDefault="00A34DC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 – UDALOSTI, KTORÉ NASTALI PO ZÁVIERKOVOM DNI</w:t>
      </w:r>
    </w:p>
    <w:p w:rsidR="00A34DC9" w:rsidRDefault="00A34DC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A34DC9" w:rsidRDefault="00A34DC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Uvádzajú sa informácie o charaktere a finančnom vplyve významných udalostí, ktoré nastali v čase po závierkovom dni - do dňa zostavenia účtovnej závierky (t.j. do dňa podpísania výkazov podľa § 17/5 ZoU) a ktoré nie sú zohľadnené v súvahe alebo vo výkaze ziskov a strát, napríklad: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</w:t>
      </w:r>
      <w:r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>
        <w:rPr>
          <w:rFonts w:ascii="Arial Narrow" w:hAnsi="Arial Narrow" w:cs="Arial Narrow"/>
          <w:sz w:val="22"/>
          <w:szCs w:val="22"/>
        </w:rPr>
        <w:t xml:space="preserve"> ako dôsledku udalostí, ktoré nastali po dni, ku ktorému sa zostavuje účtovná závierka do dňa zostavenia účtovnej závierky s uvedením dôvodu týchto zmien: 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</w:t>
      </w:r>
      <w:r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závierkovom dni do dňa podpísania výkazov – uvádza sa v poznámkach. </w:t>
      </w:r>
      <w:r>
        <w:rPr>
          <w:rFonts w:ascii="Arial Narrow" w:hAnsi="Arial Narrow" w:cs="Arial Narrow"/>
          <w:sz w:val="22"/>
          <w:szCs w:val="22"/>
          <w:u w:val="single"/>
        </w:rPr>
        <w:t>Upravujúci závierkový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závierkového dňa, len bol zistený do dňa podpísania výkazov – riadne sa účtuje do hlavnej knihy a riadne sa vykazuje vo výkazoch (§ 17/8 ZoU; § 2a; § 18/9; § 19/6; § 48/3; § 50/6 PU).]</w:t>
      </w:r>
    </w:p>
    <w:p w:rsidR="00A34DC9" w:rsidRDefault="00A34DC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A34DC9" w:rsidRDefault="00A34DC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A34DC9" w:rsidRDefault="00A34DC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:rsidR="00A34DC9" w:rsidRDefault="00A34DC9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A34DC9" w:rsidRDefault="00A34DC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 Informácie o výlučnom práve poskytovať služby vo verejnom záujme:</w:t>
      </w:r>
    </w:p>
    <w:p w:rsidR="00A34DC9" w:rsidRDefault="00A34DC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lastRenderedPageBreak/>
        <w:t>2) Informácie o osobitnej kategórii priemyselnej výroby (§ 23d/6 ZoU):</w:t>
      </w:r>
    </w:p>
    <w:p w:rsidR="00A34DC9" w:rsidRDefault="00A34DC9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</w:p>
    <w:sectPr w:rsidR="00A34DC9">
      <w:headerReference w:type="default" r:id="rId8"/>
      <w:footerReference w:type="default" r:id="rId9"/>
      <w:pgSz w:w="11906" w:h="16838"/>
      <w:pgMar w:top="1417" w:right="992" w:bottom="1417" w:left="1417" w:header="567" w:footer="567" w:gutter="0"/>
      <w:cols w:space="708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75B7" w:rsidRDefault="007975B7">
      <w:r>
        <w:separator/>
      </w:r>
    </w:p>
  </w:endnote>
  <w:endnote w:type="continuationSeparator" w:id="1">
    <w:p w:rsidR="007975B7" w:rsidRDefault="007975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DC9" w:rsidRDefault="00A34DC9">
    <w:pPr>
      <w:pStyle w:val="Pta"/>
      <w:jc w:val="right"/>
    </w:pPr>
    <w:fldSimple w:instr=" PAGE ">
      <w:r w:rsidR="004D6787">
        <w:rPr>
          <w:noProof/>
        </w:rPr>
        <w:t>4</w:t>
      </w:r>
    </w:fldSimple>
  </w:p>
  <w:p w:rsidR="00A34DC9" w:rsidRDefault="00A34DC9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75B7" w:rsidRDefault="007975B7">
      <w:r>
        <w:separator/>
      </w:r>
    </w:p>
  </w:footnote>
  <w:footnote w:type="continuationSeparator" w:id="1">
    <w:p w:rsidR="007975B7" w:rsidRDefault="007975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DC9" w:rsidRDefault="00A34DC9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</w:t>
    </w:r>
    <w:r w:rsidR="00A75004">
      <w:rPr>
        <w:rFonts w:ascii="Arial" w:hAnsi="Arial" w:cs="Arial"/>
        <w:sz w:val="22"/>
        <w:szCs w:val="22"/>
      </w:rPr>
      <w:t>47707305</w:t>
    </w:r>
    <w:r>
      <w:rPr>
        <w:rFonts w:ascii="Arial" w:hAnsi="Arial" w:cs="Arial"/>
        <w:sz w:val="22"/>
        <w:szCs w:val="22"/>
      </w:rPr>
      <w:t xml:space="preserve"> 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Č: </w:t>
    </w:r>
    <w:r w:rsidR="00A75004">
      <w:rPr>
        <w:rFonts w:ascii="Arial" w:hAnsi="Arial" w:cs="Arial"/>
        <w:sz w:val="22"/>
        <w:szCs w:val="22"/>
      </w:rPr>
      <w:t>2024065175</w:t>
    </w:r>
  </w:p>
  <w:p w:rsidR="00A34DC9" w:rsidRDefault="00A34DC9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decimal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color w:val="auto"/>
        <w:spacing w:val="0"/>
        <w:w w:val="100"/>
        <w:kern w:val="1"/>
        <w:position w:val="0"/>
        <w:sz w:val="24"/>
        <w:szCs w:val="24"/>
        <w:u w:val="none"/>
        <w:vertAlign w:val="baseline"/>
      </w:r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2">
    <w:nsid w:val="00000003"/>
    <w:multiLevelType w:val="singleLevel"/>
    <w:tmpl w:val="00000003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3">
    <w:nsid w:val="00000004"/>
    <w:multiLevelType w:val="single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4">
    <w:nsid w:val="00000005"/>
    <w:multiLevelType w:val="singleLevel"/>
    <w:tmpl w:val="00000005"/>
    <w:name w:val="WW8Num10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 w:hint="default"/>
      </w:rPr>
    </w:lvl>
  </w:abstractNum>
  <w:abstractNum w:abstractNumId="5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113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3841"/>
    <w:rsid w:val="00107CC8"/>
    <w:rsid w:val="001140E5"/>
    <w:rsid w:val="002C58B0"/>
    <w:rsid w:val="002D05E1"/>
    <w:rsid w:val="00340782"/>
    <w:rsid w:val="003A2C69"/>
    <w:rsid w:val="004B6652"/>
    <w:rsid w:val="004D6787"/>
    <w:rsid w:val="0051295C"/>
    <w:rsid w:val="00692207"/>
    <w:rsid w:val="006B6922"/>
    <w:rsid w:val="00706945"/>
    <w:rsid w:val="007975B7"/>
    <w:rsid w:val="00893841"/>
    <w:rsid w:val="008A3445"/>
    <w:rsid w:val="00930924"/>
    <w:rsid w:val="009E5B75"/>
    <w:rsid w:val="00A26651"/>
    <w:rsid w:val="00A34DC9"/>
    <w:rsid w:val="00A75004"/>
    <w:rsid w:val="00B26209"/>
    <w:rsid w:val="00B87D6C"/>
    <w:rsid w:val="00B941EE"/>
    <w:rsid w:val="00CE6F87"/>
    <w:rsid w:val="00CF2CBE"/>
    <w:rsid w:val="00E56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1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ascii="Wingdings" w:hAnsi="Wingdings" w:cs="Wingdings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  <w:sz w:val="22"/>
      <w:szCs w:val="22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Wingdings" w:hAnsi="Wingdings" w:cs="Wingdings" w:hint="default"/>
      <w:sz w:val="22"/>
      <w:szCs w:val="22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Wingdings" w:hAnsi="Wingdings" w:cs="Wingdings" w:hint="default"/>
      <w:sz w:val="22"/>
      <w:szCs w:val="22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 Narrow" w:eastAsia="Times New Roman" w:hAnsi="Arial Narrow" w:cs="Arial Narrow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Wingdings" w:hAnsi="Wingdings" w:cs="Wingdings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  <w:rPr>
      <w:rFonts w:hint="default"/>
    </w:rPr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Wingdings" w:hAnsi="Wingdings" w:cs="Wingdings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hAnsi="Wingdings" w:cs="Wingdings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Predvolenpsmoodseku1">
    <w:name w:val="Predvolené písmo odseku1"/>
  </w:style>
  <w:style w:type="character" w:customStyle="1" w:styleId="Nadpis1Char">
    <w:name w:val="Nadpis 1 Char"/>
    <w:rPr>
      <w:b/>
      <w:bCs/>
      <w:kern w:val="1"/>
      <w:sz w:val="24"/>
      <w:szCs w:val="24"/>
      <w:lang w:val="sk-SK"/>
    </w:rPr>
  </w:style>
  <w:style w:type="character" w:customStyle="1" w:styleId="Nadpis2Char">
    <w:name w:val="Nadpis 2 Char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rPr>
      <w:sz w:val="20"/>
      <w:szCs w:val="20"/>
    </w:rPr>
  </w:style>
  <w:style w:type="character" w:customStyle="1" w:styleId="Znakyprepoznmkupodiarou">
    <w:name w:val="Znaky pre poznámku pod čiarou"/>
    <w:rPr>
      <w:vertAlign w:val="superscript"/>
    </w:rPr>
  </w:style>
  <w:style w:type="character" w:customStyle="1" w:styleId="PtaChar">
    <w:name w:val="Päta Char"/>
    <w:rPr>
      <w:sz w:val="24"/>
      <w:szCs w:val="24"/>
    </w:rPr>
  </w:style>
  <w:style w:type="character" w:styleId="slostrany">
    <w:name w:val="page number"/>
    <w:basedOn w:val="Predvolenpsmoodseku1"/>
  </w:style>
  <w:style w:type="character" w:customStyle="1" w:styleId="NzovChar">
    <w:name w:val="Názov Char"/>
    <w:rPr>
      <w:rFonts w:ascii="Arial Narrow" w:hAnsi="Arial Narrow" w:cs="Arial Narrow"/>
      <w:b/>
      <w:bCs/>
      <w:kern w:val="1"/>
      <w:sz w:val="32"/>
      <w:szCs w:val="32"/>
      <w:lang w:val="sk-SK"/>
    </w:rPr>
  </w:style>
  <w:style w:type="character" w:customStyle="1" w:styleId="HlavikaChar">
    <w:name w:val="Hlavička Char"/>
    <w:rPr>
      <w:sz w:val="24"/>
      <w:szCs w:val="24"/>
      <w:lang w:val="sk-SK"/>
    </w:rPr>
  </w:style>
  <w:style w:type="character" w:customStyle="1" w:styleId="ZkladntextChar">
    <w:name w:val="Základný text Char"/>
    <w:rPr>
      <w:sz w:val="24"/>
      <w:szCs w:val="24"/>
      <w:lang w:val="en-US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Ari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pPr>
      <w:suppressLineNumbers/>
    </w:pPr>
    <w:rPr>
      <w:rFonts w:cs="Arial"/>
    </w:rPr>
  </w:style>
  <w:style w:type="paragraph" w:customStyle="1" w:styleId="Zkladntext1">
    <w:name w:val="Základní text1"/>
    <w:pPr>
      <w:suppressAutoHyphens/>
      <w:spacing w:after="240"/>
      <w:jc w:val="both"/>
    </w:pPr>
    <w:rPr>
      <w:color w:val="000000"/>
      <w:sz w:val="24"/>
      <w:szCs w:val="24"/>
      <w:lang w:eastAsia="ar-SA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Nzov">
    <w:name w:val="Title"/>
    <w:basedOn w:val="Normlny"/>
    <w:next w:val="Normlny"/>
    <w:qFormat/>
    <w:pPr>
      <w:keepNext/>
      <w:spacing w:before="280" w:after="220"/>
      <w:jc w:val="center"/>
    </w:pPr>
    <w:rPr>
      <w:rFonts w:ascii="Arial Narrow" w:hAnsi="Arial Narrow" w:cs="Arial Narrow"/>
      <w:b/>
      <w:bCs/>
      <w:kern w:val="1"/>
      <w:sz w:val="22"/>
      <w:szCs w:val="22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TopHeader">
    <w:name w:val="Top Header"/>
    <w:basedOn w:val="Normlny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11EAD-0BD4-4C65-9176-C793A489C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2924</Words>
  <Characters>16670</Characters>
  <Application>Microsoft Office Word</Application>
  <DocSecurity>0</DocSecurity>
  <Lines>138</Lines>
  <Paragraphs>39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/>
  <LinksUpToDate>false</LinksUpToDate>
  <CharactersWithSpaces>19555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Urbanova</cp:lastModifiedBy>
  <cp:revision>4</cp:revision>
  <cp:lastPrinted>2015-07-22T09:26:00Z</cp:lastPrinted>
  <dcterms:created xsi:type="dcterms:W3CDTF">2020-03-14T19:39:00Z</dcterms:created>
  <dcterms:modified xsi:type="dcterms:W3CDTF">2020-03-14T19:43:00Z</dcterms:modified>
</cp:coreProperties>
</file>