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604C" w:rsidRPr="00A0604C" w:rsidRDefault="00A0604C" w:rsidP="00A0604C">
      <w:pPr>
        <w:spacing w:after="0" w:line="240" w:lineRule="auto"/>
        <w:jc w:val="center"/>
        <w:rPr>
          <w:rFonts w:ascii="Times New Roman" w:eastAsia="Times New Roman" w:hAnsi="Times New Roman" w:cs="Times New Roman"/>
          <w:b/>
          <w:sz w:val="28"/>
          <w:szCs w:val="28"/>
          <w:lang w:eastAsia="sk-SK"/>
        </w:rPr>
      </w:pPr>
      <w:bookmarkStart w:id="0" w:name="_GoBack"/>
      <w:bookmarkEnd w:id="0"/>
      <w:r w:rsidRPr="00A0604C">
        <w:rPr>
          <w:rFonts w:ascii="Times New Roman" w:eastAsia="Times New Roman" w:hAnsi="Times New Roman" w:cs="Times New Roman"/>
          <w:b/>
          <w:sz w:val="28"/>
          <w:szCs w:val="28"/>
          <w:lang w:eastAsia="sk-SK"/>
        </w:rPr>
        <w:t>Poznámky konsolidovanej účtovnej závierky obce Nová Dedinka</w:t>
      </w:r>
    </w:p>
    <w:p w:rsidR="00A0604C" w:rsidRPr="00A0604C" w:rsidRDefault="00A0604C" w:rsidP="00A0604C">
      <w:pPr>
        <w:spacing w:after="0" w:line="240" w:lineRule="auto"/>
        <w:jc w:val="center"/>
        <w:rPr>
          <w:rFonts w:ascii="Times New Roman" w:eastAsia="Times New Roman" w:hAnsi="Times New Roman" w:cs="Times New Roman"/>
          <w:sz w:val="28"/>
          <w:szCs w:val="28"/>
          <w:lang w:eastAsia="sk-SK"/>
        </w:rPr>
      </w:pPr>
      <w:r w:rsidRPr="00A0604C">
        <w:rPr>
          <w:rFonts w:ascii="Times New Roman" w:eastAsia="Times New Roman" w:hAnsi="Times New Roman" w:cs="Times New Roman"/>
          <w:b/>
          <w:sz w:val="28"/>
          <w:szCs w:val="28"/>
          <w:lang w:eastAsia="sk-SK"/>
        </w:rPr>
        <w:t xml:space="preserve">zostavenej k 31. decembru </w:t>
      </w:r>
      <w:r w:rsidRPr="00A0604C">
        <w:rPr>
          <w:rFonts w:ascii="Times New Roman" w:eastAsia="Times New Roman" w:hAnsi="Times New Roman" w:cs="Times New Roman"/>
          <w:b/>
          <w:iCs/>
          <w:sz w:val="28"/>
          <w:szCs w:val="28"/>
          <w:lang w:eastAsia="sk-SK"/>
        </w:rPr>
        <w:t>201</w:t>
      </w:r>
      <w:r w:rsidR="00F00DC9">
        <w:rPr>
          <w:rFonts w:ascii="Times New Roman" w:eastAsia="Times New Roman" w:hAnsi="Times New Roman" w:cs="Times New Roman"/>
          <w:b/>
          <w:iCs/>
          <w:sz w:val="28"/>
          <w:szCs w:val="28"/>
          <w:lang w:eastAsia="sk-SK"/>
        </w:rPr>
        <w:t>9</w:t>
      </w:r>
      <w:r w:rsidRPr="00A0604C">
        <w:rPr>
          <w:rFonts w:ascii="Times New Roman" w:eastAsia="Times New Roman" w:hAnsi="Times New Roman" w:cs="Times New Roman"/>
          <w:b/>
          <w:iCs/>
          <w:sz w:val="28"/>
          <w:szCs w:val="28"/>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r w:rsidRPr="00A0604C">
        <w:rPr>
          <w:rFonts w:ascii="Times New Roman" w:eastAsia="Times New Roman" w:hAnsi="Times New Roman" w:cs="Times New Roman"/>
          <w:b/>
          <w:bCs/>
          <w:kern w:val="32"/>
          <w:sz w:val="24"/>
          <w:szCs w:val="24"/>
          <w:lang w:val="x-none" w:eastAsia="x-none"/>
        </w:rPr>
        <w:t>VŠEOBECNÉ ÚDAJE</w:t>
      </w: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Identifikačné údaje konsolidujúcej</w:t>
      </w:r>
      <w:r w:rsidRPr="00A0604C">
        <w:rPr>
          <w:rFonts w:ascii="Arial" w:eastAsia="Times New Roman" w:hAnsi="Arial" w:cs="Arial"/>
          <w:bCs/>
          <w:i/>
          <w:iCs/>
          <w:sz w:val="16"/>
          <w:szCs w:val="16"/>
          <w:u w:val="single"/>
          <w:lang w:val="x-none" w:eastAsia="x-none"/>
        </w:rPr>
        <w:t xml:space="preserve">  </w:t>
      </w:r>
      <w:r w:rsidRPr="00A0604C">
        <w:rPr>
          <w:rFonts w:ascii="Times New Roman" w:eastAsia="Times New Roman" w:hAnsi="Times New Roman" w:cs="Times New Roman"/>
          <w:bCs/>
          <w:i/>
          <w:iCs/>
          <w:sz w:val="24"/>
          <w:szCs w:val="24"/>
          <w:u w:val="single"/>
          <w:lang w:val="x-none" w:eastAsia="x-none"/>
        </w:rPr>
        <w:t>účtovnej jednotky</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Nová Dedinka</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Mierová ulica 176/11</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900 29 Nová Dedinka</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IČO: 00304981</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Nová Dedinka (v ďalšom texte len „Obec“) bola založená v roku 199</w:t>
      </w:r>
      <w:r w:rsidR="00F00DC9">
        <w:rPr>
          <w:rFonts w:ascii="Times New Roman" w:eastAsia="Times New Roman" w:hAnsi="Times New Roman" w:cs="Times New Roman"/>
          <w:sz w:val="24"/>
          <w:szCs w:val="24"/>
          <w:lang w:eastAsia="sk-SK"/>
        </w:rPr>
        <w:t>0</w:t>
      </w:r>
      <w:r w:rsidRPr="00A0604C">
        <w:rPr>
          <w:rFonts w:ascii="Times New Roman" w:eastAsia="Times New Roman" w:hAnsi="Times New Roman" w:cs="Times New Roman"/>
          <w:sz w:val="24"/>
          <w:szCs w:val="24"/>
          <w:lang w:eastAsia="sk-SK"/>
        </w:rPr>
        <w:t xml:space="preserve"> zákonom č.369/1990  Zb. o obecnom zriadení.</w:t>
      </w:r>
    </w:p>
    <w:p w:rsidR="00A0604C" w:rsidRPr="00A0604C" w:rsidRDefault="00A0604C" w:rsidP="00A0604C">
      <w:pPr>
        <w:spacing w:after="0" w:line="240" w:lineRule="auto"/>
        <w:ind w:right="-79"/>
        <w:jc w:val="both"/>
        <w:rPr>
          <w:rFonts w:ascii="Times New Roman" w:eastAsia="Times New Roman" w:hAnsi="Times New Roman" w:cs="Times New Roman"/>
          <w:i/>
          <w:sz w:val="24"/>
          <w:szCs w:val="24"/>
          <w:u w:val="single"/>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i/>
          <w:sz w:val="24"/>
          <w:szCs w:val="24"/>
          <w:u w:val="single"/>
          <w:lang w:eastAsia="sk-SK"/>
        </w:rPr>
      </w:pPr>
      <w:r w:rsidRPr="00A0604C">
        <w:rPr>
          <w:rFonts w:ascii="Times New Roman" w:eastAsia="Times New Roman" w:hAnsi="Times New Roman" w:cs="Times New Roman"/>
          <w:i/>
          <w:sz w:val="24"/>
          <w:szCs w:val="24"/>
          <w:u w:val="single"/>
          <w:lang w:eastAsia="sk-SK"/>
        </w:rPr>
        <w:t>Identifikačné údaje konsolidovaných účtovných jednotiek</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Obec má v zriaďovateľskej pôsobnosti 1 rozpočtovú organizáciu, a to Základnú školu Nová Dedinka.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20"/>
      </w:tblGrid>
      <w:tr w:rsidR="00A0604C" w:rsidRPr="00A0604C" w:rsidTr="00E179A8">
        <w:tc>
          <w:tcPr>
            <w:tcW w:w="4678" w:type="dxa"/>
            <w:tcBorders>
              <w:bottom w:val="single" w:sz="4" w:space="0" w:color="auto"/>
            </w:tcBorders>
            <w:shd w:val="clear" w:color="auto" w:fill="F2F2F2"/>
            <w:vAlign w:val="center"/>
          </w:tcPr>
          <w:p w:rsidR="00A0604C" w:rsidRPr="00A0604C" w:rsidRDefault="00A0604C" w:rsidP="00A0604C">
            <w:pPr>
              <w:spacing w:after="0" w:line="36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Názov konsolidovanej účtovnej jednotky</w:t>
            </w:r>
          </w:p>
        </w:tc>
        <w:tc>
          <w:tcPr>
            <w:tcW w:w="4820" w:type="dxa"/>
            <w:shd w:val="clear" w:color="auto" w:fill="F2F2F2"/>
          </w:tcPr>
          <w:p w:rsidR="00A0604C" w:rsidRPr="00A0604C" w:rsidRDefault="00A0604C" w:rsidP="00A0604C">
            <w:pPr>
              <w:spacing w:after="0" w:line="36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Sídlo konsolidovanej účtovnej jednotky</w:t>
            </w:r>
          </w:p>
        </w:tc>
      </w:tr>
      <w:tr w:rsidR="00A0604C" w:rsidRPr="00A0604C" w:rsidTr="00E179A8">
        <w:tc>
          <w:tcPr>
            <w:tcW w:w="4678" w:type="dxa"/>
            <w:shd w:val="clear" w:color="auto" w:fill="auto"/>
            <w:vAlign w:val="bottom"/>
          </w:tcPr>
          <w:p w:rsidR="00A0604C" w:rsidRPr="00A0604C" w:rsidRDefault="00A0604C" w:rsidP="00A0604C">
            <w:pPr>
              <w:spacing w:after="0" w:line="24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Základná škola Nová Dedinka </w:t>
            </w:r>
          </w:p>
        </w:tc>
        <w:tc>
          <w:tcPr>
            <w:tcW w:w="4820" w:type="dxa"/>
            <w:vAlign w:val="bottom"/>
          </w:tcPr>
          <w:p w:rsidR="00A0604C" w:rsidRPr="00A0604C" w:rsidRDefault="00A0604C" w:rsidP="00A0604C">
            <w:pPr>
              <w:spacing w:after="0" w:line="24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Hlavná č.45, 900 29 Nová Dedinka</w:t>
            </w:r>
          </w:p>
        </w:tc>
      </w:tr>
    </w:tbl>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Konsolidovaný celok Obce sa v roku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oproti minulým účtovným obdobiam nezmenil.</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Prehľad o účtovných jednotkách konsolidovaného celku je uvedený,  v tabuľkovej časti </w:t>
      </w:r>
      <w:r w:rsidRPr="00A0604C">
        <w:rPr>
          <w:rFonts w:ascii="Times New Roman" w:eastAsia="Times New Roman" w:hAnsi="Times New Roman" w:cs="Times New Roman"/>
          <w:i/>
          <w:sz w:val="24"/>
          <w:szCs w:val="24"/>
          <w:lang w:eastAsia="sk-SK"/>
        </w:rPr>
        <w:t>Údaje o konsolidovanom celku</w:t>
      </w:r>
      <w:r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Konsolidovaná účtovná závierka konsolidovaného celku Obce k 31. decembru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zostavená ako riadna konsolidovaná účtovná závierka podľa zákona č. 431/2002 Z. z. o účtovníctve v znení neskorších predpisov, za účtovné obdobie od 1. januára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do                      31. decembra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je súčasťou súhrnného celku verejnej správy Slovenskej republiky.</w:t>
      </w:r>
    </w:p>
    <w:p w:rsidR="00A0604C" w:rsidRPr="00A0604C" w:rsidRDefault="00A0604C" w:rsidP="00A0604C">
      <w:pPr>
        <w:spacing w:after="0" w:line="240" w:lineRule="auto"/>
        <w:rPr>
          <w:rFonts w:ascii="Times New Roman" w:eastAsia="Times New Roman" w:hAnsi="Times New Roman" w:cs="Times New Roman"/>
          <w:sz w:val="24"/>
          <w:szCs w:val="24"/>
          <w:lang w:eastAsia="x-none"/>
        </w:rPr>
      </w:pP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eastAsia="x-none"/>
        </w:rPr>
      </w:pPr>
      <w:r w:rsidRPr="00A0604C">
        <w:rPr>
          <w:rFonts w:ascii="Times New Roman" w:eastAsia="Times New Roman" w:hAnsi="Times New Roman" w:cs="Times New Roman"/>
          <w:bCs/>
          <w:i/>
          <w:iCs/>
          <w:sz w:val="24"/>
          <w:szCs w:val="24"/>
          <w:u w:val="single"/>
          <w:lang w:val="x-none" w:eastAsia="x-none"/>
        </w:rPr>
        <w:t>Informácie o vedúcich predstaviteľoch a o </w:t>
      </w:r>
      <w:r w:rsidRPr="00A0604C">
        <w:rPr>
          <w:rFonts w:ascii="Times New Roman" w:eastAsia="Times New Roman" w:hAnsi="Times New Roman" w:cs="Times New Roman"/>
          <w:bCs/>
          <w:i/>
          <w:iCs/>
          <w:sz w:val="24"/>
          <w:szCs w:val="24"/>
          <w:u w:val="single"/>
          <w:lang w:eastAsia="x-none"/>
        </w:rPr>
        <w:t>zamestnancoch konsolidovaného celku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Starosta obce: </w:t>
      </w:r>
      <w:r w:rsidRPr="00A0604C">
        <w:rPr>
          <w:rFonts w:ascii="Times New Roman" w:eastAsia="Times New Roman" w:hAnsi="Times New Roman" w:cs="Times New Roman"/>
          <w:sz w:val="24"/>
          <w:szCs w:val="24"/>
          <w:lang w:eastAsia="sk-SK"/>
        </w:rPr>
        <w:tab/>
      </w:r>
      <w:r w:rsidRPr="00A0604C">
        <w:rPr>
          <w:rFonts w:ascii="Times New Roman" w:eastAsia="Times New Roman" w:hAnsi="Times New Roman" w:cs="Times New Roman"/>
          <w:sz w:val="24"/>
          <w:szCs w:val="24"/>
          <w:lang w:eastAsia="sk-SK"/>
        </w:rPr>
        <w:tab/>
        <w:t xml:space="preserve">          </w:t>
      </w:r>
      <w:r w:rsidR="007323FA">
        <w:rPr>
          <w:rFonts w:ascii="Times New Roman" w:eastAsia="Times New Roman" w:hAnsi="Times New Roman" w:cs="Times New Roman"/>
          <w:sz w:val="24"/>
          <w:szCs w:val="24"/>
          <w:lang w:eastAsia="sk-SK"/>
        </w:rPr>
        <w:t xml:space="preserve">  Zuzana Árvová</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Zástupca starostu:</w:t>
      </w:r>
      <w:r w:rsidRPr="00A0604C">
        <w:rPr>
          <w:rFonts w:ascii="Times New Roman" w:eastAsia="Times New Roman" w:hAnsi="Times New Roman" w:cs="Times New Roman"/>
          <w:sz w:val="24"/>
          <w:szCs w:val="24"/>
          <w:lang w:eastAsia="sk-SK"/>
        </w:rPr>
        <w:tab/>
      </w:r>
      <w:r w:rsidRPr="00A0604C">
        <w:rPr>
          <w:rFonts w:ascii="Times New Roman" w:eastAsia="Times New Roman" w:hAnsi="Times New Roman" w:cs="Times New Roman"/>
          <w:sz w:val="24"/>
          <w:szCs w:val="24"/>
          <w:lang w:eastAsia="sk-SK"/>
        </w:rPr>
        <w:tab/>
      </w:r>
      <w:r w:rsidR="007323FA">
        <w:rPr>
          <w:rFonts w:ascii="Times New Roman" w:eastAsia="Times New Roman" w:hAnsi="Times New Roman" w:cs="Times New Roman"/>
          <w:sz w:val="24"/>
          <w:szCs w:val="24"/>
          <w:lang w:eastAsia="sk-SK"/>
        </w:rPr>
        <w:t>Vladimír Petrík</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Hlavný kontrolór obce:</w:t>
      </w:r>
      <w:r w:rsidRPr="00A0604C">
        <w:rPr>
          <w:rFonts w:ascii="Times New Roman" w:eastAsia="Times New Roman" w:hAnsi="Times New Roman" w:cs="Times New Roman"/>
          <w:sz w:val="24"/>
          <w:szCs w:val="24"/>
          <w:lang w:eastAsia="sk-SK"/>
        </w:rPr>
        <w:tab/>
        <w:t>Ing. Andrea Fülöpová</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Priemerný počet zamestnancov konsolidovaného celku Obce bol 61, z toho 3 vedúci zamestnanci (v roku 201</w:t>
      </w:r>
      <w:r w:rsidR="00F00DC9">
        <w:rPr>
          <w:rFonts w:ascii="Times New Roman" w:eastAsia="Times New Roman" w:hAnsi="Times New Roman" w:cs="Times New Roman"/>
          <w:sz w:val="24"/>
          <w:szCs w:val="24"/>
          <w:lang w:eastAsia="sk-SK"/>
        </w:rPr>
        <w:t>8</w:t>
      </w:r>
      <w:r w:rsidRPr="00A0604C">
        <w:rPr>
          <w:rFonts w:ascii="Times New Roman" w:eastAsia="Times New Roman" w:hAnsi="Times New Roman" w:cs="Times New Roman"/>
          <w:sz w:val="24"/>
          <w:szCs w:val="24"/>
          <w:lang w:eastAsia="sk-SK"/>
        </w:rPr>
        <w:t xml:space="preserve"> bol priemerný počet zamestnancov </w:t>
      </w:r>
      <w:r w:rsidR="007323FA">
        <w:rPr>
          <w:rFonts w:ascii="Times New Roman" w:eastAsia="Times New Roman" w:hAnsi="Times New Roman" w:cs="Times New Roman"/>
          <w:sz w:val="24"/>
          <w:szCs w:val="24"/>
          <w:lang w:eastAsia="sk-SK"/>
        </w:rPr>
        <w:t>6</w:t>
      </w:r>
      <w:r w:rsidR="00F00DC9">
        <w:rPr>
          <w:rFonts w:ascii="Times New Roman" w:eastAsia="Times New Roman" w:hAnsi="Times New Roman" w:cs="Times New Roman"/>
          <w:sz w:val="24"/>
          <w:szCs w:val="24"/>
          <w:lang w:eastAsia="sk-SK"/>
        </w:rPr>
        <w:t>1</w:t>
      </w:r>
      <w:r w:rsidRPr="00A0604C">
        <w:rPr>
          <w:rFonts w:ascii="Times New Roman" w:eastAsia="Times New Roman" w:hAnsi="Times New Roman" w:cs="Times New Roman"/>
          <w:sz w:val="24"/>
          <w:szCs w:val="24"/>
          <w:lang w:eastAsia="sk-SK"/>
        </w:rPr>
        <w:t>, z toho 3 vedúci zamestnanci).</w:t>
      </w: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eastAsia="x-none"/>
        </w:rPr>
      </w:pP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eastAsia="x-none"/>
        </w:rPr>
        <w:t xml:space="preserve">Informácia o splnení predpokladu nepretržitého pokračovania v činnosti účtovnej jednotky </w:t>
      </w:r>
      <w:r w:rsidRPr="00A0604C">
        <w:rPr>
          <w:rFonts w:ascii="Times New Roman" w:eastAsia="Times New Roman" w:hAnsi="Times New Roman" w:cs="Times New Roman"/>
          <w:bCs/>
          <w:i/>
          <w:iCs/>
          <w:sz w:val="24"/>
          <w:szCs w:val="24"/>
          <w:u w:val="single"/>
          <w:lang w:val="x-none" w:eastAsia="x-none"/>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Zmeny účtovných metód a účtovných zásad</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Účtovné metódy a všeobecné účtovné zásady boli v konsolidovanom celku konzistentne aplikované.</w:t>
      </w:r>
    </w:p>
    <w:p w:rsidR="00A0604C" w:rsidRPr="00A0604C" w:rsidRDefault="00A0604C" w:rsidP="00A0604C">
      <w:pPr>
        <w:spacing w:before="60" w:after="120" w:line="240" w:lineRule="auto"/>
        <w:ind w:left="465"/>
        <w:jc w:val="both"/>
        <w:rPr>
          <w:rFonts w:ascii="Times New Roman" w:eastAsia="Times New Roman" w:hAnsi="Times New Roman" w:cs="Times New Roman"/>
          <w:sz w:val="24"/>
          <w:szCs w:val="24"/>
          <w:lang w:eastAsia="sk-SK"/>
        </w:rPr>
      </w:pPr>
    </w:p>
    <w:p w:rsidR="00A0604C" w:rsidRPr="00A0604C" w:rsidRDefault="00A0604C" w:rsidP="00A0604C">
      <w:pPr>
        <w:keepNext/>
        <w:spacing w:before="60" w:after="240" w:line="240" w:lineRule="auto"/>
        <w:outlineLvl w:val="1"/>
        <w:rPr>
          <w:rFonts w:ascii="Times New Roman" w:eastAsia="Times New Roman" w:hAnsi="Times New Roman" w:cs="Times New Roman"/>
          <w:bCs/>
          <w:i/>
          <w:iCs/>
          <w:sz w:val="24"/>
          <w:szCs w:val="24"/>
          <w:u w:val="single"/>
          <w:lang w:eastAsia="x-none"/>
        </w:rPr>
      </w:pPr>
      <w:r w:rsidRPr="00A0604C">
        <w:rPr>
          <w:rFonts w:ascii="Times New Roman" w:eastAsia="Times New Roman" w:hAnsi="Times New Roman" w:cs="Times New Roman"/>
          <w:bCs/>
          <w:i/>
          <w:iCs/>
          <w:sz w:val="24"/>
          <w:szCs w:val="24"/>
          <w:u w:val="single"/>
          <w:lang w:eastAsia="x-none"/>
        </w:rPr>
        <w:t>Spôsob ocenenia jednotlivých zložiek</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Dlhodobý majetok</w:t>
      </w:r>
      <w:r w:rsidRPr="00A0604C">
        <w:rPr>
          <w:rFonts w:ascii="Times New Roman" w:eastAsia="Times New Roman" w:hAnsi="Times New Roman" w:cs="Times New Roman"/>
          <w:sz w:val="24"/>
          <w:szCs w:val="24"/>
          <w:lang w:eastAsia="sk-SK"/>
        </w:rPr>
        <w:t xml:space="preserve"> obstaraný kúpou sa oceňuje obstarávacou cenou, ktorá zahrňuje cenu obstarania a náklady súvisiace s obstaraním (clo, prepravu, montáž, poistné a pod.). Súčasťou obstarávacej ceny dlhodobého nehmotného </w:t>
      </w:r>
      <w:r w:rsidRPr="00A0604C">
        <w:rPr>
          <w:rFonts w:ascii="Times New Roman" w:eastAsia="Times New Roman" w:hAnsi="Times New Roman" w:cs="Times New Roman"/>
          <w:sz w:val="24"/>
          <w:szCs w:val="24"/>
          <w:lang w:eastAsia="sk-SK"/>
        </w:rPr>
        <w:tab/>
        <w:t xml:space="preserve">a nehmotného majetku nie sú resp. sú  úroky z úverov do doby zaradenia </w:t>
      </w:r>
      <w:r w:rsidRPr="00A0604C">
        <w:rPr>
          <w:rFonts w:ascii="Times New Roman" w:eastAsia="Times New Roman" w:hAnsi="Times New Roman" w:cs="Times New Roman"/>
          <w:sz w:val="24"/>
          <w:szCs w:val="24"/>
          <w:lang w:eastAsia="sk-SK"/>
        </w:rPr>
        <w:tab/>
        <w:t>majetku. O zľave z ceny, ktorú poskytol dodávateľ k majetku sa následne zníži obstarávacia cena predmetného majetku.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Dlhodobý majetok vytvorený vlastnou činnosťou sa oceňuje vlastnými nákladmi. Za vlastné náklady sa považujú všetky priame náklady vynaložené na výrobu alebo inú činnosť a všetky nepriame náklady vzťahujúce sa na výrobu </w:t>
      </w:r>
      <w:r w:rsidRPr="00A0604C">
        <w:rPr>
          <w:rFonts w:ascii="Times New Roman" w:eastAsia="Times New Roman" w:hAnsi="Times New Roman" w:cs="Times New Roman"/>
          <w:sz w:val="24"/>
          <w:szCs w:val="24"/>
          <w:lang w:eastAsia="sk-SK"/>
        </w:rPr>
        <w:tab/>
        <w:t xml:space="preserve">alebo inú činnosť. Majetok vytvorený vlastnou činnosťou by sa ocenil reprodukčnou obstarávacou cenou v prípade, ak by vlastné náklady boli vyššie </w:t>
      </w:r>
      <w:r w:rsidRPr="00A0604C">
        <w:rPr>
          <w:rFonts w:ascii="Times New Roman" w:eastAsia="Times New Roman" w:hAnsi="Times New Roman" w:cs="Times New Roman"/>
          <w:sz w:val="24"/>
          <w:szCs w:val="24"/>
          <w:lang w:eastAsia="sk-SK"/>
        </w:rPr>
        <w:tab/>
        <w:t>ako reprodukčná obstarávacia cena tohto majetku.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tabs>
          <w:tab w:val="num" w:pos="540"/>
        </w:tabs>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A0604C" w:rsidRPr="00A0604C" w:rsidRDefault="00A0604C" w:rsidP="00A0604C">
      <w:pPr>
        <w:tabs>
          <w:tab w:val="num" w:pos="540"/>
        </w:tabs>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Predpokladaná doba používania, metóda odpisovania a odpisová sadzba uplatňovaná pri účtovných odpisoch sú uvedené v nasledujúcej tabuľke:</w:t>
      </w:r>
    </w:p>
    <w:p w:rsidR="00A0604C" w:rsidRPr="00A0604C" w:rsidRDefault="00A0604C" w:rsidP="00A0604C">
      <w:pPr>
        <w:spacing w:after="120" w:line="276" w:lineRule="auto"/>
        <w:rPr>
          <w:rFonts w:ascii="Times New Roman" w:eastAsia="Times New Roman" w:hAnsi="Times New Roman" w:cs="Times New Roman"/>
          <w:i/>
          <w:sz w:val="24"/>
          <w:szCs w:val="24"/>
          <w:lang w:val="x-none" w:eastAsia="sk-SK"/>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0604C" w:rsidRPr="00A0604C" w:rsidTr="00E179A8">
        <w:trPr>
          <w:trHeight w:val="250"/>
        </w:trPr>
        <w:tc>
          <w:tcPr>
            <w:tcW w:w="3828" w:type="dxa"/>
            <w:gridSpan w:val="2"/>
            <w:tcBorders>
              <w:top w:val="single" w:sz="4" w:space="0" w:color="auto"/>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1559"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predpokladaná</w:t>
            </w:r>
          </w:p>
        </w:tc>
        <w:tc>
          <w:tcPr>
            <w:tcW w:w="142"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metóda</w:t>
            </w:r>
          </w:p>
        </w:tc>
        <w:tc>
          <w:tcPr>
            <w:tcW w:w="142"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top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ročná odpisová</w:t>
            </w:r>
          </w:p>
        </w:tc>
      </w:tr>
      <w:tr w:rsidR="00A0604C" w:rsidRPr="00A0604C" w:rsidTr="00E179A8">
        <w:trPr>
          <w:trHeight w:val="250"/>
        </w:trPr>
        <w:tc>
          <w:tcPr>
            <w:tcW w:w="3402" w:type="dxa"/>
            <w:tcBorders>
              <w:left w:val="single" w:sz="4" w:space="0" w:color="auto"/>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426" w:type="dxa"/>
            <w:tcBorders>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1559"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doba používania</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odpisovania</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bottom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sadzba v %</w:t>
            </w:r>
          </w:p>
        </w:tc>
      </w:tr>
      <w:tr w:rsidR="00A0604C" w:rsidRPr="00A0604C" w:rsidTr="00E179A8">
        <w:trPr>
          <w:trHeight w:val="250"/>
        </w:trPr>
        <w:tc>
          <w:tcPr>
            <w:tcW w:w="3828" w:type="dxa"/>
            <w:gridSpan w:val="2"/>
            <w:tcBorders>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náklady na vývoj</w:t>
            </w:r>
          </w:p>
        </w:tc>
        <w:tc>
          <w:tcPr>
            <w:tcW w:w="1559"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5</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20</w:t>
            </w:r>
          </w:p>
        </w:tc>
      </w:tr>
      <w:tr w:rsidR="00A0604C" w:rsidRPr="00A0604C" w:rsidTr="00E179A8">
        <w:trPr>
          <w:trHeight w:val="250"/>
        </w:trPr>
        <w:tc>
          <w:tcPr>
            <w:tcW w:w="3828" w:type="dxa"/>
            <w:gridSpan w:val="2"/>
            <w:tcBorders>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software</w:t>
            </w:r>
          </w:p>
        </w:tc>
        <w:tc>
          <w:tcPr>
            <w:tcW w:w="1559"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4</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25</w:t>
            </w:r>
          </w:p>
        </w:tc>
      </w:tr>
      <w:tr w:rsidR="00A0604C" w:rsidRPr="00A0604C" w:rsidTr="00E179A8">
        <w:trPr>
          <w:trHeight w:val="94"/>
        </w:trPr>
        <w:tc>
          <w:tcPr>
            <w:tcW w:w="3828" w:type="dxa"/>
            <w:gridSpan w:val="2"/>
            <w:tcBorders>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oceniteľné práva (licencie)</w:t>
            </w:r>
          </w:p>
        </w:tc>
        <w:tc>
          <w:tcPr>
            <w:tcW w:w="1559"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5</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20</w:t>
            </w:r>
          </w:p>
        </w:tc>
      </w:tr>
      <w:tr w:rsidR="00A0604C" w:rsidRPr="00A0604C" w:rsidTr="00E179A8">
        <w:trPr>
          <w:trHeight w:val="250"/>
        </w:trPr>
        <w:tc>
          <w:tcPr>
            <w:tcW w:w="3828" w:type="dxa"/>
            <w:gridSpan w:val="2"/>
            <w:tcBorders>
              <w:left w:val="single" w:sz="4" w:space="0" w:color="auto"/>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drobný dlhodobý nehmotný majetok</w:t>
            </w:r>
          </w:p>
        </w:tc>
        <w:tc>
          <w:tcPr>
            <w:tcW w:w="1559"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rôzna napr. 2</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8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30" w:type="dxa"/>
            <w:tcBorders>
              <w:bottom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50</w:t>
            </w:r>
          </w:p>
        </w:tc>
      </w:tr>
    </w:tbl>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120" w:line="240" w:lineRule="auto"/>
        <w:jc w:val="both"/>
        <w:rPr>
          <w:rFonts w:ascii="Times New Roman" w:eastAsia="Times New Roman" w:hAnsi="Times New Roman" w:cs="Times New Roman"/>
          <w:sz w:val="24"/>
          <w:szCs w:val="24"/>
          <w:lang w:val="x-none" w:eastAsia="sk-SK"/>
        </w:rPr>
      </w:pPr>
      <w:r w:rsidRPr="00A0604C">
        <w:rPr>
          <w:rFonts w:ascii="Times New Roman" w:eastAsia="Times New Roman" w:hAnsi="Times New Roman" w:cs="Times New Roman"/>
          <w:sz w:val="24"/>
          <w:szCs w:val="24"/>
          <w:lang w:val="x-none" w:eastAsia="sk-SK"/>
        </w:rPr>
        <w:t>Predpokladaná doba používania, metóda odpisovania a odpisová sadzba uplatňovaná pri účtovných odpisoch sú uvedené v nasledujúcej tabuľke:</w:t>
      </w:r>
    </w:p>
    <w:p w:rsidR="00A0604C" w:rsidRPr="00A0604C" w:rsidRDefault="00A0604C" w:rsidP="00A0604C">
      <w:pPr>
        <w:spacing w:after="120" w:line="276" w:lineRule="auto"/>
        <w:rPr>
          <w:rFonts w:ascii="Times New Roman" w:eastAsia="Times New Roman" w:hAnsi="Times New Roman" w:cs="Times New Roman"/>
          <w:i/>
          <w:sz w:val="24"/>
          <w:szCs w:val="24"/>
          <w:lang w:val="x-none" w:eastAsia="sk-SK"/>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0604C" w:rsidRPr="00A0604C" w:rsidTr="00E179A8">
        <w:trPr>
          <w:trHeight w:val="250"/>
        </w:trPr>
        <w:tc>
          <w:tcPr>
            <w:tcW w:w="3828" w:type="dxa"/>
            <w:gridSpan w:val="2"/>
            <w:tcBorders>
              <w:top w:val="single" w:sz="4" w:space="0" w:color="auto"/>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170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predpokladaná</w:t>
            </w:r>
          </w:p>
        </w:tc>
        <w:tc>
          <w:tcPr>
            <w:tcW w:w="14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metóda</w:t>
            </w:r>
          </w:p>
        </w:tc>
        <w:tc>
          <w:tcPr>
            <w:tcW w:w="142"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ročná odpisová</w:t>
            </w:r>
          </w:p>
        </w:tc>
      </w:tr>
      <w:tr w:rsidR="00A0604C" w:rsidRPr="00A0604C" w:rsidTr="00E179A8">
        <w:trPr>
          <w:trHeight w:val="250"/>
        </w:trPr>
        <w:tc>
          <w:tcPr>
            <w:tcW w:w="3402" w:type="dxa"/>
            <w:tcBorders>
              <w:left w:val="single" w:sz="4" w:space="0" w:color="auto"/>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426" w:type="dxa"/>
            <w:tcBorders>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p>
        </w:tc>
        <w:tc>
          <w:tcPr>
            <w:tcW w:w="170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doba používania</w:t>
            </w:r>
          </w:p>
        </w:tc>
        <w:tc>
          <w:tcPr>
            <w:tcW w:w="14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odpisovania</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sadzba v %</w:t>
            </w:r>
          </w:p>
        </w:tc>
      </w:tr>
      <w:tr w:rsidR="00A0604C" w:rsidRPr="00A0604C" w:rsidTr="00E179A8">
        <w:trPr>
          <w:trHeight w:val="250"/>
        </w:trPr>
        <w:tc>
          <w:tcPr>
            <w:tcW w:w="3828" w:type="dxa"/>
            <w:gridSpan w:val="2"/>
            <w:tcBorders>
              <w:top w:val="single" w:sz="4" w:space="0" w:color="auto"/>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budovy</w:t>
            </w:r>
          </w:p>
        </w:tc>
        <w:tc>
          <w:tcPr>
            <w:tcW w:w="170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40</w:t>
            </w:r>
          </w:p>
        </w:tc>
        <w:tc>
          <w:tcPr>
            <w:tcW w:w="14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Borders>
              <w:top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2,5</w:t>
            </w:r>
          </w:p>
        </w:tc>
      </w:tr>
      <w:tr w:rsidR="00A0604C" w:rsidRPr="00A0604C" w:rsidTr="00E179A8">
        <w:trPr>
          <w:trHeight w:val="250"/>
        </w:trPr>
        <w:tc>
          <w:tcPr>
            <w:tcW w:w="3828" w:type="dxa"/>
            <w:gridSpan w:val="2"/>
            <w:tcBorders>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stroje, prístroje a zariadenia</w:t>
            </w:r>
          </w:p>
        </w:tc>
        <w:tc>
          <w:tcPr>
            <w:tcW w:w="170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8 až 20</w:t>
            </w:r>
          </w:p>
        </w:tc>
        <w:tc>
          <w:tcPr>
            <w:tcW w:w="14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5 až 12,5</w:t>
            </w:r>
          </w:p>
        </w:tc>
      </w:tr>
      <w:tr w:rsidR="00A0604C" w:rsidRPr="00A0604C" w:rsidTr="00E179A8">
        <w:trPr>
          <w:trHeight w:val="250"/>
        </w:trPr>
        <w:tc>
          <w:tcPr>
            <w:tcW w:w="3828" w:type="dxa"/>
            <w:gridSpan w:val="2"/>
            <w:tcBorders>
              <w:left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dopravné prostriedky</w:t>
            </w:r>
          </w:p>
        </w:tc>
        <w:tc>
          <w:tcPr>
            <w:tcW w:w="170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4 až 6</w:t>
            </w:r>
          </w:p>
        </w:tc>
        <w:tc>
          <w:tcPr>
            <w:tcW w:w="14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16 až 25</w:t>
            </w:r>
          </w:p>
        </w:tc>
      </w:tr>
      <w:tr w:rsidR="00A0604C" w:rsidRPr="00A0604C" w:rsidTr="00E179A8">
        <w:trPr>
          <w:trHeight w:val="250"/>
        </w:trPr>
        <w:tc>
          <w:tcPr>
            <w:tcW w:w="3828" w:type="dxa"/>
            <w:gridSpan w:val="2"/>
            <w:tcBorders>
              <w:left w:val="single" w:sz="4" w:space="0" w:color="auto"/>
              <w:bottom w:val="single" w:sz="4" w:space="0" w:color="auto"/>
            </w:tcBorders>
          </w:tcPr>
          <w:p w:rsidR="00A0604C" w:rsidRPr="00A0604C" w:rsidRDefault="00A0604C" w:rsidP="00A0604C">
            <w:pPr>
              <w:spacing w:after="0" w:line="276" w:lineRule="auto"/>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drobný dlhodobý hmotný majetok</w:t>
            </w:r>
          </w:p>
        </w:tc>
        <w:tc>
          <w:tcPr>
            <w:tcW w:w="170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rôzna napr. 2</w:t>
            </w:r>
          </w:p>
        </w:tc>
        <w:tc>
          <w:tcPr>
            <w:tcW w:w="14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lineárna</w:t>
            </w:r>
          </w:p>
        </w:tc>
        <w:tc>
          <w:tcPr>
            <w:tcW w:w="142" w:type="dxa"/>
            <w:tcBorders>
              <w:bottom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A0604C" w:rsidRPr="00A0604C" w:rsidRDefault="00A0604C" w:rsidP="00A0604C">
            <w:pPr>
              <w:spacing w:after="0" w:line="276" w:lineRule="auto"/>
              <w:jc w:val="center"/>
              <w:rPr>
                <w:rFonts w:ascii="Times New Roman" w:eastAsia="Times New Roman" w:hAnsi="Times New Roman" w:cs="Times New Roman"/>
                <w:i/>
                <w:color w:val="000000"/>
                <w:sz w:val="24"/>
                <w:szCs w:val="24"/>
              </w:rPr>
            </w:pPr>
            <w:r w:rsidRPr="00A0604C">
              <w:rPr>
                <w:rFonts w:ascii="Times New Roman" w:eastAsia="Times New Roman" w:hAnsi="Times New Roman" w:cs="Times New Roman"/>
                <w:i/>
                <w:color w:val="000000"/>
                <w:sz w:val="24"/>
                <w:szCs w:val="24"/>
              </w:rPr>
              <w:t>50</w:t>
            </w:r>
          </w:p>
        </w:tc>
      </w:tr>
    </w:tbl>
    <w:p w:rsidR="00A0604C" w:rsidRPr="00A0604C" w:rsidRDefault="00A0604C" w:rsidP="00A0604C">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Cenné papiere a podiely</w:t>
      </w:r>
      <w:r w:rsidRPr="00A0604C">
        <w:rPr>
          <w:rFonts w:ascii="Times New Roman" w:eastAsia="Times New Roman" w:hAnsi="Times New Roman" w:cs="Times New Roman"/>
          <w:sz w:val="24"/>
          <w:szCs w:val="24"/>
          <w:lang w:eastAsia="sk-SK"/>
        </w:rPr>
        <w:t xml:space="preserve"> sa oceňujú pri ich nadobudnutí obstarávacími cenami, t.j. vrátane nákladov súvisiacich s obstaraním.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ab/>
      </w:r>
      <w:r w:rsidRPr="00A0604C">
        <w:rPr>
          <w:rFonts w:ascii="Times New Roman" w:eastAsia="Times New Roman" w:hAnsi="Times New Roman" w:cs="Times New Roman"/>
          <w:sz w:val="24"/>
          <w:szCs w:val="24"/>
          <w:lang w:eastAsia="sk-SK"/>
        </w:rPr>
        <w:tab/>
      </w:r>
      <w:r w:rsidRPr="00A0604C">
        <w:rPr>
          <w:rFonts w:ascii="Times New Roman" w:eastAsia="Times New Roman" w:hAnsi="Times New Roman" w:cs="Times New Roman"/>
          <w:sz w:val="24"/>
          <w:szCs w:val="24"/>
          <w:lang w:eastAsia="sk-SK"/>
        </w:rPr>
        <w:tab/>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 xml:space="preserve">Zásoby </w:t>
      </w:r>
      <w:r w:rsidRPr="00A0604C">
        <w:rPr>
          <w:rFonts w:ascii="Times New Roman" w:eastAsia="Times New Roman" w:hAnsi="Times New Roman" w:cs="Times New Roman"/>
          <w:sz w:val="24"/>
          <w:szCs w:val="24"/>
          <w:lang w:eastAsia="sk-SK"/>
        </w:rPr>
        <w:t xml:space="preserve">nakupované sa oceňujú obstarávacou cenou, ktorá zahrňuje cenu </w:t>
      </w:r>
      <w:r w:rsidRPr="00A0604C">
        <w:rPr>
          <w:rFonts w:ascii="Times New Roman" w:eastAsia="Times New Roman" w:hAnsi="Times New Roman" w:cs="Times New Roman"/>
          <w:sz w:val="24"/>
          <w:szCs w:val="24"/>
          <w:lang w:eastAsia="sk-SK"/>
        </w:rP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Zásoby vytvorené vlastnou činnosťou sa oceňujú vlastnými nákladmi. Vlastné náklady sú priame náklady (priamy materiál, priame mzdy a ostatné priame </w:t>
      </w:r>
      <w:r w:rsidRPr="00A0604C">
        <w:rPr>
          <w:rFonts w:ascii="Times New Roman" w:eastAsia="Times New Roman" w:hAnsi="Times New Roman" w:cs="Times New Roman"/>
          <w:sz w:val="24"/>
          <w:szCs w:val="24"/>
          <w:lang w:eastAsia="sk-SK"/>
        </w:rP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A0604C" w:rsidRPr="00A0604C" w:rsidRDefault="00A0604C" w:rsidP="00A0604C">
      <w:pPr>
        <w:tabs>
          <w:tab w:val="left" w:pos="360"/>
        </w:tabs>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Zásoby nadobudnuté bezodplatne (darovaním a delimitáciou), prebytky zásob, odpad a zvyškové produkty  sa oceňujú reprodukčnou obstarávacou cenou, čo </w:t>
      </w:r>
      <w:r w:rsidRPr="00A0604C">
        <w:rPr>
          <w:rFonts w:ascii="Times New Roman" w:eastAsia="Times New Roman" w:hAnsi="Times New Roman" w:cs="Times New Roman"/>
          <w:sz w:val="24"/>
          <w:szCs w:val="24"/>
          <w:lang w:eastAsia="sk-SK"/>
        </w:rPr>
        <w:tab/>
        <w:t>je cena, za ktorú by sa majetok obstaral v čase, keď sa o ňom účtuje.</w:t>
      </w:r>
      <w:r w:rsidRPr="00A0604C">
        <w:rPr>
          <w:rFonts w:ascii="Times New Roman" w:eastAsia="Times New Roman" w:hAnsi="Times New Roman" w:cs="Times New Roman"/>
          <w:bCs/>
          <w:sz w:val="24"/>
          <w:szCs w:val="24"/>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Novozistené zásoby pri inventarizácii sa oceňujú reprodukčnou obstarávacou cenou.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Pohľadávky</w:t>
      </w:r>
      <w:r w:rsidRPr="00A0604C">
        <w:rPr>
          <w:rFonts w:ascii="Times New Roman" w:eastAsia="Times New Roman" w:hAnsi="Times New Roman" w:cs="Times New Roman"/>
          <w:sz w:val="24"/>
          <w:szCs w:val="24"/>
          <w:lang w:eastAsia="sk-SK"/>
        </w:rPr>
        <w:t xml:space="preserve"> sa pri ich vzniku oceňujú menovitou hodnotou. Pohľadávky pri odplatnom nadobudnutí sa oceňujú obstarávacou cenou, t.j. vrátane nákladov </w:t>
      </w:r>
      <w:r w:rsidRPr="00A0604C">
        <w:rPr>
          <w:rFonts w:ascii="Times New Roman" w:eastAsia="Times New Roman" w:hAnsi="Times New Roman" w:cs="Times New Roman"/>
          <w:sz w:val="24"/>
          <w:szCs w:val="24"/>
          <w:lang w:eastAsia="sk-SK"/>
        </w:rPr>
        <w:tab/>
        <w:t>súvisiacich s obstaraním. Toto ocenenie sa znižuje o pochybné,  nedobytným pohľadávky a o pohľadávky, pri ktorých existuje riziko nevymožiteľnosti.</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Peňažné prostriedky a ceniny</w:t>
      </w:r>
      <w:r w:rsidRPr="00A0604C">
        <w:rPr>
          <w:rFonts w:ascii="Times New Roman" w:eastAsia="Times New Roman" w:hAnsi="Times New Roman" w:cs="Times New Roman"/>
          <w:sz w:val="24"/>
          <w:szCs w:val="24"/>
          <w:lang w:eastAsia="sk-SK"/>
        </w:rPr>
        <w:t xml:space="preserve"> sa oceňujú menovitou hodnotou.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Rezervy</w:t>
      </w:r>
      <w:r w:rsidRPr="00A0604C">
        <w:rPr>
          <w:rFonts w:ascii="Times New Roman" w:eastAsia="Times New Roman" w:hAnsi="Times New Roman" w:cs="Times New Roman"/>
          <w:sz w:val="24"/>
          <w:szCs w:val="24"/>
          <w:lang w:eastAsia="sk-SK"/>
        </w:rPr>
        <w:t xml:space="preserve"> sú záväzky s neurčitým časovým vymedzením alebo výškou a oceňujú sa v očakávanej výške záväzku.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u w:val="single"/>
          <w:lang w:eastAsia="sk-SK"/>
        </w:rPr>
        <w:t>Záväzky</w:t>
      </w:r>
      <w:r w:rsidRPr="00A0604C">
        <w:rPr>
          <w:rFonts w:ascii="Times New Roman" w:eastAsia="Times New Roman" w:hAnsi="Times New Roman" w:cs="Times New Roman"/>
          <w:sz w:val="24"/>
          <w:szCs w:val="24"/>
          <w:lang w:eastAsia="sk-SK"/>
        </w:rPr>
        <w:t xml:space="preserve"> sa pri ich vzniku oceňujú menovitou hodnotou a pri ich prevzatí sa oceňujú obstarávacou cenou.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lastRenderedPageBreak/>
        <w:t xml:space="preserve">Účty </w:t>
      </w:r>
      <w:r w:rsidRPr="00A0604C">
        <w:rPr>
          <w:rFonts w:ascii="Times New Roman" w:eastAsia="Times New Roman" w:hAnsi="Times New Roman" w:cs="Times New Roman"/>
          <w:sz w:val="24"/>
          <w:szCs w:val="24"/>
          <w:u w:val="single"/>
          <w:lang w:eastAsia="sk-SK"/>
        </w:rPr>
        <w:t>časového rozlíšenia aktív a pasív</w:t>
      </w:r>
      <w:r w:rsidRPr="00A0604C">
        <w:rPr>
          <w:rFonts w:ascii="Times New Roman" w:eastAsia="Times New Roman" w:hAnsi="Times New Roman" w:cs="Times New Roman"/>
          <w:sz w:val="24"/>
          <w:szCs w:val="24"/>
          <w:lang w:eastAsia="sk-SK"/>
        </w:rPr>
        <w:t xml:space="preserve"> sú vykázané vo výške, ktorá je potrebná </w:t>
      </w:r>
      <w:r w:rsidRPr="00A0604C">
        <w:rPr>
          <w:rFonts w:ascii="Times New Roman" w:eastAsia="Times New Roman" w:hAnsi="Times New Roman" w:cs="Times New Roman"/>
          <w:sz w:val="24"/>
          <w:szCs w:val="24"/>
          <w:lang w:eastAsia="sk-SK"/>
        </w:rPr>
        <w:tab/>
        <w:t>na dodržanie zásady vecnej a časovej súvislosti s účtovným obdobím.</w:t>
      </w:r>
    </w:p>
    <w:p w:rsidR="00A0604C" w:rsidRPr="00A0604C" w:rsidRDefault="00A0604C" w:rsidP="00A0604C">
      <w:pPr>
        <w:keepNext/>
        <w:spacing w:before="60" w:after="240" w:line="240" w:lineRule="auto"/>
        <w:ind w:left="-14"/>
        <w:jc w:val="both"/>
        <w:outlineLvl w:val="0"/>
        <w:rPr>
          <w:rFonts w:ascii="Times New Roman" w:eastAsia="Times New Roman" w:hAnsi="Times New Roman" w:cs="Times New Roman"/>
          <w:b/>
          <w:bCs/>
          <w:kern w:val="32"/>
          <w:sz w:val="24"/>
          <w:szCs w:val="24"/>
          <w:lang w:val="x-none" w:eastAsia="x-none"/>
        </w:rPr>
      </w:pPr>
    </w:p>
    <w:p w:rsidR="00A0604C" w:rsidRPr="00A0604C" w:rsidRDefault="00A0604C" w:rsidP="00A0604C">
      <w:pPr>
        <w:spacing w:after="0" w:line="240" w:lineRule="auto"/>
        <w:rPr>
          <w:rFonts w:ascii="Times New Roman" w:eastAsia="Times New Roman" w:hAnsi="Times New Roman" w:cs="Times New Roman"/>
          <w:b/>
          <w:bCs/>
          <w:kern w:val="32"/>
          <w:sz w:val="24"/>
          <w:szCs w:val="24"/>
          <w:lang w:val="x-none" w:eastAsia="x-none"/>
        </w:rPr>
      </w:pPr>
      <w:r w:rsidRPr="00A0604C">
        <w:rPr>
          <w:rFonts w:ascii="Times New Roman" w:eastAsia="Times New Roman" w:hAnsi="Times New Roman" w:cs="Times New Roman"/>
          <w:b/>
          <w:bCs/>
          <w:kern w:val="32"/>
          <w:sz w:val="24"/>
          <w:szCs w:val="24"/>
          <w:lang w:val="x-none" w:eastAsia="x-none"/>
        </w:rPr>
        <w:t>INFORMÁCIE O METÓDACH A POSTUPOCH KONSOLIDÁCIE</w:t>
      </w:r>
    </w:p>
    <w:p w:rsidR="00A0604C" w:rsidRPr="00A0604C" w:rsidRDefault="00A0604C" w:rsidP="00A0604C">
      <w:pPr>
        <w:spacing w:after="0" w:line="36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Konsolidovaná účtovná závierka Obce Nová Dedinka</w:t>
      </w:r>
      <w:r w:rsidRPr="00A0604C">
        <w:rPr>
          <w:rFonts w:ascii="Times New Roman" w:eastAsia="Times New Roman" w:hAnsi="Times New Roman" w:cs="Times New Roman"/>
          <w:color w:val="0070C0"/>
          <w:sz w:val="24"/>
          <w:szCs w:val="24"/>
          <w:lang w:eastAsia="sk-SK"/>
        </w:rPr>
        <w:t xml:space="preserve"> </w:t>
      </w:r>
      <w:r w:rsidRPr="00A0604C">
        <w:rPr>
          <w:rFonts w:ascii="Times New Roman" w:eastAsia="Times New Roman" w:hAnsi="Times New Roman" w:cs="Times New Roman"/>
          <w:sz w:val="24"/>
          <w:szCs w:val="24"/>
          <w:lang w:eastAsia="sk-SK"/>
        </w:rP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V rámci konsolidácie konsolidovaného celku Obce boli eliminované vzájomné pohľadávky, záväzky, náklady a výnosy, bola vykonaná konsolidácia kapitálu. </w:t>
      </w:r>
    </w:p>
    <w:p w:rsidR="00A0604C" w:rsidRPr="00A0604C" w:rsidRDefault="00A0604C" w:rsidP="00A0604C">
      <w:pPr>
        <w:spacing w:after="0" w:line="240" w:lineRule="auto"/>
        <w:jc w:val="both"/>
        <w:rPr>
          <w:rFonts w:ascii="Times New Roman" w:eastAsia="Times New Roman" w:hAnsi="Times New Roman" w:cs="Times New Roman"/>
          <w:i/>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i/>
          <w:sz w:val="24"/>
          <w:szCs w:val="24"/>
          <w:lang w:eastAsia="sk-SK"/>
        </w:rPr>
      </w:pPr>
      <w:r w:rsidRPr="00A0604C">
        <w:rPr>
          <w:rFonts w:ascii="Times New Roman" w:eastAsia="Times New Roman" w:hAnsi="Times New Roman" w:cs="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A0604C" w:rsidRPr="00A0604C" w:rsidTr="00E179A8">
        <w:tc>
          <w:tcPr>
            <w:tcW w:w="4633" w:type="dxa"/>
            <w:shd w:val="clear" w:color="auto" w:fill="F2F2F2"/>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Názov resp. obchodné meno </w:t>
            </w:r>
          </w:p>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konsolidovanej účtovnej jednotky</w:t>
            </w:r>
          </w:p>
        </w:tc>
        <w:tc>
          <w:tcPr>
            <w:tcW w:w="1522" w:type="dxa"/>
            <w:shd w:val="clear" w:color="auto" w:fill="F2F2F2"/>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Metóda </w:t>
            </w:r>
          </w:p>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úplnej konsolidácie</w:t>
            </w:r>
          </w:p>
        </w:tc>
        <w:tc>
          <w:tcPr>
            <w:tcW w:w="1541" w:type="dxa"/>
            <w:shd w:val="clear" w:color="auto" w:fill="F2F2F2"/>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Metóda </w:t>
            </w:r>
          </w:p>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podielovej konsolidácie</w:t>
            </w:r>
          </w:p>
        </w:tc>
        <w:tc>
          <w:tcPr>
            <w:tcW w:w="1554" w:type="dxa"/>
            <w:shd w:val="clear" w:color="auto" w:fill="F2F2F2"/>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Metóda </w:t>
            </w:r>
          </w:p>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vlastného imania</w:t>
            </w:r>
          </w:p>
        </w:tc>
      </w:tr>
      <w:tr w:rsidR="00A0604C" w:rsidRPr="00A0604C" w:rsidTr="00E179A8">
        <w:tc>
          <w:tcPr>
            <w:tcW w:w="4633" w:type="dxa"/>
            <w:vAlign w:val="bottom"/>
          </w:tcPr>
          <w:p w:rsidR="00A0604C" w:rsidRPr="00A0604C" w:rsidRDefault="00A0604C" w:rsidP="00A0604C">
            <w:pPr>
              <w:spacing w:after="0" w:line="24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Nová Dedinka</w:t>
            </w:r>
          </w:p>
        </w:tc>
        <w:tc>
          <w:tcPr>
            <w:tcW w:w="1522" w:type="dxa"/>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Áno</w:t>
            </w:r>
          </w:p>
        </w:tc>
        <w:tc>
          <w:tcPr>
            <w:tcW w:w="1541" w:type="dxa"/>
          </w:tcPr>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tc>
        <w:tc>
          <w:tcPr>
            <w:tcW w:w="1554" w:type="dxa"/>
          </w:tcPr>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tc>
      </w:tr>
      <w:tr w:rsidR="00A0604C" w:rsidRPr="00A0604C" w:rsidTr="00E179A8">
        <w:tc>
          <w:tcPr>
            <w:tcW w:w="4633" w:type="dxa"/>
            <w:vAlign w:val="bottom"/>
          </w:tcPr>
          <w:p w:rsidR="00A0604C" w:rsidRPr="00A0604C" w:rsidRDefault="00A0604C" w:rsidP="00A0604C">
            <w:pPr>
              <w:spacing w:after="0" w:line="240" w:lineRule="auto"/>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Základná škola Nová Dedinka</w:t>
            </w:r>
          </w:p>
        </w:tc>
        <w:tc>
          <w:tcPr>
            <w:tcW w:w="1522" w:type="dxa"/>
          </w:tcPr>
          <w:p w:rsidR="00A0604C" w:rsidRPr="00A0604C" w:rsidRDefault="00A0604C" w:rsidP="00A0604C">
            <w:pPr>
              <w:spacing w:after="0" w:line="240" w:lineRule="auto"/>
              <w:jc w:val="center"/>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Áno</w:t>
            </w:r>
          </w:p>
        </w:tc>
        <w:tc>
          <w:tcPr>
            <w:tcW w:w="1541" w:type="dxa"/>
          </w:tcPr>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tc>
        <w:tc>
          <w:tcPr>
            <w:tcW w:w="1554" w:type="dxa"/>
          </w:tcPr>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tc>
      </w:tr>
    </w:tbl>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Pri dcérskych účtovných jednotkách bola použitá metóda úplnej konsolidácie.</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V roku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rovnako ako v predchádzajúcich účtovných obdobiach,  sa medzi účtovnými jednotkami konsolidovaného celku Obce neuskutočnil nákup, resp. predaj majetku. Preto nebolo potrebné vykonať konsolidáciu medzivýsledku.</w:t>
      </w:r>
    </w:p>
    <w:p w:rsidR="00A0604C" w:rsidRPr="00A0604C" w:rsidRDefault="00A0604C" w:rsidP="00A0604C">
      <w:pPr>
        <w:spacing w:after="0" w:line="240" w:lineRule="auto"/>
        <w:rPr>
          <w:rFonts w:ascii="Times New Roman" w:eastAsia="Times New Roman" w:hAnsi="Times New Roman" w:cs="Times New Roman"/>
          <w:sz w:val="24"/>
          <w:szCs w:val="24"/>
          <w:lang w:eastAsia="x-none"/>
        </w:rPr>
      </w:pPr>
    </w:p>
    <w:p w:rsidR="00A0604C" w:rsidRPr="00A0604C" w:rsidRDefault="00A0604C" w:rsidP="00A0604C">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r w:rsidRPr="00A0604C">
        <w:rPr>
          <w:rFonts w:ascii="Times New Roman" w:eastAsia="Times New Roman" w:hAnsi="Times New Roman" w:cs="Times New Roman"/>
          <w:b/>
          <w:bCs/>
          <w:kern w:val="32"/>
          <w:sz w:val="24"/>
          <w:szCs w:val="24"/>
          <w:lang w:val="x-none" w:eastAsia="x-none"/>
        </w:rPr>
        <w:t xml:space="preserve">INFORMÁCIE O ÚDAJOCH NA STRANE AKTÍV </w:t>
      </w:r>
      <w:r w:rsidRPr="00A0604C">
        <w:rPr>
          <w:rFonts w:ascii="Times New Roman" w:eastAsia="Times New Roman" w:hAnsi="Times New Roman" w:cs="Times New Roman"/>
          <w:b/>
          <w:bCs/>
          <w:kern w:val="32"/>
          <w:sz w:val="24"/>
          <w:szCs w:val="24"/>
          <w:lang w:eastAsia="x-none"/>
        </w:rPr>
        <w:t xml:space="preserve"> A  PASÍV</w:t>
      </w: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Dlhodobý nehmotný majetok a dlhodobý hmotný majetok</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Prehľad pohybu dlhodobého nehmotného a dlhodobého hmotného majetku od 1. januára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do 31. decembra 201</w:t>
      </w:r>
      <w:r w:rsidR="00F00DC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uvedený v tabuľkovej časti </w:t>
      </w:r>
      <w:r w:rsidRPr="00A0604C">
        <w:rPr>
          <w:rFonts w:ascii="Times New Roman" w:eastAsia="Times New Roman" w:hAnsi="Times New Roman" w:cs="Times New Roman"/>
          <w:i/>
          <w:sz w:val="24"/>
          <w:szCs w:val="24"/>
          <w:lang w:eastAsia="sk-SK"/>
        </w:rPr>
        <w:t>Prehľad o pohybe dlhodobého majetku.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Dlhodobý nehmotný a hmotný majetok je poistený pre prípad škôd spôsobených krádežou a živelnou pohromou až do výšky </w:t>
      </w:r>
      <w:r w:rsidR="005A6C39">
        <w:rPr>
          <w:rFonts w:ascii="Times New Roman" w:eastAsia="Times New Roman" w:hAnsi="Times New Roman" w:cs="Times New Roman"/>
          <w:sz w:val="24"/>
          <w:szCs w:val="24"/>
          <w:lang w:eastAsia="sk-SK"/>
        </w:rPr>
        <w:t>11 029 354,79</w:t>
      </w:r>
      <w:r w:rsidRPr="006B73A5">
        <w:rPr>
          <w:rFonts w:ascii="Times New Roman" w:eastAsia="Times New Roman" w:hAnsi="Times New Roman" w:cs="Times New Roman"/>
          <w:b/>
          <w:color w:val="FF0000"/>
          <w:sz w:val="24"/>
          <w:szCs w:val="24"/>
          <w:lang w:eastAsia="sk-SK"/>
        </w:rPr>
        <w:t xml:space="preserve"> </w:t>
      </w:r>
      <w:r w:rsidRPr="00A0604C">
        <w:rPr>
          <w:rFonts w:ascii="Times New Roman" w:eastAsia="Times New Roman" w:hAnsi="Times New Roman" w:cs="Times New Roman"/>
          <w:sz w:val="24"/>
          <w:szCs w:val="24"/>
          <w:lang w:eastAsia="sk-SK"/>
        </w:rPr>
        <w:t xml:space="preserve"> eur.</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má 2 osobné autá obstarávacej cene 37 922,49 eur (zostatková cena k 31.12.201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w:t>
      </w:r>
      <w:r w:rsidR="005A6C39">
        <w:rPr>
          <w:rFonts w:ascii="Times New Roman" w:eastAsia="Times New Roman" w:hAnsi="Times New Roman" w:cs="Times New Roman"/>
          <w:sz w:val="24"/>
          <w:szCs w:val="24"/>
          <w:lang w:eastAsia="sk-SK"/>
        </w:rPr>
        <w:t>1361,75</w:t>
      </w:r>
      <w:r w:rsidRPr="00A0604C">
        <w:rPr>
          <w:rFonts w:ascii="Times New Roman" w:eastAsia="Times New Roman" w:hAnsi="Times New Roman" w:cs="Times New Roman"/>
          <w:sz w:val="24"/>
          <w:szCs w:val="24"/>
          <w:lang w:eastAsia="sk-SK"/>
        </w:rPr>
        <w:t xml:space="preserve"> </w:t>
      </w:r>
      <w:r w:rsidR="007323FA">
        <w:rPr>
          <w:rFonts w:ascii="Times New Roman" w:eastAsia="Times New Roman" w:hAnsi="Times New Roman" w:cs="Times New Roman"/>
          <w:sz w:val="24"/>
          <w:szCs w:val="24"/>
          <w:lang w:eastAsia="sk-SK"/>
        </w:rPr>
        <w:t>E</w:t>
      </w:r>
      <w:r w:rsidRPr="00A0604C">
        <w:rPr>
          <w:rFonts w:ascii="Times New Roman" w:eastAsia="Times New Roman" w:hAnsi="Times New Roman" w:cs="Times New Roman"/>
          <w:sz w:val="24"/>
          <w:szCs w:val="24"/>
          <w:lang w:eastAsia="sk-SK"/>
        </w:rPr>
        <w:t>ur), ktoré vykazuje ako svoj majetok.</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Dlhodobý finančný majetok</w:t>
      </w:r>
    </w:p>
    <w:p w:rsidR="00A0604C" w:rsidRPr="00A0604C" w:rsidRDefault="00A0604C" w:rsidP="00A0604C">
      <w:pPr>
        <w:spacing w:after="0" w:line="240" w:lineRule="auto"/>
        <w:ind w:right="-79"/>
        <w:jc w:val="both"/>
        <w:rPr>
          <w:rFonts w:ascii="Times New Roman" w:eastAsia="Times New Roman" w:hAnsi="Times New Roman" w:cs="Times New Roman"/>
          <w:i/>
          <w:sz w:val="24"/>
          <w:szCs w:val="24"/>
          <w:lang w:eastAsia="sk-SK"/>
        </w:rPr>
      </w:pPr>
      <w:r w:rsidRPr="00A0604C">
        <w:rPr>
          <w:rFonts w:ascii="Times New Roman" w:eastAsia="Times New Roman" w:hAnsi="Times New Roman" w:cs="Times New Roman"/>
          <w:sz w:val="24"/>
          <w:szCs w:val="24"/>
          <w:lang w:eastAsia="sk-SK"/>
        </w:rPr>
        <w:t>Prehľad dlhodobého finančného majetku účtovnej jednotky od 1. januára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do  31. decembra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uvedený je uvedený v tabuľkovej časti </w:t>
      </w:r>
      <w:r w:rsidRPr="00A0604C">
        <w:rPr>
          <w:rFonts w:ascii="Times New Roman" w:eastAsia="Times New Roman" w:hAnsi="Times New Roman" w:cs="Times New Roman"/>
          <w:i/>
          <w:sz w:val="24"/>
          <w:szCs w:val="24"/>
          <w:lang w:eastAsia="sk-SK"/>
        </w:rPr>
        <w:t>Prehľad o pohybe dlhodobého majetku.</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Obec vlastní podiely v Bratislavskej vodárenskej spoločnosti, a. s. v mene euro. Účtovná hodnota k 31.12.201</w:t>
      </w:r>
      <w:r w:rsidR="005A6C39">
        <w:rPr>
          <w:rFonts w:ascii="Times New Roman" w:eastAsia="Times New Roman" w:hAnsi="Times New Roman" w:cs="Times New Roman"/>
          <w:sz w:val="24"/>
          <w:szCs w:val="24"/>
          <w:lang w:eastAsia="sk-SK"/>
        </w:rPr>
        <w:t>8</w:t>
      </w:r>
      <w:r w:rsidRPr="00A0604C">
        <w:rPr>
          <w:rFonts w:ascii="Times New Roman" w:eastAsia="Times New Roman" w:hAnsi="Times New Roman" w:cs="Times New Roman"/>
          <w:sz w:val="24"/>
          <w:szCs w:val="24"/>
          <w:lang w:eastAsia="sk-SK"/>
        </w:rPr>
        <w:t xml:space="preserve">  predstavovala sumu 613 490,01 eur a v roku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to bolo 613 490,01 eur.  </w:t>
      </w:r>
    </w:p>
    <w:p w:rsidR="00A0604C" w:rsidRPr="00A0604C" w:rsidRDefault="00A0604C" w:rsidP="00A0604C">
      <w:pPr>
        <w:spacing w:after="0" w:line="240" w:lineRule="auto"/>
        <w:rPr>
          <w:rFonts w:ascii="Times New Roman" w:eastAsia="Times New Roman" w:hAnsi="Times New Roman" w:cs="Times New Roman"/>
          <w:lang w:eastAsia="sk-SK"/>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Pohľadávky</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Najvýznamnejšou položkou pohľadávok sú pohľadávky z daňových a nedaňových príjmov obce</w:t>
      </w:r>
      <w:r w:rsidR="00597939">
        <w:rPr>
          <w:rFonts w:ascii="Times New Roman" w:eastAsia="Times New Roman" w:hAnsi="Times New Roman" w:cs="Times New Roman"/>
          <w:sz w:val="24"/>
          <w:szCs w:val="24"/>
          <w:lang w:eastAsia="sk-SK"/>
        </w:rPr>
        <w:t xml:space="preserve"> a predpis stravného a réžie v ZŠ Nová Dedinka.</w:t>
      </w: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eastAsia="x-none"/>
        </w:rPr>
      </w:pPr>
      <w:r w:rsidRPr="00A0604C">
        <w:rPr>
          <w:rFonts w:ascii="Times New Roman" w:eastAsia="Times New Roman" w:hAnsi="Times New Roman" w:cs="Times New Roman"/>
          <w:bCs/>
          <w:i/>
          <w:iCs/>
          <w:sz w:val="24"/>
          <w:szCs w:val="24"/>
          <w:u w:val="single"/>
          <w:lang w:eastAsia="x-none"/>
        </w:rPr>
        <w:t xml:space="preserve"> </w:t>
      </w: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Finančný majetok</w:t>
      </w:r>
    </w:p>
    <w:p w:rsidR="00A0604C" w:rsidRPr="00A0604C" w:rsidRDefault="00A0604C" w:rsidP="00A0604C">
      <w:pPr>
        <w:spacing w:after="0" w:line="240" w:lineRule="auto"/>
        <w:jc w:val="both"/>
        <w:rPr>
          <w:rFonts w:ascii="Times New Roman" w:eastAsia="Times New Roman" w:hAnsi="Times New Roman" w:cs="Times New Roman"/>
          <w:sz w:val="24"/>
          <w:szCs w:val="24"/>
          <w:lang w:val="x-none" w:eastAsia="sk-SK"/>
        </w:rPr>
      </w:pPr>
      <w:r w:rsidRPr="00A0604C">
        <w:rPr>
          <w:rFonts w:ascii="Times New Roman" w:eastAsia="Times New Roman" w:hAnsi="Times New Roman" w:cs="Times New Roman"/>
          <w:sz w:val="24"/>
          <w:szCs w:val="24"/>
          <w:lang w:val="x-none" w:eastAsia="sk-SK"/>
        </w:rPr>
        <w:t>Ako finančný majetok sú vykázané pe</w:t>
      </w:r>
      <w:r w:rsidRPr="00A0604C">
        <w:rPr>
          <w:rFonts w:ascii="Times New Roman" w:eastAsia="Times New Roman" w:hAnsi="Times New Roman" w:cs="Times New Roman"/>
          <w:sz w:val="24"/>
          <w:szCs w:val="24"/>
          <w:lang w:eastAsia="sk-SK"/>
        </w:rPr>
        <w:t>ňažné prostriedky</w:t>
      </w:r>
      <w:r w:rsidRPr="00A0604C">
        <w:rPr>
          <w:rFonts w:ascii="Times New Roman" w:eastAsia="Times New Roman" w:hAnsi="Times New Roman" w:cs="Times New Roman"/>
          <w:sz w:val="24"/>
          <w:szCs w:val="24"/>
          <w:lang w:val="x-none" w:eastAsia="sk-SK"/>
        </w:rPr>
        <w:t xml:space="preserve"> v pokladnici</w:t>
      </w:r>
      <w:r w:rsidRPr="00A0604C">
        <w:rPr>
          <w:rFonts w:ascii="Times New Roman" w:eastAsia="Times New Roman" w:hAnsi="Times New Roman" w:cs="Times New Roman"/>
          <w:sz w:val="24"/>
          <w:szCs w:val="24"/>
          <w:lang w:eastAsia="sk-SK"/>
        </w:rPr>
        <w:t xml:space="preserve"> a </w:t>
      </w:r>
      <w:r w:rsidRPr="00A0604C">
        <w:rPr>
          <w:rFonts w:ascii="Times New Roman" w:eastAsia="Times New Roman" w:hAnsi="Times New Roman" w:cs="Times New Roman"/>
          <w:sz w:val="24"/>
          <w:szCs w:val="24"/>
          <w:lang w:val="x-none" w:eastAsia="sk-SK"/>
        </w:rPr>
        <w:t>účty v bankách</w:t>
      </w:r>
      <w:r w:rsidRPr="00A0604C">
        <w:rPr>
          <w:rFonts w:ascii="Times New Roman" w:eastAsia="Times New Roman" w:hAnsi="Times New Roman" w:cs="Times New Roman"/>
          <w:sz w:val="24"/>
          <w:szCs w:val="24"/>
          <w:lang w:eastAsia="sk-SK"/>
        </w:rPr>
        <w:t xml:space="preserve">. </w:t>
      </w:r>
      <w:r w:rsidRPr="00A0604C">
        <w:rPr>
          <w:rFonts w:ascii="Times New Roman" w:eastAsia="Times New Roman" w:hAnsi="Times New Roman" w:cs="Times New Roman"/>
          <w:sz w:val="24"/>
          <w:szCs w:val="24"/>
          <w:lang w:val="x-none" w:eastAsia="sk-SK"/>
        </w:rPr>
        <w:t>Účtami v bankách môže účtovná jednotka voľne disponovať.</w:t>
      </w: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highlight w:val="yellow"/>
          <w:u w:val="single"/>
          <w:lang w:val="x-none" w:eastAsia="x-none"/>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Poskytnuté návratné finančné výpomoci</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val="x-none" w:eastAsia="sk-SK"/>
        </w:rPr>
        <w:t xml:space="preserve">Obec </w:t>
      </w:r>
      <w:r w:rsidRPr="00A0604C">
        <w:rPr>
          <w:rFonts w:ascii="Times New Roman" w:eastAsia="Times New Roman" w:hAnsi="Times New Roman" w:cs="Times New Roman"/>
          <w:sz w:val="24"/>
          <w:szCs w:val="24"/>
          <w:lang w:eastAsia="sk-SK"/>
        </w:rPr>
        <w:t>v roku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neposk</w:t>
      </w:r>
      <w:r w:rsidRPr="00A0604C">
        <w:rPr>
          <w:rFonts w:ascii="Times New Roman" w:eastAsia="Times New Roman" w:hAnsi="Times New Roman" w:cs="Times New Roman"/>
          <w:sz w:val="24"/>
          <w:szCs w:val="24"/>
          <w:lang w:val="x-none" w:eastAsia="sk-SK"/>
        </w:rPr>
        <w:t>ytla  návratnú finančnú výpomoc</w:t>
      </w:r>
      <w:r w:rsidRPr="00A0604C">
        <w:rPr>
          <w:rFonts w:ascii="Times New Roman" w:eastAsia="Times New Roman" w:hAnsi="Times New Roman" w:cs="Times New Roman"/>
          <w:sz w:val="24"/>
          <w:szCs w:val="24"/>
          <w:lang w:eastAsia="sk-SK"/>
        </w:rPr>
        <w:t>.</w:t>
      </w:r>
      <w:r w:rsidRPr="00A0604C">
        <w:rPr>
          <w:rFonts w:ascii="Times New Roman" w:eastAsia="Times New Roman" w:hAnsi="Times New Roman" w:cs="Times New Roman"/>
          <w:sz w:val="24"/>
          <w:szCs w:val="24"/>
          <w:lang w:val="x-none" w:eastAsia="sk-SK"/>
        </w:rPr>
        <w:t xml:space="preserve"> </w:t>
      </w:r>
      <w:r w:rsidRPr="00A0604C">
        <w:rPr>
          <w:rFonts w:ascii="Times New Roman" w:eastAsia="Times New Roman" w:hAnsi="Times New Roman" w:cs="Times New Roman"/>
          <w:sz w:val="24"/>
          <w:szCs w:val="24"/>
          <w:lang w:eastAsia="sk-SK"/>
        </w:rPr>
        <w:t xml:space="preserve"> </w:t>
      </w:r>
    </w:p>
    <w:p w:rsidR="00A0604C" w:rsidRPr="00A0604C" w:rsidRDefault="00A0604C" w:rsidP="00A0604C">
      <w:pPr>
        <w:keepNext/>
        <w:spacing w:after="0" w:line="240" w:lineRule="auto"/>
        <w:ind w:left="-14"/>
        <w:jc w:val="both"/>
        <w:outlineLvl w:val="0"/>
        <w:rPr>
          <w:rFonts w:ascii="Times New Roman" w:eastAsia="Times New Roman" w:hAnsi="Times New Roman" w:cs="Times New Roman"/>
          <w:b/>
          <w:bCs/>
          <w:kern w:val="32"/>
          <w:sz w:val="24"/>
          <w:szCs w:val="24"/>
          <w:lang w:eastAsia="x-none"/>
        </w:rPr>
      </w:pPr>
    </w:p>
    <w:p w:rsidR="00A0604C" w:rsidRPr="00A0604C" w:rsidRDefault="00A0604C" w:rsidP="00A0604C">
      <w:pPr>
        <w:keepNext/>
        <w:spacing w:after="0" w:line="240" w:lineRule="auto"/>
        <w:ind w:left="-14"/>
        <w:jc w:val="both"/>
        <w:outlineLvl w:val="0"/>
        <w:rPr>
          <w:rFonts w:ascii="Times New Roman" w:eastAsia="Times New Roman" w:hAnsi="Times New Roman" w:cs="Times New Roman"/>
          <w:b/>
          <w:bCs/>
          <w:kern w:val="32"/>
          <w:sz w:val="24"/>
          <w:szCs w:val="24"/>
          <w:lang w:val="x-none" w:eastAsia="x-none"/>
        </w:rPr>
      </w:pPr>
      <w:r w:rsidRPr="00A0604C">
        <w:rPr>
          <w:rFonts w:ascii="Times New Roman" w:eastAsia="Times New Roman" w:hAnsi="Times New Roman" w:cs="Times New Roman"/>
          <w:b/>
          <w:bCs/>
          <w:kern w:val="32"/>
          <w:sz w:val="24"/>
          <w:szCs w:val="24"/>
          <w:lang w:val="x-none" w:eastAsia="x-none"/>
        </w:rPr>
        <w:t>INFORMÁCIE O ÚDAJOCH NA STRANE PASÍV SÚVAHY</w:t>
      </w: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eastAsia="x-none"/>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Vlastné imanie</w:t>
      </w:r>
    </w:p>
    <w:p w:rsidR="00A0604C" w:rsidRPr="00A0604C" w:rsidRDefault="00A0604C" w:rsidP="00A0604C">
      <w:pPr>
        <w:spacing w:after="0" w:line="240" w:lineRule="auto"/>
        <w:ind w:right="-79"/>
        <w:jc w:val="both"/>
        <w:rPr>
          <w:rFonts w:ascii="Times New Roman" w:eastAsia="Times New Roman" w:hAnsi="Times New Roman" w:cs="Times New Roman"/>
          <w:i/>
          <w:sz w:val="24"/>
          <w:szCs w:val="24"/>
          <w:lang w:eastAsia="sk-SK"/>
        </w:rPr>
      </w:pPr>
      <w:r w:rsidRPr="00A0604C">
        <w:rPr>
          <w:rFonts w:ascii="Times New Roman" w:eastAsia="Times New Roman" w:hAnsi="Times New Roman" w:cs="Times New Roman"/>
          <w:sz w:val="24"/>
          <w:szCs w:val="24"/>
          <w:lang w:eastAsia="sk-SK"/>
        </w:rPr>
        <w:t>Prehľad vlastného imania konsolidovaného celku od 1. januára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do 31. decembra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uvedený v tabuľkovej časti.</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2335E2"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V roku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neboli realizované významné pohyby na účtoch vlastného imania týkajúce sa rezerv. V roku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bola v účtovnej závierke zaúčtovaná rezerva  na </w:t>
      </w:r>
      <w:r w:rsidR="00C365CF">
        <w:rPr>
          <w:rFonts w:ascii="Times New Roman" w:eastAsia="Times New Roman" w:hAnsi="Times New Roman" w:cs="Times New Roman"/>
          <w:sz w:val="24"/>
          <w:szCs w:val="24"/>
          <w:lang w:eastAsia="sk-SK"/>
        </w:rPr>
        <w:t>nevyfakturované dodávky v obci podľa</w:t>
      </w:r>
      <w:r w:rsidRPr="00A0604C">
        <w:rPr>
          <w:rFonts w:ascii="Times New Roman" w:eastAsia="Times New Roman" w:hAnsi="Times New Roman" w:cs="Times New Roman"/>
          <w:sz w:val="24"/>
          <w:szCs w:val="24"/>
          <w:lang w:eastAsia="sk-SK"/>
        </w:rPr>
        <w:t xml:space="preserve"> platnej účtovnej legislatívy. Rezerva je vykázaná ako ostatn</w:t>
      </w:r>
      <w:r w:rsidR="009D6DCD">
        <w:rPr>
          <w:rFonts w:ascii="Times New Roman" w:eastAsia="Times New Roman" w:hAnsi="Times New Roman" w:cs="Times New Roman"/>
          <w:sz w:val="24"/>
          <w:szCs w:val="24"/>
          <w:lang w:eastAsia="sk-SK"/>
        </w:rPr>
        <w:t>á</w:t>
      </w:r>
      <w:r w:rsidRPr="00A0604C">
        <w:rPr>
          <w:rFonts w:ascii="Times New Roman" w:eastAsia="Times New Roman" w:hAnsi="Times New Roman" w:cs="Times New Roman"/>
          <w:sz w:val="24"/>
          <w:szCs w:val="24"/>
          <w:lang w:eastAsia="sk-SK"/>
        </w:rPr>
        <w:t xml:space="preserve"> krátkodob</w:t>
      </w:r>
      <w:r w:rsidR="009D6DCD">
        <w:rPr>
          <w:rFonts w:ascii="Times New Roman" w:eastAsia="Times New Roman" w:hAnsi="Times New Roman" w:cs="Times New Roman"/>
          <w:sz w:val="24"/>
          <w:szCs w:val="24"/>
          <w:lang w:eastAsia="sk-SK"/>
        </w:rPr>
        <w:t>á</w:t>
      </w:r>
      <w:r w:rsidRPr="00A0604C">
        <w:rPr>
          <w:rFonts w:ascii="Times New Roman" w:eastAsia="Times New Roman" w:hAnsi="Times New Roman" w:cs="Times New Roman"/>
          <w:sz w:val="24"/>
          <w:szCs w:val="24"/>
          <w:lang w:eastAsia="sk-SK"/>
        </w:rPr>
        <w:t xml:space="preserve"> rezerv</w:t>
      </w:r>
      <w:r w:rsidR="009D6DCD">
        <w:rPr>
          <w:rFonts w:ascii="Times New Roman" w:eastAsia="Times New Roman" w:hAnsi="Times New Roman" w:cs="Times New Roman"/>
          <w:sz w:val="24"/>
          <w:szCs w:val="24"/>
          <w:lang w:eastAsia="sk-SK"/>
        </w:rPr>
        <w:t>a</w:t>
      </w:r>
      <w:r w:rsidRPr="00A0604C">
        <w:rPr>
          <w:rFonts w:ascii="Times New Roman" w:eastAsia="Times New Roman" w:hAnsi="Times New Roman" w:cs="Times New Roman"/>
          <w:sz w:val="24"/>
          <w:szCs w:val="24"/>
          <w:lang w:eastAsia="sk-SK"/>
        </w:rPr>
        <w:t xml:space="preserve"> v hodnote  </w:t>
      </w:r>
      <w:r w:rsidR="00C365CF">
        <w:rPr>
          <w:rFonts w:ascii="Times New Roman" w:eastAsia="Times New Roman" w:hAnsi="Times New Roman" w:cs="Times New Roman"/>
          <w:sz w:val="24"/>
          <w:szCs w:val="24"/>
          <w:lang w:eastAsia="sk-SK"/>
        </w:rPr>
        <w:t>1</w:t>
      </w:r>
      <w:r w:rsidR="005A6C39">
        <w:rPr>
          <w:rFonts w:ascii="Times New Roman" w:eastAsia="Times New Roman" w:hAnsi="Times New Roman" w:cs="Times New Roman"/>
          <w:sz w:val="24"/>
          <w:szCs w:val="24"/>
          <w:lang w:eastAsia="sk-SK"/>
        </w:rPr>
        <w:t>50 000</w:t>
      </w:r>
      <w:r w:rsidRPr="00A0604C">
        <w:rPr>
          <w:rFonts w:ascii="Times New Roman" w:eastAsia="Times New Roman" w:hAnsi="Times New Roman" w:cs="Times New Roman"/>
          <w:sz w:val="24"/>
          <w:szCs w:val="24"/>
          <w:lang w:eastAsia="sk-SK"/>
        </w:rPr>
        <w:t xml:space="preserve"> </w:t>
      </w:r>
      <w:r w:rsidR="00C365CF">
        <w:rPr>
          <w:rFonts w:ascii="Times New Roman" w:eastAsia="Times New Roman" w:hAnsi="Times New Roman" w:cs="Times New Roman"/>
          <w:sz w:val="24"/>
          <w:szCs w:val="24"/>
          <w:lang w:eastAsia="sk-SK"/>
        </w:rPr>
        <w:t>E</w:t>
      </w:r>
      <w:r w:rsidRPr="00A0604C">
        <w:rPr>
          <w:rFonts w:ascii="Times New Roman" w:eastAsia="Times New Roman" w:hAnsi="Times New Roman" w:cs="Times New Roman"/>
          <w:sz w:val="24"/>
          <w:szCs w:val="24"/>
          <w:lang w:eastAsia="sk-SK"/>
        </w:rPr>
        <w:t>ur</w:t>
      </w:r>
      <w:r w:rsidR="00597939">
        <w:rPr>
          <w:rFonts w:ascii="Times New Roman" w:eastAsia="Times New Roman" w:hAnsi="Times New Roman" w:cs="Times New Roman"/>
          <w:sz w:val="24"/>
          <w:szCs w:val="24"/>
          <w:lang w:eastAsia="sk-SK"/>
        </w:rPr>
        <w:t xml:space="preserve"> na nevyfakturo</w:t>
      </w:r>
      <w:r w:rsidR="002335E2">
        <w:rPr>
          <w:rFonts w:ascii="Times New Roman" w:eastAsia="Times New Roman" w:hAnsi="Times New Roman" w:cs="Times New Roman"/>
          <w:sz w:val="24"/>
          <w:szCs w:val="24"/>
          <w:lang w:eastAsia="sk-SK"/>
        </w:rPr>
        <w:t>v</w:t>
      </w:r>
      <w:r w:rsidR="00597939">
        <w:rPr>
          <w:rFonts w:ascii="Times New Roman" w:eastAsia="Times New Roman" w:hAnsi="Times New Roman" w:cs="Times New Roman"/>
          <w:sz w:val="24"/>
          <w:szCs w:val="24"/>
          <w:lang w:eastAsia="sk-SK"/>
        </w:rPr>
        <w:t xml:space="preserve">ané dodávky  fi  Swietelsky  </w:t>
      </w:r>
      <w:r w:rsidR="002335E2">
        <w:rPr>
          <w:rFonts w:ascii="Times New Roman" w:eastAsia="Times New Roman" w:hAnsi="Times New Roman" w:cs="Times New Roman"/>
          <w:sz w:val="24"/>
          <w:szCs w:val="24"/>
          <w:lang w:eastAsia="sk-SK"/>
        </w:rPr>
        <w:t>z</w:t>
      </w:r>
      <w:r w:rsidR="00597939">
        <w:rPr>
          <w:rFonts w:ascii="Times New Roman" w:eastAsia="Times New Roman" w:hAnsi="Times New Roman" w:cs="Times New Roman"/>
          <w:sz w:val="24"/>
          <w:szCs w:val="24"/>
          <w:lang w:eastAsia="sk-SK"/>
        </w:rPr>
        <w:t>a</w:t>
      </w:r>
      <w:r w:rsidR="002335E2">
        <w:rPr>
          <w:rFonts w:ascii="Times New Roman" w:eastAsia="Times New Roman" w:hAnsi="Times New Roman" w:cs="Times New Roman"/>
          <w:sz w:val="24"/>
          <w:szCs w:val="24"/>
          <w:lang w:eastAsia="sk-SK"/>
        </w:rPr>
        <w:t xml:space="preserve"> vykonané práce na</w:t>
      </w:r>
    </w:p>
    <w:p w:rsidR="00A0604C" w:rsidRPr="00A0604C" w:rsidRDefault="00597939" w:rsidP="00A0604C">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ul. Slnečná</w:t>
      </w:r>
      <w:r w:rsidR="002335E2">
        <w:rPr>
          <w:rFonts w:ascii="Times New Roman" w:eastAsia="Times New Roman" w:hAnsi="Times New Roman" w:cs="Times New Roman"/>
          <w:sz w:val="24"/>
          <w:szCs w:val="24"/>
          <w:lang w:eastAsia="sk-SK"/>
        </w:rPr>
        <w:t>.</w:t>
      </w:r>
      <w:r w:rsidR="00A0604C"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Rezervy</w:t>
      </w:r>
    </w:p>
    <w:p w:rsidR="00A0604C" w:rsidRPr="00A0604C" w:rsidRDefault="00A0604C" w:rsidP="00A0604C">
      <w:pPr>
        <w:spacing w:after="0" w:line="240" w:lineRule="auto"/>
        <w:ind w:right="-79"/>
        <w:jc w:val="both"/>
        <w:rPr>
          <w:rFonts w:ascii="Times New Roman" w:eastAsia="Times New Roman" w:hAnsi="Times New Roman" w:cs="Times New Roman"/>
          <w:i/>
          <w:sz w:val="24"/>
          <w:szCs w:val="24"/>
          <w:lang w:eastAsia="sk-SK"/>
        </w:rPr>
      </w:pPr>
      <w:r w:rsidRPr="00A0604C">
        <w:rPr>
          <w:rFonts w:ascii="Times New Roman" w:eastAsia="Times New Roman" w:hAnsi="Times New Roman" w:cs="Times New Roman"/>
          <w:sz w:val="24"/>
          <w:szCs w:val="24"/>
          <w:lang w:eastAsia="sk-SK"/>
        </w:rPr>
        <w:t>Prehľad rezerv konsolidovaného celku od 1. januára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do  31. decembra 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je uvedený je uvedený v tabuľkovej časti.</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eastAsia="x-none"/>
        </w:rPr>
      </w:pPr>
      <w:r w:rsidRPr="00A0604C">
        <w:rPr>
          <w:rFonts w:ascii="Times New Roman" w:eastAsia="Times New Roman" w:hAnsi="Times New Roman" w:cs="Times New Roman"/>
          <w:bCs/>
          <w:i/>
          <w:iCs/>
          <w:sz w:val="24"/>
          <w:szCs w:val="24"/>
          <w:u w:val="single"/>
          <w:lang w:eastAsia="x-none"/>
        </w:rPr>
        <w:t xml:space="preserve"> </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Prehľad záväzkov podľa splatnosti je uvedený v tabuľkovej časti.</w:t>
      </w:r>
    </w:p>
    <w:p w:rsidR="00A0604C" w:rsidRPr="00A0604C" w:rsidRDefault="00A0604C" w:rsidP="00A0604C">
      <w:pPr>
        <w:spacing w:after="0" w:line="240" w:lineRule="auto"/>
        <w:rPr>
          <w:rFonts w:ascii="Times New Roman" w:eastAsia="Times New Roman" w:hAnsi="Times New Roman" w:cs="Times New Roman"/>
          <w:sz w:val="24"/>
          <w:szCs w:val="24"/>
          <w:lang w:eastAsia="sk-SK"/>
        </w:rPr>
      </w:pPr>
    </w:p>
    <w:p w:rsidR="00A0604C" w:rsidRPr="00A0604C" w:rsidRDefault="00A0604C" w:rsidP="00A0604C">
      <w:pPr>
        <w:keepNext/>
        <w:spacing w:after="0" w:line="240" w:lineRule="auto"/>
        <w:outlineLvl w:val="1"/>
        <w:rPr>
          <w:rFonts w:ascii="Times New Roman" w:eastAsia="Times New Roman" w:hAnsi="Times New Roman" w:cs="Times New Roman"/>
          <w:bCs/>
          <w:i/>
          <w:iCs/>
          <w:sz w:val="24"/>
          <w:szCs w:val="24"/>
          <w:u w:val="single"/>
          <w:lang w:val="x-none" w:eastAsia="x-none"/>
        </w:rPr>
      </w:pPr>
      <w:r w:rsidRPr="00A0604C">
        <w:rPr>
          <w:rFonts w:ascii="Times New Roman" w:eastAsia="Times New Roman" w:hAnsi="Times New Roman" w:cs="Times New Roman"/>
          <w:bCs/>
          <w:i/>
          <w:iCs/>
          <w:sz w:val="24"/>
          <w:szCs w:val="24"/>
          <w:u w:val="single"/>
          <w:lang w:val="x-none" w:eastAsia="x-none"/>
        </w:rPr>
        <w:t>Bankové úvery a ostatné prijaté návratné finančné výpomoci</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Prehľad o bankových úveroch Obce k 31.12.201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s uvedením podrobných informácií je uvedený v tabuľkovej časti.</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Bankový úver dlhodobý z Prima banky Slovensko prijatý v roku 2011 na prístavbu materskej školy má k 31.12.201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zostatok </w:t>
      </w:r>
      <w:r w:rsidR="005A6C39">
        <w:rPr>
          <w:rFonts w:ascii="Times New Roman" w:eastAsia="Times New Roman" w:hAnsi="Times New Roman" w:cs="Times New Roman"/>
          <w:sz w:val="24"/>
          <w:szCs w:val="24"/>
          <w:lang w:eastAsia="sk-SK"/>
        </w:rPr>
        <w:t>4</w:t>
      </w:r>
      <w:r w:rsidR="00C365CF">
        <w:rPr>
          <w:rFonts w:ascii="Times New Roman" w:eastAsia="Times New Roman" w:hAnsi="Times New Roman" w:cs="Times New Roman"/>
          <w:sz w:val="24"/>
          <w:szCs w:val="24"/>
          <w:lang w:eastAsia="sk-SK"/>
        </w:rPr>
        <w:t>4 999,70</w:t>
      </w:r>
      <w:r w:rsidRPr="00A0604C">
        <w:rPr>
          <w:rFonts w:ascii="Times New Roman" w:eastAsia="Times New Roman" w:hAnsi="Times New Roman" w:cs="Times New Roman"/>
          <w:sz w:val="24"/>
          <w:szCs w:val="24"/>
          <w:lang w:eastAsia="sk-SK"/>
        </w:rPr>
        <w:t xml:space="preserve"> Eur. Splatnosť úveru  je do roku 2021. </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Prijatý úver z VÚB banky na prístavbu ZŠ modulové triedy a MŠ prístavba modulovej triedy v roku 201</w:t>
      </w:r>
      <w:r w:rsidR="005A6C39">
        <w:rPr>
          <w:rFonts w:ascii="Times New Roman" w:eastAsia="Times New Roman" w:hAnsi="Times New Roman" w:cs="Times New Roman"/>
          <w:sz w:val="24"/>
          <w:szCs w:val="24"/>
          <w:lang w:eastAsia="sk-SK"/>
        </w:rPr>
        <w:t>6</w:t>
      </w:r>
      <w:r w:rsidRPr="00A0604C">
        <w:rPr>
          <w:rFonts w:ascii="Times New Roman" w:eastAsia="Times New Roman" w:hAnsi="Times New Roman" w:cs="Times New Roman"/>
          <w:sz w:val="24"/>
          <w:szCs w:val="24"/>
          <w:lang w:eastAsia="sk-SK"/>
        </w:rPr>
        <w:t xml:space="preserve"> má zostatok k 31.12.201</w:t>
      </w:r>
      <w:r w:rsidR="005A6C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 xml:space="preserve">  </w:t>
      </w:r>
      <w:r w:rsidR="00C365CF">
        <w:rPr>
          <w:rFonts w:ascii="Times New Roman" w:eastAsia="Times New Roman" w:hAnsi="Times New Roman" w:cs="Times New Roman"/>
          <w:sz w:val="24"/>
          <w:szCs w:val="24"/>
          <w:lang w:eastAsia="sk-SK"/>
        </w:rPr>
        <w:t>2</w:t>
      </w:r>
      <w:r w:rsidR="005A6C39">
        <w:rPr>
          <w:rFonts w:ascii="Times New Roman" w:eastAsia="Times New Roman" w:hAnsi="Times New Roman" w:cs="Times New Roman"/>
          <w:sz w:val="24"/>
          <w:szCs w:val="24"/>
          <w:lang w:eastAsia="sk-SK"/>
        </w:rPr>
        <w:t>00 035,12</w:t>
      </w:r>
      <w:r w:rsidRPr="00A0604C">
        <w:rPr>
          <w:rFonts w:ascii="Times New Roman" w:eastAsia="Times New Roman" w:hAnsi="Times New Roman" w:cs="Times New Roman"/>
          <w:sz w:val="24"/>
          <w:szCs w:val="24"/>
          <w:lang w:eastAsia="sk-SK"/>
        </w:rPr>
        <w:t xml:space="preserve"> Eur. </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 </w:t>
      </w: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jc w:val="both"/>
        <w:rPr>
          <w:rFonts w:ascii="Times New Roman" w:eastAsia="Times New Roman" w:hAnsi="Times New Roman" w:cs="Times New Roman"/>
          <w:sz w:val="24"/>
          <w:szCs w:val="24"/>
          <w:lang w:eastAsia="sk-SK"/>
        </w:rPr>
      </w:pPr>
    </w:p>
    <w:p w:rsidR="00A0604C" w:rsidRPr="00A0604C" w:rsidRDefault="00A0604C" w:rsidP="00A0604C">
      <w:pPr>
        <w:tabs>
          <w:tab w:val="left" w:pos="0"/>
          <w:tab w:val="left" w:pos="360"/>
          <w:tab w:val="left" w:pos="420"/>
        </w:tabs>
        <w:spacing w:after="0" w:line="240" w:lineRule="auto"/>
        <w:ind w:left="-14" w:hanging="70"/>
        <w:rPr>
          <w:rFonts w:ascii="Times New Roman" w:eastAsia="Times New Roman" w:hAnsi="Times New Roman" w:cs="Times New Roman"/>
          <w:b/>
          <w:caps/>
          <w:sz w:val="24"/>
          <w:szCs w:val="24"/>
          <w:lang w:eastAsia="sk-SK"/>
        </w:rPr>
      </w:pPr>
      <w:r w:rsidRPr="00A0604C">
        <w:rPr>
          <w:rFonts w:ascii="Times New Roman" w:eastAsia="Times New Roman" w:hAnsi="Times New Roman" w:cs="Times New Roman"/>
          <w:b/>
          <w:caps/>
          <w:sz w:val="24"/>
          <w:szCs w:val="24"/>
          <w:lang w:eastAsia="sk-SK"/>
        </w:rPr>
        <w:t>Informácie o výnosoch a nákladoch</w:t>
      </w:r>
    </w:p>
    <w:p w:rsidR="00A0604C" w:rsidRPr="00A0604C" w:rsidRDefault="00A0604C" w:rsidP="00A0604C">
      <w:pPr>
        <w:spacing w:after="0" w:line="240" w:lineRule="auto"/>
        <w:rPr>
          <w:rFonts w:ascii="Times New Roman" w:eastAsia="Times New Roman" w:hAnsi="Times New Roman" w:cs="Times New Roman"/>
          <w:sz w:val="24"/>
          <w:szCs w:val="24"/>
          <w:lang w:eastAsia="x-none"/>
        </w:rPr>
      </w:pPr>
    </w:p>
    <w:p w:rsidR="00A0604C" w:rsidRPr="00A0604C" w:rsidRDefault="00A0604C" w:rsidP="00A0604C">
      <w:pPr>
        <w:spacing w:after="0" w:line="240" w:lineRule="auto"/>
        <w:rPr>
          <w:rFonts w:ascii="Times New Roman" w:eastAsia="Times New Roman" w:hAnsi="Times New Roman" w:cs="Times New Roman"/>
          <w:sz w:val="24"/>
          <w:szCs w:val="24"/>
          <w:lang w:eastAsia="x-none"/>
        </w:rPr>
      </w:pPr>
      <w:r w:rsidRPr="00A0604C">
        <w:rPr>
          <w:rFonts w:ascii="Times New Roman" w:eastAsia="Times New Roman" w:hAnsi="Times New Roman" w:cs="Times New Roman"/>
          <w:sz w:val="24"/>
          <w:szCs w:val="24"/>
          <w:lang w:eastAsia="x-none"/>
        </w:rPr>
        <w:t>Prehľad o daňových výnosov samosprávy:</w:t>
      </w:r>
    </w:p>
    <w:p w:rsidR="00A0604C" w:rsidRPr="00A0604C" w:rsidRDefault="00A0604C" w:rsidP="00A0604C">
      <w:pPr>
        <w:spacing w:after="0" w:line="240" w:lineRule="auto"/>
        <w:ind w:left="426"/>
        <w:jc w:val="right"/>
        <w:rPr>
          <w:rFonts w:ascii="Times New Roman" w:eastAsia="Times New Roman" w:hAnsi="Times New Roman" w:cs="Times New Roman"/>
          <w:i/>
          <w:lang w:eastAsia="sk-SK"/>
        </w:rPr>
      </w:pPr>
      <w:r w:rsidRPr="00A0604C">
        <w:rPr>
          <w:rFonts w:ascii="Times New Roman" w:eastAsia="Times New Roman" w:hAnsi="Times New Roman" w:cs="Times New Roman"/>
          <w:i/>
          <w:lang w:eastAsia="sk-SK"/>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1827"/>
        <w:gridCol w:w="1995"/>
      </w:tblGrid>
      <w:tr w:rsidR="00A0604C" w:rsidRPr="00A0604C" w:rsidTr="00E179A8">
        <w:tc>
          <w:tcPr>
            <w:tcW w:w="5353" w:type="dxa"/>
          </w:tcPr>
          <w:p w:rsidR="00A0604C" w:rsidRPr="00A0604C" w:rsidRDefault="00A0604C" w:rsidP="00A0604C">
            <w:pPr>
              <w:spacing w:after="0" w:line="240" w:lineRule="auto"/>
              <w:jc w:val="both"/>
              <w:rPr>
                <w:rFonts w:ascii="Times New Roman" w:eastAsia="Times New Roman" w:hAnsi="Times New Roman" w:cs="Times New Roman"/>
                <w:b/>
                <w:sz w:val="24"/>
                <w:szCs w:val="24"/>
                <w:lang w:eastAsia="sk-SK"/>
              </w:rPr>
            </w:pPr>
          </w:p>
        </w:tc>
        <w:tc>
          <w:tcPr>
            <w:tcW w:w="1843" w:type="dxa"/>
            <w:shd w:val="clear" w:color="auto" w:fill="BFBFBF"/>
          </w:tcPr>
          <w:p w:rsidR="00A0604C" w:rsidRPr="00A0604C" w:rsidRDefault="00A0604C" w:rsidP="005A6C39">
            <w:pPr>
              <w:spacing w:after="0" w:line="240" w:lineRule="auto"/>
              <w:jc w:val="center"/>
              <w:rPr>
                <w:rFonts w:ascii="Times New Roman" w:eastAsia="Times New Roman" w:hAnsi="Times New Roman" w:cs="Times New Roman"/>
                <w:i/>
                <w:sz w:val="20"/>
                <w:szCs w:val="20"/>
                <w:lang w:eastAsia="sk-SK"/>
              </w:rPr>
            </w:pPr>
            <w:r w:rsidRPr="00A0604C">
              <w:rPr>
                <w:rFonts w:ascii="Times New Roman" w:eastAsia="Times New Roman" w:hAnsi="Times New Roman" w:cs="Times New Roman"/>
                <w:i/>
                <w:sz w:val="20"/>
                <w:szCs w:val="20"/>
                <w:lang w:eastAsia="sk-SK"/>
              </w:rPr>
              <w:t>31.12.201</w:t>
            </w:r>
            <w:r w:rsidR="005A6C39">
              <w:rPr>
                <w:rFonts w:ascii="Times New Roman" w:eastAsia="Times New Roman" w:hAnsi="Times New Roman" w:cs="Times New Roman"/>
                <w:i/>
                <w:sz w:val="20"/>
                <w:szCs w:val="20"/>
                <w:lang w:eastAsia="sk-SK"/>
              </w:rPr>
              <w:t>9</w:t>
            </w:r>
          </w:p>
        </w:tc>
        <w:tc>
          <w:tcPr>
            <w:tcW w:w="2016" w:type="dxa"/>
            <w:shd w:val="clear" w:color="auto" w:fill="BFBFBF"/>
          </w:tcPr>
          <w:p w:rsidR="00A0604C" w:rsidRPr="00A0604C" w:rsidRDefault="00A0604C" w:rsidP="005A6C39">
            <w:pPr>
              <w:spacing w:after="0" w:line="240" w:lineRule="auto"/>
              <w:jc w:val="center"/>
              <w:rPr>
                <w:rFonts w:ascii="Times New Roman" w:eastAsia="Times New Roman" w:hAnsi="Times New Roman" w:cs="Times New Roman"/>
                <w:i/>
                <w:sz w:val="20"/>
                <w:szCs w:val="20"/>
                <w:lang w:eastAsia="sk-SK"/>
              </w:rPr>
            </w:pPr>
            <w:r w:rsidRPr="00A0604C">
              <w:rPr>
                <w:rFonts w:ascii="Times New Roman" w:eastAsia="Times New Roman" w:hAnsi="Times New Roman" w:cs="Times New Roman"/>
                <w:i/>
                <w:sz w:val="20"/>
                <w:szCs w:val="20"/>
                <w:lang w:eastAsia="sk-SK"/>
              </w:rPr>
              <w:t>31.12.201</w:t>
            </w:r>
            <w:r w:rsidR="005A6C39">
              <w:rPr>
                <w:rFonts w:ascii="Times New Roman" w:eastAsia="Times New Roman" w:hAnsi="Times New Roman" w:cs="Times New Roman"/>
                <w:i/>
                <w:sz w:val="20"/>
                <w:szCs w:val="20"/>
                <w:lang w:eastAsia="sk-SK"/>
              </w:rPr>
              <w:t>8</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color w:val="000000"/>
                <w:sz w:val="20"/>
                <w:szCs w:val="20"/>
              </w:rPr>
            </w:pPr>
            <w:r w:rsidRPr="00A0604C">
              <w:rPr>
                <w:rFonts w:ascii="Times New Roman" w:eastAsia="Times New Roman" w:hAnsi="Times New Roman" w:cs="Times New Roman"/>
                <w:color w:val="000000"/>
                <w:sz w:val="20"/>
                <w:szCs w:val="20"/>
              </w:rPr>
              <w:t>Poukázaný podiel na dani z príjmov zo štátneho rozpočtu</w:t>
            </w:r>
          </w:p>
        </w:tc>
        <w:tc>
          <w:tcPr>
            <w:tcW w:w="1843" w:type="dxa"/>
            <w:vAlign w:val="center"/>
          </w:tcPr>
          <w:p w:rsidR="00A0604C" w:rsidRPr="00A0604C" w:rsidRDefault="00C365CF" w:rsidP="005A6C39">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w:t>
            </w:r>
            <w:r w:rsidR="00A811E4">
              <w:rPr>
                <w:rFonts w:ascii="Times New Roman" w:eastAsia="Times New Roman" w:hAnsi="Times New Roman" w:cs="Times New Roman"/>
                <w:color w:val="000000"/>
                <w:sz w:val="20"/>
                <w:szCs w:val="20"/>
                <w:lang w:eastAsia="sk-SK"/>
              </w:rPr>
              <w:t xml:space="preserve"> </w:t>
            </w:r>
            <w:r w:rsidR="005A6C39">
              <w:rPr>
                <w:rFonts w:ascii="Times New Roman" w:eastAsia="Times New Roman" w:hAnsi="Times New Roman" w:cs="Times New Roman"/>
                <w:color w:val="000000"/>
                <w:sz w:val="20"/>
                <w:szCs w:val="20"/>
                <w:lang w:eastAsia="sk-SK"/>
              </w:rPr>
              <w:t>206 838,51</w:t>
            </w:r>
            <w:r w:rsidR="00A0604C" w:rsidRPr="00A0604C">
              <w:rPr>
                <w:rFonts w:ascii="Times New Roman" w:eastAsia="Times New Roman" w:hAnsi="Times New Roman" w:cs="Times New Roman"/>
                <w:color w:val="000000"/>
                <w:sz w:val="20"/>
                <w:szCs w:val="20"/>
                <w:lang w:eastAsia="sk-SK"/>
              </w:rPr>
              <w:t xml:space="preserve"> </w:t>
            </w:r>
          </w:p>
        </w:tc>
        <w:tc>
          <w:tcPr>
            <w:tcW w:w="2016" w:type="dxa"/>
            <w:vAlign w:val="center"/>
          </w:tcPr>
          <w:p w:rsidR="00A0604C" w:rsidRPr="00A0604C" w:rsidRDefault="005A6C39" w:rsidP="00C365C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1 031 975,62</w:t>
            </w:r>
            <w:r w:rsidR="00A0604C" w:rsidRPr="00A0604C">
              <w:rPr>
                <w:rFonts w:ascii="Times New Roman" w:eastAsia="Times New Roman" w:hAnsi="Times New Roman" w:cs="Times New Roman"/>
                <w:color w:val="000000"/>
                <w:sz w:val="20"/>
                <w:szCs w:val="20"/>
                <w:lang w:eastAsia="sk-SK"/>
              </w:rPr>
              <w:t xml:space="preserve"> </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color w:val="000000"/>
                <w:sz w:val="20"/>
                <w:szCs w:val="20"/>
              </w:rPr>
            </w:pPr>
            <w:r w:rsidRPr="00A0604C">
              <w:rPr>
                <w:rFonts w:ascii="Times New Roman" w:eastAsia="Times New Roman" w:hAnsi="Times New Roman" w:cs="Times New Roman"/>
                <w:color w:val="000000"/>
                <w:sz w:val="20"/>
                <w:szCs w:val="20"/>
              </w:rPr>
              <w:t>Dane za špecifické služby - za psa</w:t>
            </w:r>
          </w:p>
        </w:tc>
        <w:tc>
          <w:tcPr>
            <w:tcW w:w="1843" w:type="dxa"/>
            <w:vAlign w:val="center"/>
          </w:tcPr>
          <w:p w:rsidR="00A0604C" w:rsidRPr="00A0604C" w:rsidRDefault="00C365CF" w:rsidP="005A6C39">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w:t>
            </w:r>
            <w:r w:rsidR="005A6C39">
              <w:rPr>
                <w:rFonts w:ascii="Times New Roman" w:eastAsia="Times New Roman" w:hAnsi="Times New Roman" w:cs="Times New Roman"/>
                <w:color w:val="000000"/>
                <w:sz w:val="20"/>
                <w:szCs w:val="20"/>
                <w:lang w:eastAsia="sk-SK"/>
              </w:rPr>
              <w:t> 352,00</w:t>
            </w:r>
          </w:p>
        </w:tc>
        <w:tc>
          <w:tcPr>
            <w:tcW w:w="2016" w:type="dxa"/>
            <w:vAlign w:val="center"/>
          </w:tcPr>
          <w:p w:rsidR="00A0604C" w:rsidRPr="00A0604C" w:rsidRDefault="00A811E4" w:rsidP="00C365C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5A6C39">
              <w:rPr>
                <w:rFonts w:ascii="Times New Roman" w:eastAsia="Times New Roman" w:hAnsi="Times New Roman" w:cs="Times New Roman"/>
                <w:color w:val="000000"/>
                <w:sz w:val="20"/>
                <w:szCs w:val="20"/>
                <w:lang w:eastAsia="sk-SK"/>
              </w:rPr>
              <w:t xml:space="preserve"> 6 084,00</w:t>
            </w:r>
            <w:r w:rsidR="00A0604C" w:rsidRPr="00A0604C">
              <w:rPr>
                <w:rFonts w:ascii="Times New Roman" w:eastAsia="Times New Roman" w:hAnsi="Times New Roman" w:cs="Times New Roman"/>
                <w:color w:val="000000"/>
                <w:sz w:val="20"/>
                <w:szCs w:val="20"/>
                <w:lang w:eastAsia="sk-SK"/>
              </w:rPr>
              <w:t xml:space="preserve"> </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color w:val="000000"/>
                <w:sz w:val="20"/>
                <w:szCs w:val="20"/>
              </w:rPr>
            </w:pPr>
            <w:r w:rsidRPr="00A0604C">
              <w:rPr>
                <w:rFonts w:ascii="Times New Roman" w:eastAsia="Times New Roman" w:hAnsi="Times New Roman" w:cs="Times New Roman"/>
                <w:color w:val="000000"/>
                <w:sz w:val="20"/>
                <w:szCs w:val="20"/>
              </w:rPr>
              <w:t>Dane za špecifické služby - za nevýherné hracie prístroje</w:t>
            </w:r>
          </w:p>
        </w:tc>
        <w:tc>
          <w:tcPr>
            <w:tcW w:w="1843" w:type="dxa"/>
            <w:vAlign w:val="center"/>
          </w:tcPr>
          <w:p w:rsidR="00A0604C" w:rsidRPr="00A0604C" w:rsidRDefault="00C365CF" w:rsidP="00C365C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0,00</w:t>
            </w:r>
            <w:r w:rsidR="00A0604C" w:rsidRPr="00A0604C">
              <w:rPr>
                <w:rFonts w:ascii="Times New Roman" w:eastAsia="Times New Roman" w:hAnsi="Times New Roman" w:cs="Times New Roman"/>
                <w:color w:val="000000"/>
                <w:sz w:val="20"/>
                <w:szCs w:val="20"/>
                <w:lang w:eastAsia="sk-SK"/>
              </w:rPr>
              <w:t xml:space="preserve"> </w:t>
            </w:r>
          </w:p>
        </w:tc>
        <w:tc>
          <w:tcPr>
            <w:tcW w:w="2016" w:type="dxa"/>
            <w:vAlign w:val="center"/>
          </w:tcPr>
          <w:p w:rsidR="00A0604C" w:rsidRPr="00A0604C" w:rsidRDefault="00C365CF" w:rsidP="00C365CF">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A811E4">
              <w:rPr>
                <w:rFonts w:ascii="Times New Roman" w:eastAsia="Times New Roman" w:hAnsi="Times New Roman" w:cs="Times New Roman"/>
                <w:color w:val="000000"/>
                <w:sz w:val="20"/>
                <w:szCs w:val="20"/>
                <w:lang w:eastAsia="sk-SK"/>
              </w:rPr>
              <w:t xml:space="preserve">     </w:t>
            </w:r>
            <w:r>
              <w:rPr>
                <w:rFonts w:ascii="Times New Roman" w:eastAsia="Times New Roman" w:hAnsi="Times New Roman" w:cs="Times New Roman"/>
                <w:color w:val="000000"/>
                <w:sz w:val="20"/>
                <w:szCs w:val="20"/>
                <w:lang w:eastAsia="sk-SK"/>
              </w:rPr>
              <w:t xml:space="preserve">  0,00</w:t>
            </w:r>
            <w:r w:rsidR="00A0604C" w:rsidRPr="00A0604C">
              <w:rPr>
                <w:rFonts w:ascii="Times New Roman" w:eastAsia="Times New Roman" w:hAnsi="Times New Roman" w:cs="Times New Roman"/>
                <w:color w:val="000000"/>
                <w:sz w:val="20"/>
                <w:szCs w:val="20"/>
                <w:lang w:eastAsia="sk-SK"/>
              </w:rPr>
              <w:t xml:space="preserve"> </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color w:val="000000"/>
                <w:sz w:val="20"/>
                <w:szCs w:val="20"/>
              </w:rPr>
            </w:pPr>
            <w:r w:rsidRPr="00A0604C">
              <w:rPr>
                <w:rFonts w:ascii="Times New Roman" w:eastAsia="Times New Roman" w:hAnsi="Times New Roman" w:cs="Times New Roman"/>
                <w:color w:val="000000"/>
                <w:sz w:val="20"/>
                <w:szCs w:val="20"/>
              </w:rPr>
              <w:t>Dane za špecifické služby - za užívania verejného priestranstva</w:t>
            </w:r>
          </w:p>
        </w:tc>
        <w:tc>
          <w:tcPr>
            <w:tcW w:w="1843" w:type="dxa"/>
            <w:vAlign w:val="center"/>
          </w:tcPr>
          <w:p w:rsidR="00A0604C" w:rsidRPr="00A0604C" w:rsidRDefault="00CB458C" w:rsidP="00597939">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w:t>
            </w:r>
            <w:r w:rsidR="00597939">
              <w:rPr>
                <w:rFonts w:ascii="Times New Roman" w:eastAsia="Times New Roman" w:hAnsi="Times New Roman" w:cs="Times New Roman"/>
                <w:color w:val="000000"/>
                <w:sz w:val="20"/>
                <w:szCs w:val="20"/>
                <w:lang w:eastAsia="sk-SK"/>
              </w:rPr>
              <w:t> 848,64</w:t>
            </w:r>
            <w:r w:rsidR="00A0604C" w:rsidRPr="00A0604C">
              <w:rPr>
                <w:rFonts w:ascii="Times New Roman" w:eastAsia="Times New Roman" w:hAnsi="Times New Roman" w:cs="Times New Roman"/>
                <w:color w:val="000000"/>
                <w:sz w:val="20"/>
                <w:szCs w:val="20"/>
                <w:lang w:eastAsia="sk-SK"/>
              </w:rPr>
              <w:t xml:space="preserve"> </w:t>
            </w:r>
          </w:p>
        </w:tc>
        <w:tc>
          <w:tcPr>
            <w:tcW w:w="2016" w:type="dxa"/>
            <w:vAlign w:val="center"/>
          </w:tcPr>
          <w:p w:rsidR="00A0604C" w:rsidRPr="00A0604C" w:rsidRDefault="00A811E4" w:rsidP="005A6C39">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C365CF">
              <w:rPr>
                <w:rFonts w:ascii="Times New Roman" w:eastAsia="Times New Roman" w:hAnsi="Times New Roman" w:cs="Times New Roman"/>
                <w:color w:val="000000"/>
                <w:sz w:val="20"/>
                <w:szCs w:val="20"/>
                <w:lang w:eastAsia="sk-SK"/>
              </w:rPr>
              <w:t xml:space="preserve"> 1</w:t>
            </w:r>
            <w:r w:rsidR="005A6C39">
              <w:rPr>
                <w:rFonts w:ascii="Times New Roman" w:eastAsia="Times New Roman" w:hAnsi="Times New Roman" w:cs="Times New Roman"/>
                <w:color w:val="000000"/>
                <w:sz w:val="20"/>
                <w:szCs w:val="20"/>
                <w:lang w:eastAsia="sk-SK"/>
              </w:rPr>
              <w:t>400,00</w:t>
            </w:r>
            <w:r w:rsidR="00A0604C" w:rsidRPr="00A0604C">
              <w:rPr>
                <w:rFonts w:ascii="Times New Roman" w:eastAsia="Times New Roman" w:hAnsi="Times New Roman" w:cs="Times New Roman"/>
                <w:color w:val="000000"/>
                <w:sz w:val="20"/>
                <w:szCs w:val="20"/>
                <w:lang w:eastAsia="sk-SK"/>
              </w:rPr>
              <w:t xml:space="preserve"> </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color w:val="000000"/>
                <w:sz w:val="20"/>
                <w:szCs w:val="20"/>
              </w:rPr>
            </w:pPr>
            <w:r w:rsidRPr="00A0604C">
              <w:rPr>
                <w:rFonts w:ascii="Times New Roman" w:eastAsia="Times New Roman" w:hAnsi="Times New Roman" w:cs="Times New Roman"/>
                <w:color w:val="000000"/>
                <w:sz w:val="20"/>
                <w:szCs w:val="20"/>
              </w:rPr>
              <w:t xml:space="preserve">Daň z nehnuteľností </w:t>
            </w:r>
          </w:p>
        </w:tc>
        <w:tc>
          <w:tcPr>
            <w:tcW w:w="1843" w:type="dxa"/>
            <w:vAlign w:val="center"/>
          </w:tcPr>
          <w:p w:rsidR="00A0604C" w:rsidRPr="00A0604C" w:rsidRDefault="00CB458C" w:rsidP="005A6C39">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w:t>
            </w:r>
            <w:r w:rsidR="005A6C39">
              <w:rPr>
                <w:rFonts w:ascii="Times New Roman" w:eastAsia="Times New Roman" w:hAnsi="Times New Roman" w:cs="Times New Roman"/>
                <w:color w:val="000000"/>
                <w:sz w:val="20"/>
                <w:szCs w:val="20"/>
                <w:lang w:eastAsia="sk-SK"/>
              </w:rPr>
              <w:t>44 918,34</w:t>
            </w:r>
            <w:r w:rsidR="00A0604C" w:rsidRPr="00A0604C">
              <w:rPr>
                <w:rFonts w:ascii="Times New Roman" w:eastAsia="Times New Roman" w:hAnsi="Times New Roman" w:cs="Times New Roman"/>
                <w:color w:val="000000"/>
                <w:sz w:val="20"/>
                <w:szCs w:val="20"/>
                <w:lang w:eastAsia="sk-SK"/>
              </w:rPr>
              <w:t xml:space="preserve"> </w:t>
            </w:r>
          </w:p>
        </w:tc>
        <w:tc>
          <w:tcPr>
            <w:tcW w:w="2016" w:type="dxa"/>
            <w:vAlign w:val="center"/>
          </w:tcPr>
          <w:p w:rsidR="00A0604C" w:rsidRPr="00A0604C" w:rsidRDefault="00C365CF" w:rsidP="00A811E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A811E4">
              <w:rPr>
                <w:rFonts w:ascii="Times New Roman" w:eastAsia="Times New Roman" w:hAnsi="Times New Roman" w:cs="Times New Roman"/>
                <w:color w:val="000000"/>
                <w:sz w:val="20"/>
                <w:szCs w:val="20"/>
                <w:lang w:eastAsia="sk-SK"/>
              </w:rPr>
              <w:t xml:space="preserve">    </w:t>
            </w:r>
            <w:r w:rsidR="00A0604C" w:rsidRPr="00A0604C">
              <w:rPr>
                <w:rFonts w:ascii="Times New Roman" w:eastAsia="Times New Roman" w:hAnsi="Times New Roman" w:cs="Times New Roman"/>
                <w:color w:val="000000"/>
                <w:sz w:val="20"/>
                <w:szCs w:val="20"/>
                <w:lang w:eastAsia="sk-SK"/>
              </w:rPr>
              <w:t>1</w:t>
            </w:r>
            <w:r>
              <w:rPr>
                <w:rFonts w:ascii="Times New Roman" w:eastAsia="Times New Roman" w:hAnsi="Times New Roman" w:cs="Times New Roman"/>
                <w:color w:val="000000"/>
                <w:sz w:val="20"/>
                <w:szCs w:val="20"/>
                <w:lang w:eastAsia="sk-SK"/>
              </w:rPr>
              <w:t>3</w:t>
            </w:r>
            <w:r w:rsidR="005A6C39">
              <w:rPr>
                <w:rFonts w:ascii="Times New Roman" w:eastAsia="Times New Roman" w:hAnsi="Times New Roman" w:cs="Times New Roman"/>
                <w:color w:val="000000"/>
                <w:sz w:val="20"/>
                <w:szCs w:val="20"/>
                <w:lang w:eastAsia="sk-SK"/>
              </w:rPr>
              <w:t>1 583,61</w:t>
            </w:r>
            <w:r w:rsidR="00A0604C" w:rsidRPr="00A0604C">
              <w:rPr>
                <w:rFonts w:ascii="Times New Roman" w:eastAsia="Times New Roman" w:hAnsi="Times New Roman" w:cs="Times New Roman"/>
                <w:color w:val="000000"/>
                <w:sz w:val="20"/>
                <w:szCs w:val="20"/>
                <w:lang w:eastAsia="sk-SK"/>
              </w:rPr>
              <w:t xml:space="preserve"> </w:t>
            </w:r>
          </w:p>
        </w:tc>
      </w:tr>
      <w:tr w:rsidR="00A0604C" w:rsidRPr="00A0604C" w:rsidTr="00E179A8">
        <w:tc>
          <w:tcPr>
            <w:tcW w:w="5353" w:type="dxa"/>
            <w:vAlign w:val="bottom"/>
          </w:tcPr>
          <w:p w:rsidR="00A0604C" w:rsidRPr="00A0604C" w:rsidRDefault="00A0604C" w:rsidP="00A0604C">
            <w:pPr>
              <w:spacing w:after="0" w:line="240" w:lineRule="auto"/>
              <w:rPr>
                <w:rFonts w:ascii="Times New Roman" w:eastAsia="Times New Roman" w:hAnsi="Times New Roman" w:cs="Times New Roman"/>
                <w:b/>
                <w:color w:val="000000"/>
                <w:sz w:val="20"/>
                <w:szCs w:val="20"/>
              </w:rPr>
            </w:pPr>
            <w:r w:rsidRPr="00A0604C">
              <w:rPr>
                <w:rFonts w:ascii="Times New Roman" w:eastAsia="Times New Roman" w:hAnsi="Times New Roman" w:cs="Times New Roman"/>
                <w:b/>
                <w:color w:val="000000"/>
                <w:sz w:val="20"/>
                <w:szCs w:val="20"/>
              </w:rPr>
              <w:t xml:space="preserve">Daňové výnosy samosprávy spolu </w:t>
            </w:r>
          </w:p>
        </w:tc>
        <w:tc>
          <w:tcPr>
            <w:tcW w:w="1843" w:type="dxa"/>
            <w:vAlign w:val="center"/>
          </w:tcPr>
          <w:p w:rsidR="00A0604C" w:rsidRPr="00A0604C" w:rsidRDefault="00CB458C" w:rsidP="00597939">
            <w:pPr>
              <w:spacing w:after="0" w:line="240" w:lineRule="auto"/>
              <w:jc w:val="right"/>
              <w:rPr>
                <w:rFonts w:ascii="Times New Roman" w:eastAsia="Times New Roman" w:hAnsi="Times New Roman" w:cs="Times New Roman"/>
                <w:b/>
                <w:color w:val="000000"/>
                <w:sz w:val="20"/>
                <w:szCs w:val="20"/>
                <w:lang w:eastAsia="sk-SK"/>
              </w:rPr>
            </w:pPr>
            <w:r>
              <w:rPr>
                <w:rFonts w:ascii="Times New Roman" w:eastAsia="Times New Roman" w:hAnsi="Times New Roman" w:cs="Times New Roman"/>
                <w:b/>
                <w:color w:val="000000"/>
                <w:sz w:val="20"/>
                <w:szCs w:val="20"/>
                <w:lang w:eastAsia="sk-SK"/>
              </w:rPr>
              <w:t>1</w:t>
            </w:r>
            <w:r w:rsidR="00597939">
              <w:rPr>
                <w:rFonts w:ascii="Times New Roman" w:eastAsia="Times New Roman" w:hAnsi="Times New Roman" w:cs="Times New Roman"/>
                <w:b/>
                <w:color w:val="000000"/>
                <w:sz w:val="20"/>
                <w:szCs w:val="20"/>
                <w:lang w:eastAsia="sk-SK"/>
              </w:rPr>
              <w:t> 359 957,49</w:t>
            </w:r>
            <w:r w:rsidR="00A0604C" w:rsidRPr="00A0604C">
              <w:rPr>
                <w:rFonts w:ascii="Times New Roman" w:eastAsia="Times New Roman" w:hAnsi="Times New Roman" w:cs="Times New Roman"/>
                <w:b/>
                <w:color w:val="000000"/>
                <w:sz w:val="20"/>
                <w:szCs w:val="20"/>
                <w:lang w:eastAsia="sk-SK"/>
              </w:rPr>
              <w:t xml:space="preserve"> </w:t>
            </w:r>
          </w:p>
        </w:tc>
        <w:tc>
          <w:tcPr>
            <w:tcW w:w="2016" w:type="dxa"/>
            <w:vAlign w:val="center"/>
          </w:tcPr>
          <w:p w:rsidR="00A0604C" w:rsidRPr="00A0604C" w:rsidRDefault="00C365CF" w:rsidP="005A6C39">
            <w:pPr>
              <w:spacing w:after="0" w:line="240" w:lineRule="auto"/>
              <w:rPr>
                <w:rFonts w:ascii="Times New Roman" w:eastAsia="Times New Roman" w:hAnsi="Times New Roman" w:cs="Times New Roman"/>
                <w:b/>
                <w:color w:val="000000"/>
                <w:sz w:val="20"/>
                <w:szCs w:val="20"/>
                <w:lang w:eastAsia="sk-SK"/>
              </w:rPr>
            </w:pPr>
            <w:r>
              <w:rPr>
                <w:rFonts w:ascii="Times New Roman" w:eastAsia="Times New Roman" w:hAnsi="Times New Roman" w:cs="Times New Roman"/>
                <w:b/>
                <w:color w:val="000000"/>
                <w:sz w:val="20"/>
                <w:szCs w:val="20"/>
                <w:lang w:eastAsia="sk-SK"/>
              </w:rPr>
              <w:t xml:space="preserve">   </w:t>
            </w:r>
            <w:r w:rsidR="00A811E4">
              <w:rPr>
                <w:rFonts w:ascii="Times New Roman" w:eastAsia="Times New Roman" w:hAnsi="Times New Roman" w:cs="Times New Roman"/>
                <w:b/>
                <w:color w:val="000000"/>
                <w:sz w:val="20"/>
                <w:szCs w:val="20"/>
                <w:lang w:eastAsia="sk-SK"/>
              </w:rPr>
              <w:t xml:space="preserve">   </w:t>
            </w:r>
            <w:r>
              <w:rPr>
                <w:rFonts w:ascii="Times New Roman" w:eastAsia="Times New Roman" w:hAnsi="Times New Roman" w:cs="Times New Roman"/>
                <w:b/>
                <w:color w:val="000000"/>
                <w:sz w:val="20"/>
                <w:szCs w:val="20"/>
                <w:lang w:eastAsia="sk-SK"/>
              </w:rPr>
              <w:t xml:space="preserve"> 1</w:t>
            </w:r>
            <w:r w:rsidR="005A6C39">
              <w:rPr>
                <w:rFonts w:ascii="Times New Roman" w:eastAsia="Times New Roman" w:hAnsi="Times New Roman" w:cs="Times New Roman"/>
                <w:b/>
                <w:color w:val="000000"/>
                <w:sz w:val="20"/>
                <w:szCs w:val="20"/>
                <w:lang w:eastAsia="sk-SK"/>
              </w:rPr>
              <w:t> 171 043,23</w:t>
            </w:r>
            <w:r w:rsidR="00A0604C" w:rsidRPr="00A0604C">
              <w:rPr>
                <w:rFonts w:ascii="Times New Roman" w:eastAsia="Times New Roman" w:hAnsi="Times New Roman" w:cs="Times New Roman"/>
                <w:b/>
                <w:color w:val="000000"/>
                <w:sz w:val="20"/>
                <w:szCs w:val="20"/>
                <w:lang w:eastAsia="sk-SK"/>
              </w:rPr>
              <w:t xml:space="preserve"> </w:t>
            </w:r>
          </w:p>
        </w:tc>
      </w:tr>
    </w:tbl>
    <w:p w:rsidR="00A0604C" w:rsidRPr="00A0604C" w:rsidRDefault="00A0604C" w:rsidP="00A0604C">
      <w:pPr>
        <w:tabs>
          <w:tab w:val="left" w:pos="0"/>
          <w:tab w:val="left" w:pos="360"/>
          <w:tab w:val="left" w:pos="420"/>
        </w:tabs>
        <w:spacing w:after="0" w:line="240" w:lineRule="auto"/>
        <w:ind w:left="-14" w:hanging="70"/>
        <w:rPr>
          <w:rFonts w:ascii="Times New Roman" w:eastAsia="Times New Roman" w:hAnsi="Times New Roman" w:cs="Times New Roman"/>
          <w:b/>
          <w:lang w:eastAsia="sk-SK"/>
        </w:rPr>
      </w:pPr>
    </w:p>
    <w:p w:rsidR="00A0604C" w:rsidRPr="00A0604C" w:rsidRDefault="00A0604C" w:rsidP="00A0604C">
      <w:pPr>
        <w:spacing w:after="0" w:line="240" w:lineRule="auto"/>
        <w:rPr>
          <w:rFonts w:ascii="Times New Roman" w:eastAsia="Times New Roman" w:hAnsi="Times New Roman" w:cs="Times New Roman"/>
          <w:lang w:eastAsia="sk-SK"/>
        </w:rPr>
      </w:pPr>
      <w:r w:rsidRPr="00A0604C">
        <w:rPr>
          <w:rFonts w:ascii="Times New Roman" w:eastAsia="Times New Roman" w:hAnsi="Times New Roman" w:cs="Times New Roman"/>
          <w:lang w:eastAsia="sk-SK"/>
        </w:rPr>
        <w:t>Ďalšie podrobnejšie informácie k nákladom a výnosom sú uvedené v tabuľkovej časti</w:t>
      </w:r>
    </w:p>
    <w:p w:rsidR="00A0604C" w:rsidRPr="00A0604C" w:rsidRDefault="00A0604C" w:rsidP="00A0604C">
      <w:pPr>
        <w:spacing w:after="0" w:line="240" w:lineRule="auto"/>
        <w:rPr>
          <w:rFonts w:ascii="Times New Roman" w:eastAsia="Times New Roman" w:hAnsi="Times New Roman" w:cs="Times New Roman"/>
          <w:lang w:eastAsia="sk-SK"/>
        </w:rPr>
      </w:pPr>
    </w:p>
    <w:p w:rsidR="00A0604C" w:rsidRPr="00A0604C" w:rsidRDefault="00A0604C" w:rsidP="00A0604C">
      <w:pPr>
        <w:spacing w:after="0" w:line="240" w:lineRule="auto"/>
        <w:rPr>
          <w:rFonts w:ascii="Times New Roman" w:eastAsia="Times New Roman" w:hAnsi="Times New Roman" w:cs="Times New Roman"/>
          <w:lang w:eastAsia="sk-SK"/>
        </w:rPr>
      </w:pPr>
    </w:p>
    <w:p w:rsidR="00A0604C" w:rsidRPr="00A0604C" w:rsidRDefault="00A0604C" w:rsidP="00A0604C">
      <w:pPr>
        <w:tabs>
          <w:tab w:val="left" w:pos="462"/>
        </w:tabs>
        <w:spacing w:after="0" w:line="240" w:lineRule="auto"/>
        <w:rPr>
          <w:rFonts w:ascii="Times New Roman" w:eastAsia="Times New Roman" w:hAnsi="Times New Roman" w:cs="Times New Roman"/>
          <w:b/>
          <w:sz w:val="24"/>
          <w:szCs w:val="24"/>
          <w:lang w:eastAsia="sk-SK"/>
        </w:rPr>
      </w:pPr>
      <w:r w:rsidRPr="00A0604C">
        <w:rPr>
          <w:rFonts w:ascii="Times New Roman" w:eastAsia="Times New Roman" w:hAnsi="Times New Roman" w:cs="Times New Roman"/>
          <w:b/>
          <w:sz w:val="24"/>
          <w:szCs w:val="24"/>
          <w:lang w:eastAsia="sk-SK"/>
        </w:rPr>
        <w:t>INFORMÁCIE NA PODSÚVAHOVÝCH ÚČTOCH</w:t>
      </w:r>
    </w:p>
    <w:p w:rsidR="00A0604C" w:rsidRPr="00A0604C" w:rsidRDefault="00A0604C" w:rsidP="00A0604C">
      <w:pPr>
        <w:tabs>
          <w:tab w:val="left" w:pos="462"/>
        </w:tabs>
        <w:spacing w:after="0" w:line="240" w:lineRule="auto"/>
        <w:rPr>
          <w:rFonts w:ascii="Times New Roman" w:eastAsia="Times New Roman" w:hAnsi="Times New Roman" w:cs="Times New Roman"/>
          <w:highlight w:val="red"/>
          <w:lang w:eastAsia="sk-SK"/>
        </w:rPr>
      </w:pPr>
    </w:p>
    <w:p w:rsidR="00A0604C" w:rsidRPr="00A0604C" w:rsidRDefault="00A0604C" w:rsidP="00A0604C">
      <w:pPr>
        <w:tabs>
          <w:tab w:val="left" w:pos="448"/>
        </w:tabs>
        <w:spacing w:after="0" w:line="240" w:lineRule="auto"/>
        <w:rPr>
          <w:rFonts w:ascii="Times New Roman" w:eastAsia="Times New Roman" w:hAnsi="Times New Roman" w:cs="Times New Roman"/>
          <w:lang w:eastAsia="sk-SK"/>
        </w:rPr>
      </w:pPr>
      <w:r w:rsidRPr="00A0604C">
        <w:rPr>
          <w:rFonts w:ascii="Times New Roman" w:eastAsia="Times New Roman" w:hAnsi="Times New Roman" w:cs="Times New Roman"/>
          <w:lang w:eastAsia="sk-SK"/>
        </w:rPr>
        <w:t>Obec Nová Dedinka vedie na podsúvahovom účte 750 drobný majetok prijatý do úschovy v hodnote 33 385,44 Eur.</w:t>
      </w:r>
    </w:p>
    <w:p w:rsidR="00A0604C" w:rsidRPr="00A0604C" w:rsidRDefault="00A0604C" w:rsidP="00A0604C">
      <w:pPr>
        <w:tabs>
          <w:tab w:val="left" w:pos="448"/>
        </w:tabs>
        <w:spacing w:after="0" w:line="240" w:lineRule="auto"/>
        <w:rPr>
          <w:rFonts w:ascii="Times New Roman" w:eastAsia="Times New Roman" w:hAnsi="Times New Roman" w:cs="Times New Roman"/>
          <w:lang w:eastAsia="sk-SK"/>
        </w:rPr>
      </w:pPr>
    </w:p>
    <w:p w:rsidR="00A0604C" w:rsidRPr="00A0604C" w:rsidRDefault="00A0604C" w:rsidP="00A0604C">
      <w:pPr>
        <w:tabs>
          <w:tab w:val="left" w:pos="448"/>
        </w:tabs>
        <w:spacing w:after="0" w:line="240" w:lineRule="auto"/>
        <w:rPr>
          <w:rFonts w:ascii="Times New Roman" w:eastAsia="Times New Roman" w:hAnsi="Times New Roman" w:cs="Times New Roman"/>
          <w:lang w:eastAsia="sk-SK"/>
        </w:rPr>
      </w:pPr>
    </w:p>
    <w:p w:rsidR="00A0604C" w:rsidRPr="00A0604C" w:rsidRDefault="00A0604C" w:rsidP="00A0604C">
      <w:pPr>
        <w:tabs>
          <w:tab w:val="left" w:pos="448"/>
        </w:tabs>
        <w:spacing w:after="0" w:line="240" w:lineRule="auto"/>
        <w:rPr>
          <w:rFonts w:ascii="Times New Roman" w:eastAsia="Times New Roman" w:hAnsi="Times New Roman" w:cs="Times New Roman"/>
          <w:lang w:eastAsia="sk-SK"/>
        </w:rPr>
      </w:pPr>
    </w:p>
    <w:p w:rsidR="00A0604C" w:rsidRPr="00A0604C" w:rsidRDefault="00A0604C" w:rsidP="00A0604C">
      <w:pPr>
        <w:tabs>
          <w:tab w:val="left" w:pos="448"/>
        </w:tabs>
        <w:spacing w:after="0" w:line="240" w:lineRule="auto"/>
        <w:ind w:left="425" w:hanging="425"/>
        <w:rPr>
          <w:rFonts w:ascii="Times New Roman" w:eastAsia="Times New Roman" w:hAnsi="Times New Roman" w:cs="Times New Roman"/>
          <w:b/>
          <w:sz w:val="24"/>
          <w:szCs w:val="24"/>
          <w:lang w:eastAsia="sk-SK"/>
        </w:rPr>
      </w:pPr>
      <w:r w:rsidRPr="00A0604C">
        <w:rPr>
          <w:rFonts w:ascii="Times New Roman" w:eastAsia="Times New Roman" w:hAnsi="Times New Roman" w:cs="Times New Roman"/>
          <w:b/>
          <w:sz w:val="24"/>
          <w:szCs w:val="24"/>
          <w:lang w:eastAsia="sk-SK"/>
        </w:rPr>
        <w:t>SKUTOČNOSTI, KTORÉ NASTALI PO DNI, KU KTORÉMU SA ZOSTAVUJE</w:t>
      </w:r>
    </w:p>
    <w:p w:rsidR="00A0604C" w:rsidRPr="00A0604C" w:rsidRDefault="00A0604C" w:rsidP="00A0604C">
      <w:pPr>
        <w:tabs>
          <w:tab w:val="left" w:pos="448"/>
        </w:tabs>
        <w:spacing w:after="0" w:line="240" w:lineRule="auto"/>
        <w:ind w:left="425" w:hanging="425"/>
        <w:rPr>
          <w:rFonts w:ascii="Times New Roman" w:eastAsia="Times New Roman" w:hAnsi="Times New Roman" w:cs="Times New Roman"/>
          <w:b/>
          <w:sz w:val="24"/>
          <w:szCs w:val="24"/>
          <w:lang w:eastAsia="sk-SK"/>
        </w:rPr>
      </w:pPr>
      <w:r w:rsidRPr="00A0604C">
        <w:rPr>
          <w:rFonts w:ascii="Times New Roman" w:eastAsia="Times New Roman" w:hAnsi="Times New Roman" w:cs="Times New Roman"/>
          <w:b/>
          <w:sz w:val="24"/>
          <w:szCs w:val="24"/>
          <w:lang w:eastAsia="sk-SK"/>
        </w:rPr>
        <w:t>KONSOLIDOVANA ÚČTOVNÁ ZÁVIERKA, DO DŇA JEJ ZOSTAVENIA</w:t>
      </w: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p>
    <w:p w:rsidR="00A0604C" w:rsidRPr="00A0604C" w:rsidRDefault="00A0604C" w:rsidP="00A0604C">
      <w:pPr>
        <w:spacing w:after="0" w:line="240" w:lineRule="auto"/>
        <w:ind w:right="-79"/>
        <w:jc w:val="both"/>
        <w:rPr>
          <w:rFonts w:ascii="Times New Roman" w:eastAsia="Times New Roman" w:hAnsi="Times New Roman" w:cs="Times New Roman"/>
          <w:sz w:val="24"/>
          <w:szCs w:val="24"/>
          <w:lang w:eastAsia="sk-SK"/>
        </w:rPr>
      </w:pPr>
      <w:r w:rsidRPr="00A0604C">
        <w:rPr>
          <w:rFonts w:ascii="Times New Roman" w:eastAsia="Times New Roman" w:hAnsi="Times New Roman" w:cs="Times New Roman"/>
          <w:sz w:val="24"/>
          <w:szCs w:val="24"/>
          <w:lang w:eastAsia="sk-SK"/>
        </w:rPr>
        <w:t xml:space="preserve">Po 31. decembri </w:t>
      </w:r>
      <w:r w:rsidRPr="00A0604C">
        <w:rPr>
          <w:rFonts w:ascii="Times New Roman" w:eastAsia="Times New Roman" w:hAnsi="Times New Roman" w:cs="Times New Roman"/>
          <w:iCs/>
          <w:sz w:val="24"/>
          <w:szCs w:val="24"/>
          <w:lang w:eastAsia="sk-SK"/>
        </w:rPr>
        <w:t>201</w:t>
      </w:r>
      <w:r w:rsidR="00597939">
        <w:rPr>
          <w:rFonts w:ascii="Times New Roman" w:eastAsia="Times New Roman" w:hAnsi="Times New Roman" w:cs="Times New Roman"/>
          <w:iCs/>
          <w:sz w:val="24"/>
          <w:szCs w:val="24"/>
          <w:lang w:eastAsia="sk-SK"/>
        </w:rPr>
        <w:t>9</w:t>
      </w:r>
      <w:r w:rsidRPr="00A0604C">
        <w:rPr>
          <w:rFonts w:ascii="Times New Roman" w:eastAsia="Times New Roman" w:hAnsi="Times New Roman" w:cs="Times New Roman"/>
          <w:sz w:val="24"/>
          <w:szCs w:val="24"/>
          <w:lang w:eastAsia="sk-SK"/>
        </w:rPr>
        <w:t xml:space="preserve"> nenastali také udalosti, ktoré by si vyžadovali zverejnenie alebo vykázanie v konsolidovanej účtovnej závierke za rok 201</w:t>
      </w:r>
      <w:r w:rsidR="00597939">
        <w:rPr>
          <w:rFonts w:ascii="Times New Roman" w:eastAsia="Times New Roman" w:hAnsi="Times New Roman" w:cs="Times New Roman"/>
          <w:sz w:val="24"/>
          <w:szCs w:val="24"/>
          <w:lang w:eastAsia="sk-SK"/>
        </w:rPr>
        <w:t>9</w:t>
      </w:r>
      <w:r w:rsidRPr="00A0604C">
        <w:rPr>
          <w:rFonts w:ascii="Times New Roman" w:eastAsia="Times New Roman" w:hAnsi="Times New Roman" w:cs="Times New Roman"/>
          <w:sz w:val="24"/>
          <w:szCs w:val="24"/>
          <w:lang w:eastAsia="sk-SK"/>
        </w:rPr>
        <w:t>.</w:t>
      </w:r>
    </w:p>
    <w:p w:rsidR="00A0604C" w:rsidRPr="00A0604C" w:rsidRDefault="00A0604C" w:rsidP="00A0604C">
      <w:pPr>
        <w:spacing w:after="0" w:line="240" w:lineRule="auto"/>
        <w:rPr>
          <w:rFonts w:ascii="Times New Roman" w:eastAsia="Times New Roman" w:hAnsi="Times New Roman" w:cs="Times New Roman"/>
          <w:sz w:val="24"/>
          <w:szCs w:val="24"/>
          <w:lang w:eastAsia="sk-SK"/>
        </w:rPr>
      </w:pPr>
    </w:p>
    <w:p w:rsidR="00A0604C" w:rsidRPr="00A0604C" w:rsidRDefault="00A0604C" w:rsidP="00A0604C"/>
    <w:p w:rsidR="005C2A72" w:rsidRDefault="00CB458C">
      <w:pPr>
        <w:rPr>
          <w:rFonts w:ascii="Times New Roman" w:hAnsi="Times New Roman" w:cs="Times New Roman"/>
        </w:rPr>
      </w:pPr>
      <w:r w:rsidRPr="00CB458C">
        <w:rPr>
          <w:rFonts w:ascii="Times New Roman" w:hAnsi="Times New Roman" w:cs="Times New Roman"/>
        </w:rPr>
        <w:t xml:space="preserve">Nová Dedinka, </w:t>
      </w:r>
      <w:r w:rsidR="00597939">
        <w:rPr>
          <w:rFonts w:ascii="Times New Roman" w:hAnsi="Times New Roman" w:cs="Times New Roman"/>
        </w:rPr>
        <w:t>5</w:t>
      </w:r>
      <w:r w:rsidRPr="00CB458C">
        <w:rPr>
          <w:rFonts w:ascii="Times New Roman" w:hAnsi="Times New Roman" w:cs="Times New Roman"/>
        </w:rPr>
        <w:t>.5.20</w:t>
      </w:r>
      <w:r w:rsidR="00597939">
        <w:rPr>
          <w:rFonts w:ascii="Times New Roman" w:hAnsi="Times New Roman" w:cs="Times New Roman"/>
        </w:rPr>
        <w:t>20</w:t>
      </w:r>
    </w:p>
    <w:p w:rsidR="00CB458C" w:rsidRPr="00CB458C" w:rsidRDefault="00CB458C">
      <w:pPr>
        <w:rPr>
          <w:rFonts w:ascii="Times New Roman" w:hAnsi="Times New Roman" w:cs="Times New Roman"/>
        </w:rPr>
      </w:pPr>
      <w:r>
        <w:rPr>
          <w:rFonts w:ascii="Times New Roman" w:hAnsi="Times New Roman" w:cs="Times New Roman"/>
        </w:rPr>
        <w:t>Vypracovala : E</w:t>
      </w:r>
      <w:r w:rsidR="00597939">
        <w:rPr>
          <w:rFonts w:ascii="Times New Roman" w:hAnsi="Times New Roman" w:cs="Times New Roman"/>
        </w:rPr>
        <w:t xml:space="preserve">va </w:t>
      </w:r>
      <w:r>
        <w:rPr>
          <w:rFonts w:ascii="Times New Roman" w:hAnsi="Times New Roman" w:cs="Times New Roman"/>
        </w:rPr>
        <w:t>Susková</w:t>
      </w:r>
    </w:p>
    <w:sectPr w:rsidR="00CB458C" w:rsidRPr="00CB458C" w:rsidSect="005F0094">
      <w:headerReference w:type="default" r:id="rId6"/>
      <w:footerReference w:type="default" r:id="rId7"/>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706E" w:rsidRDefault="00F3706E">
      <w:pPr>
        <w:spacing w:after="0" w:line="240" w:lineRule="auto"/>
      </w:pPr>
      <w:r>
        <w:separator/>
      </w:r>
    </w:p>
  </w:endnote>
  <w:endnote w:type="continuationSeparator" w:id="0">
    <w:p w:rsidR="00F3706E" w:rsidRDefault="00F37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DB5" w:rsidRDefault="00A0604C">
    <w:pPr>
      <w:pStyle w:val="Pta"/>
      <w:jc w:val="center"/>
    </w:pPr>
    <w:r>
      <w:fldChar w:fldCharType="begin"/>
    </w:r>
    <w:r>
      <w:instrText xml:space="preserve"> PAGE   \* MERGEFORMAT </w:instrText>
    </w:r>
    <w:r>
      <w:fldChar w:fldCharType="separate"/>
    </w:r>
    <w:r w:rsidR="00F44E30">
      <w:rPr>
        <w:noProof/>
      </w:rPr>
      <w:t>1</w:t>
    </w:r>
    <w:r>
      <w:fldChar w:fldCharType="end"/>
    </w:r>
  </w:p>
  <w:p w:rsidR="00D04716" w:rsidRDefault="00F3706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706E" w:rsidRDefault="00F3706E">
      <w:pPr>
        <w:spacing w:after="0" w:line="240" w:lineRule="auto"/>
      </w:pPr>
      <w:r>
        <w:separator/>
      </w:r>
    </w:p>
  </w:footnote>
  <w:footnote w:type="continuationSeparator" w:id="0">
    <w:p w:rsidR="00F3706E" w:rsidRDefault="00F370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716" w:rsidRDefault="00A0604C" w:rsidP="00DB7899">
    <w:pPr>
      <w:pStyle w:val="Hlavika"/>
      <w:tabs>
        <w:tab w:val="clear" w:pos="4536"/>
        <w:tab w:val="clear" w:pos="9072"/>
      </w:tabs>
      <w:ind w:right="-82"/>
      <w:jc w:val="right"/>
      <w:rPr>
        <w:sz w:val="20"/>
        <w:szCs w:val="20"/>
      </w:rPr>
    </w:pPr>
    <w:r w:rsidRPr="009C5403">
      <w:rPr>
        <w:sz w:val="20"/>
        <w:szCs w:val="20"/>
      </w:rPr>
      <w:tab/>
    </w:r>
    <w:r>
      <w:rPr>
        <w:sz w:val="20"/>
        <w:szCs w:val="20"/>
      </w:rPr>
      <w:t xml:space="preserve">             </w:t>
    </w:r>
  </w:p>
  <w:p w:rsidR="00D04716" w:rsidRDefault="00A0604C" w:rsidP="0032719D">
    <w:pPr>
      <w:pStyle w:val="Hlavika"/>
      <w:tabs>
        <w:tab w:val="clear" w:pos="4536"/>
        <w:tab w:val="clear" w:pos="9072"/>
      </w:tabs>
      <w:ind w:right="-82"/>
      <w:jc w:val="center"/>
      <w:rPr>
        <w:i/>
        <w:color w:val="FF0000"/>
        <w:sz w:val="20"/>
        <w:szCs w:val="20"/>
      </w:rPr>
    </w:pPr>
    <w:r>
      <w:rPr>
        <w:i/>
        <w:color w:val="FF0000"/>
        <w:sz w:val="20"/>
        <w:szCs w:val="20"/>
      </w:rPr>
      <w:t xml:space="preserve"> </w:t>
    </w:r>
  </w:p>
  <w:p w:rsidR="00162113" w:rsidRPr="00162113" w:rsidRDefault="00F3706E" w:rsidP="0032719D">
    <w:pPr>
      <w:pStyle w:val="Hlavika"/>
      <w:tabs>
        <w:tab w:val="clear" w:pos="4536"/>
        <w:tab w:val="clear" w:pos="9072"/>
      </w:tabs>
      <w:ind w:right="-82"/>
      <w:jc w:val="center"/>
      <w:rPr>
        <w:sz w:val="20"/>
        <w:szCs w:val="20"/>
      </w:rPr>
    </w:pPr>
  </w:p>
  <w:p w:rsidR="00D04716" w:rsidRPr="004F0D4A" w:rsidRDefault="00A0604C" w:rsidP="0032719D">
    <w:pPr>
      <w:pStyle w:val="Hlavika"/>
      <w:pBdr>
        <w:bottom w:val="single" w:sz="4" w:space="1" w:color="auto"/>
      </w:pBdr>
      <w:tabs>
        <w:tab w:val="clear" w:pos="9072"/>
      </w:tabs>
      <w:jc w:val="center"/>
      <w:rPr>
        <w:color w:val="FF0000"/>
        <w:sz w:val="20"/>
        <w:szCs w:val="20"/>
      </w:rPr>
    </w:pPr>
    <w:r>
      <w:rPr>
        <w:sz w:val="20"/>
        <w:szCs w:val="20"/>
      </w:rPr>
      <w:t>Poznámky  konsolidovanej</w:t>
    </w:r>
    <w:r w:rsidRPr="0032719D">
      <w:rPr>
        <w:sz w:val="20"/>
        <w:szCs w:val="20"/>
      </w:rPr>
      <w:t xml:space="preserve"> účtovnej závierky  zostavenej k 31. decembru </w:t>
    </w:r>
    <w:r>
      <w:rPr>
        <w:sz w:val="20"/>
        <w:szCs w:val="20"/>
      </w:rPr>
      <w:t>201</w:t>
    </w:r>
    <w:r w:rsidR="00F00DC9">
      <w:rPr>
        <w:sz w:val="20"/>
        <w:szCs w:val="20"/>
      </w:rPr>
      <w:t>9</w:t>
    </w:r>
  </w:p>
  <w:p w:rsidR="00D04716" w:rsidRPr="00162113" w:rsidRDefault="00A0604C">
    <w:pPr>
      <w:pStyle w:val="Hlavika"/>
    </w:pPr>
    <w:r>
      <w:t xml:space="preserve"> </w:t>
    </w:r>
  </w:p>
  <w:p w:rsidR="00D04716" w:rsidRDefault="00F3706E">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04C"/>
    <w:rsid w:val="002335E2"/>
    <w:rsid w:val="0045796F"/>
    <w:rsid w:val="00597939"/>
    <w:rsid w:val="005A6C39"/>
    <w:rsid w:val="005C2A72"/>
    <w:rsid w:val="00692C79"/>
    <w:rsid w:val="006B73A5"/>
    <w:rsid w:val="007176DA"/>
    <w:rsid w:val="007323FA"/>
    <w:rsid w:val="009170DE"/>
    <w:rsid w:val="009D6DCD"/>
    <w:rsid w:val="00A0604C"/>
    <w:rsid w:val="00A811E4"/>
    <w:rsid w:val="00C365CF"/>
    <w:rsid w:val="00CB458C"/>
    <w:rsid w:val="00F00DC9"/>
    <w:rsid w:val="00F3706E"/>
    <w:rsid w:val="00F44E30"/>
    <w:rsid w:val="00FA50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F07452-B6B1-4FB9-A0CD-F1BC46875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604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604C"/>
  </w:style>
  <w:style w:type="paragraph" w:styleId="Pta">
    <w:name w:val="footer"/>
    <w:basedOn w:val="Normlny"/>
    <w:link w:val="PtaChar"/>
    <w:uiPriority w:val="99"/>
    <w:unhideWhenUsed/>
    <w:rsid w:val="00A0604C"/>
    <w:pPr>
      <w:tabs>
        <w:tab w:val="center" w:pos="4536"/>
        <w:tab w:val="right" w:pos="9072"/>
      </w:tabs>
      <w:spacing w:after="0" w:line="240" w:lineRule="auto"/>
    </w:pPr>
  </w:style>
  <w:style w:type="character" w:customStyle="1" w:styleId="PtaChar">
    <w:name w:val="Päta Char"/>
    <w:basedOn w:val="Predvolenpsmoodseku"/>
    <w:link w:val="Pta"/>
    <w:uiPriority w:val="99"/>
    <w:rsid w:val="00A060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1685</Words>
  <Characters>9605</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Suskova</dc:creator>
  <cp:keywords/>
  <dc:description/>
  <cp:lastModifiedBy>Eva Suskova</cp:lastModifiedBy>
  <cp:revision>2</cp:revision>
  <dcterms:created xsi:type="dcterms:W3CDTF">2020-05-05T12:04:00Z</dcterms:created>
  <dcterms:modified xsi:type="dcterms:W3CDTF">2020-05-05T12:04:00Z</dcterms:modified>
</cp:coreProperties>
</file>