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3019" w:type="dxa"/>
        <w:tblInd w:w="-254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301"/>
        <w:gridCol w:w="1032"/>
        <w:gridCol w:w="1032"/>
        <w:gridCol w:w="1032"/>
        <w:gridCol w:w="3534"/>
        <w:gridCol w:w="80"/>
        <w:gridCol w:w="912"/>
        <w:gridCol w:w="1032"/>
        <w:gridCol w:w="952"/>
        <w:gridCol w:w="80"/>
        <w:gridCol w:w="1032"/>
      </w:tblGrid>
      <w:tr w:rsidR="00D63065" w:rsidTr="00E8429D">
        <w:trPr>
          <w:trHeight w:val="290"/>
        </w:trPr>
        <w:tc>
          <w:tcPr>
            <w:tcW w:w="11907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B. Informácie o členoch štatutárnych orgánov, dozorných orgánov a iných orgánov</w:t>
            </w: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E8429D">
        <w:trPr>
          <w:trHeight w:val="290"/>
        </w:trPr>
        <w:tc>
          <w:tcPr>
            <w:tcW w:w="2301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účtovnej jednotky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36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E8429D">
        <w:trPr>
          <w:trHeight w:val="290"/>
        </w:trPr>
        <w:tc>
          <w:tcPr>
            <w:tcW w:w="2301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36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E8429D">
        <w:trPr>
          <w:trHeight w:val="290"/>
        </w:trPr>
        <w:tc>
          <w:tcPr>
            <w:tcW w:w="333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Yeon Kok </w:t>
            </w:r>
            <w:proofErr w:type="spellStart"/>
            <w:r>
              <w:rPr>
                <w:rFonts w:ascii="Calibri" w:hAnsi="Calibri" w:cs="Calibri"/>
                <w:color w:val="000000"/>
              </w:rPr>
              <w:t>Kuag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 - konateľ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36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E8429D">
        <w:trPr>
          <w:trHeight w:val="290"/>
        </w:trPr>
        <w:tc>
          <w:tcPr>
            <w:tcW w:w="2301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36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E8429D">
        <w:trPr>
          <w:trHeight w:val="290"/>
        </w:trPr>
        <w:tc>
          <w:tcPr>
            <w:tcW w:w="9923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2. informácie k časti B písm. b) príloh č. 3 o štruktúre spoločníkov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E8429D">
        <w:trPr>
          <w:trHeight w:val="290"/>
        </w:trPr>
        <w:tc>
          <w:tcPr>
            <w:tcW w:w="2301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36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E8429D">
        <w:trPr>
          <w:trHeight w:val="290"/>
        </w:trPr>
        <w:tc>
          <w:tcPr>
            <w:tcW w:w="2301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Spoločník, akcionár</w:t>
            </w:r>
          </w:p>
        </w:tc>
        <w:tc>
          <w:tcPr>
            <w:tcW w:w="309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Triplus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Industry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SDN BHD</w:t>
            </w:r>
          </w:p>
        </w:tc>
        <w:tc>
          <w:tcPr>
            <w:tcW w:w="36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E8429D">
        <w:trPr>
          <w:trHeight w:val="290"/>
        </w:trPr>
        <w:tc>
          <w:tcPr>
            <w:tcW w:w="2301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Výška podielu na ZI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418907,3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100%</w:t>
            </w:r>
          </w:p>
        </w:tc>
        <w:tc>
          <w:tcPr>
            <w:tcW w:w="36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  <w:p w:rsidR="00837747" w:rsidRDefault="00837747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  <w:p w:rsidR="00837747" w:rsidRDefault="00837747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E8429D">
        <w:trPr>
          <w:trHeight w:val="290"/>
        </w:trPr>
        <w:tc>
          <w:tcPr>
            <w:tcW w:w="2301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36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E8429D">
        <w:trPr>
          <w:trHeight w:val="290"/>
        </w:trPr>
        <w:tc>
          <w:tcPr>
            <w:tcW w:w="9923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E. Informácie o použitých účtovných zásadách a účtovných metódach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E8429D">
        <w:trPr>
          <w:trHeight w:val="290"/>
        </w:trPr>
        <w:tc>
          <w:tcPr>
            <w:tcW w:w="2301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36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E8429D">
        <w:trPr>
          <w:trHeight w:val="290"/>
        </w:trPr>
        <w:tc>
          <w:tcPr>
            <w:tcW w:w="9923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Účtovná jednotka bude nepretržite pokračovať vo svojej činnosti.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E8429D">
        <w:trPr>
          <w:trHeight w:val="290"/>
        </w:trPr>
        <w:tc>
          <w:tcPr>
            <w:tcW w:w="11987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Finančné výkazy boli zostavené na základe slovenských účtovných predpisov. Pre účtovnú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E8429D">
        <w:trPr>
          <w:trHeight w:val="290"/>
        </w:trPr>
        <w:tc>
          <w:tcPr>
            <w:tcW w:w="11987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jednotku začal  počnúc dňom 1.júna 2005 účtovným obdobím hospodársky rok, od 1 júna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E8429D">
        <w:trPr>
          <w:trHeight w:val="290"/>
        </w:trPr>
        <w:tc>
          <w:tcPr>
            <w:tcW w:w="8931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bežného roka do 31. mája nasledujúceho roka.</w:t>
            </w:r>
          </w:p>
          <w:p w:rsidR="00BD419B" w:rsidRDefault="007D3236" w:rsidP="00E8429D">
            <w:pPr>
              <w:pStyle w:val="Bezriadkovania"/>
              <w:ind w:right="253"/>
            </w:pPr>
            <w:r w:rsidRPr="006C1451">
              <w:t>S</w:t>
            </w:r>
            <w:r w:rsidR="00286C0A" w:rsidRPr="006C1451">
              <w:t xml:space="preserve">poločnosť TRIPLUS SK s.r.o. využívala HR až do obdobia 31.5.2018. Za obdobie jún 2018 až december 2018 sme vypracovali účtovnú závierku za skrátené obdobie , pretože od 1.1.2019  prechádzame na  obdobie kalendárneho roku t.j. január až december. </w:t>
            </w:r>
          </w:p>
          <w:p w:rsidR="00286C0A" w:rsidRPr="006C1451" w:rsidRDefault="00286C0A" w:rsidP="00E8429D">
            <w:pPr>
              <w:pStyle w:val="Bezriadkovania"/>
              <w:ind w:right="253"/>
            </w:pPr>
            <w:r w:rsidRPr="006C1451">
              <w:t xml:space="preserve"> </w:t>
            </w:r>
            <w:r w:rsidR="00BD419B">
              <w:t xml:space="preserve">Spoločnosť TRIPLUS SK s.r.o. za r. 2019 spracovala účtovnú závierku za obdobie kalendárneho roka t.j. od 1.1.2019 do 31.12.2019 </w:t>
            </w:r>
          </w:p>
          <w:p w:rsidR="00E8429D" w:rsidRPr="00E8429D" w:rsidRDefault="00E8429D" w:rsidP="00E8429D">
            <w:pPr>
              <w:pStyle w:val="Bezriadkovania"/>
              <w:ind w:right="253"/>
              <w:rPr>
                <w:b/>
              </w:rPr>
            </w:pPr>
          </w:p>
        </w:tc>
        <w:tc>
          <w:tcPr>
            <w:tcW w:w="80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E8429D">
        <w:trPr>
          <w:trHeight w:val="290"/>
        </w:trPr>
        <w:tc>
          <w:tcPr>
            <w:tcW w:w="11987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Účtovná závierka bola vykonaná s rešpektovaním zásady "nepretržitého trvania" účtovnej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E8429D">
        <w:trPr>
          <w:trHeight w:val="290"/>
        </w:trPr>
        <w:tc>
          <w:tcPr>
            <w:tcW w:w="11987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jednotky. Účtovné zápisy boli vykonané s rešpektovaním zásady časového rozlíšenia.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E8429D">
        <w:trPr>
          <w:trHeight w:val="290"/>
        </w:trPr>
        <w:tc>
          <w:tcPr>
            <w:tcW w:w="11987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Aktíva a pasíva boli oceňované historickými cenami. Hospodárske operácie v cudzej mene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E8429D">
        <w:trPr>
          <w:trHeight w:val="290"/>
        </w:trPr>
        <w:tc>
          <w:tcPr>
            <w:tcW w:w="11987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boli zaúčtované kurzom cudzej meny ku dňu uskutočnenia transakcie.  Aktíva a pasíva </w:t>
            </w: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  <w:tr w:rsidR="00D63065" w:rsidTr="00E8429D">
        <w:trPr>
          <w:trHeight w:val="290"/>
        </w:trPr>
        <w:tc>
          <w:tcPr>
            <w:tcW w:w="13019" w:type="dxa"/>
            <w:gridSpan w:val="11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 cudzej mene ku dňu účtovnej závierky boli prepočítané kurzom cudzej meny ku dňu zostavenia</w:t>
            </w:r>
          </w:p>
        </w:tc>
      </w:tr>
      <w:tr w:rsidR="00D63065" w:rsidTr="00E8429D">
        <w:trPr>
          <w:trHeight w:val="290"/>
        </w:trPr>
        <w:tc>
          <w:tcPr>
            <w:tcW w:w="10955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účtovnej závierky. Rozdiely z prepočtu kurzu sú zúčtované vo výkaze ziskov a strát.</w:t>
            </w:r>
          </w:p>
          <w:p w:rsidR="00837747" w:rsidRDefault="00837747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  <w:p w:rsidR="00837747" w:rsidRDefault="00837747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Metódy oceňovania aktív a pasív:</w:t>
            </w:r>
          </w:p>
          <w:p w:rsidR="00D63065" w:rsidRDefault="00D63065" w:rsidP="00E8429D">
            <w:pPr>
              <w:pStyle w:val="Odsekzoznamu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Dlhodobý majetok:</w:t>
            </w:r>
          </w:p>
          <w:p w:rsidR="00D63065" w:rsidRDefault="00D63065" w:rsidP="00E8429D">
            <w:pPr>
              <w:pStyle w:val="Odsekzoznamu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Nakúpený                          obstarávacia cena a súvisiace náklady (preprava, clo a iné)</w:t>
            </w:r>
          </w:p>
          <w:p w:rsidR="00D63065" w:rsidRDefault="00D63065" w:rsidP="00E8429D">
            <w:pPr>
              <w:pStyle w:val="Odsekzoznamu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Vyrobený vlastnou činnosťou     vlastné náklady</w:t>
            </w:r>
          </w:p>
          <w:p w:rsidR="00D63065" w:rsidRDefault="00D63065" w:rsidP="00E8429D">
            <w:pPr>
              <w:pStyle w:val="Odsekzoznamu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Zásoby.</w:t>
            </w:r>
          </w:p>
          <w:p w:rsidR="00D63065" w:rsidRDefault="00D63065" w:rsidP="00E8429D">
            <w:pPr>
              <w:pStyle w:val="Odsekzoznamu"/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Nakúpené                          obstarávacia cena a súvisiace náklady (preprava, clo a iné)</w:t>
            </w:r>
          </w:p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ind w:left="36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Cenové odchýlky medzi skladovou cenou a cenou obstarania sú účtované do nákladov v pomere k spotrebe materiálu.</w:t>
            </w:r>
          </w:p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ind w:left="36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Postup pre zúčtovanie spotreby materiálu, nedokončenej výroby, polotovarov a hotových výrobkov:</w:t>
            </w:r>
          </w:p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ind w:left="36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Spotreba materiálu                  metóda FIFO</w:t>
            </w:r>
          </w:p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ind w:left="36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Nedokončená výroba              vlastné náklady</w:t>
            </w:r>
          </w:p>
          <w:p w:rsidR="00D63065" w:rsidRDefault="00D63065" w:rsidP="00E8429D">
            <w:pPr>
              <w:autoSpaceDE w:val="0"/>
              <w:autoSpaceDN w:val="0"/>
              <w:adjustRightInd w:val="0"/>
              <w:spacing w:after="0" w:line="240" w:lineRule="auto"/>
              <w:ind w:left="360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Hotové výrobky                        vlastné náklady</w:t>
            </w:r>
          </w:p>
          <w:p w:rsidR="00D63065" w:rsidRDefault="00D63065" w:rsidP="00E8429D">
            <w:pPr>
              <w:pStyle w:val="Odsekzoznamu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Pohľadávky                         nominálna hodnota</w:t>
            </w:r>
          </w:p>
          <w:p w:rsidR="00D63065" w:rsidRDefault="00D63065" w:rsidP="00E8429D">
            <w:pPr>
              <w:pStyle w:val="Odsekzoznamu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Peňažné prostriedky        nominálna hodnota</w:t>
            </w:r>
          </w:p>
          <w:p w:rsidR="00837747" w:rsidRDefault="00837747" w:rsidP="00E8429D">
            <w:pPr>
              <w:pStyle w:val="Odsekzoznamu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Rezervy                               nominálna hodnota</w:t>
            </w:r>
          </w:p>
          <w:p w:rsidR="00837747" w:rsidRDefault="00837747" w:rsidP="00E8429D">
            <w:pPr>
              <w:pStyle w:val="Odsekzoznamu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Záväzky                                nominálna hodnota</w:t>
            </w:r>
          </w:p>
          <w:p w:rsidR="00837747" w:rsidRDefault="00837747" w:rsidP="00E8429D">
            <w:pPr>
              <w:pStyle w:val="Odsekzoznamu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Časové rozlíšenie na strane aktív a pasív                 nominálna hodnota</w:t>
            </w:r>
          </w:p>
          <w:p w:rsidR="00837747" w:rsidRDefault="00837747" w:rsidP="00E8429D">
            <w:pPr>
              <w:autoSpaceDE w:val="0"/>
              <w:autoSpaceDN w:val="0"/>
              <w:adjustRightInd w:val="0"/>
              <w:spacing w:after="0" w:line="240" w:lineRule="auto"/>
              <w:ind w:left="360"/>
              <w:rPr>
                <w:rFonts w:ascii="Calibri" w:hAnsi="Calibri" w:cs="Calibri"/>
                <w:color w:val="000000"/>
              </w:rPr>
            </w:pPr>
          </w:p>
          <w:p w:rsidR="00837747" w:rsidRDefault="00837747" w:rsidP="00E8429D">
            <w:pPr>
              <w:autoSpaceDE w:val="0"/>
              <w:autoSpaceDN w:val="0"/>
              <w:adjustRightInd w:val="0"/>
              <w:spacing w:after="0" w:line="240" w:lineRule="auto"/>
              <w:ind w:left="360"/>
              <w:rPr>
                <w:rFonts w:ascii="Calibri" w:hAnsi="Calibri" w:cs="Calibri"/>
                <w:color w:val="000000"/>
              </w:rPr>
            </w:pPr>
          </w:p>
          <w:p w:rsidR="00837747" w:rsidRDefault="00837747" w:rsidP="00E8429D">
            <w:pPr>
              <w:autoSpaceDE w:val="0"/>
              <w:autoSpaceDN w:val="0"/>
              <w:adjustRightInd w:val="0"/>
              <w:spacing w:after="0" w:line="240" w:lineRule="auto"/>
              <w:ind w:left="360"/>
              <w:rPr>
                <w:rFonts w:ascii="Calibri" w:hAnsi="Calibri" w:cs="Calibri"/>
                <w:color w:val="000000"/>
              </w:rPr>
            </w:pPr>
          </w:p>
          <w:p w:rsidR="00837747" w:rsidRDefault="00837747" w:rsidP="00E8429D">
            <w:pPr>
              <w:autoSpaceDE w:val="0"/>
              <w:autoSpaceDN w:val="0"/>
              <w:adjustRightInd w:val="0"/>
              <w:spacing w:after="0" w:line="240" w:lineRule="auto"/>
              <w:ind w:left="360"/>
              <w:rPr>
                <w:rFonts w:ascii="Calibri" w:hAnsi="Calibri" w:cs="Calibri"/>
                <w:color w:val="000000"/>
              </w:rPr>
            </w:pPr>
          </w:p>
          <w:p w:rsidR="00837747" w:rsidRDefault="00837747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Metódy odpisovania:</w:t>
            </w:r>
          </w:p>
          <w:p w:rsidR="00837747" w:rsidRDefault="00837747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  <w:p w:rsidR="00837747" w:rsidRDefault="00837747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Majetok:                                   Doba odpisovania v rokoch                  Metóda odpisovania</w:t>
            </w:r>
          </w:p>
          <w:p w:rsidR="00837747" w:rsidRDefault="00837747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                                                  Účtovné/daňové  odpisy </w:t>
            </w:r>
          </w:p>
          <w:p w:rsidR="00837747" w:rsidRDefault="00837747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  <w:p w:rsidR="00837747" w:rsidRDefault="00837747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  <w:p w:rsidR="00837747" w:rsidRDefault="00837747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Software                                           5                                                    Lineárna</w:t>
            </w:r>
          </w:p>
          <w:p w:rsidR="00837747" w:rsidRDefault="00837747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 </w:t>
            </w:r>
          </w:p>
          <w:p w:rsidR="00837747" w:rsidRDefault="00837747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Budovy                                           </w:t>
            </w:r>
            <w:r w:rsidR="00E20D9D">
              <w:rPr>
                <w:rFonts w:ascii="Calibri" w:hAnsi="Calibri" w:cs="Calibri"/>
                <w:color w:val="000000"/>
              </w:rPr>
              <w:t>4</w:t>
            </w:r>
            <w:r>
              <w:rPr>
                <w:rFonts w:ascii="Calibri" w:hAnsi="Calibri" w:cs="Calibri"/>
                <w:color w:val="000000"/>
              </w:rPr>
              <w:t xml:space="preserve">0                                                     Lineárna, </w:t>
            </w:r>
            <w:proofErr w:type="spellStart"/>
            <w:r>
              <w:rPr>
                <w:rFonts w:ascii="Calibri" w:hAnsi="Calibri" w:cs="Calibri"/>
                <w:color w:val="000000"/>
              </w:rPr>
              <w:t>pdľa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daň.odpisov</w:t>
            </w:r>
            <w:proofErr w:type="spellEnd"/>
          </w:p>
          <w:p w:rsidR="00837747" w:rsidRDefault="00837747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  <w:p w:rsidR="00837747" w:rsidRDefault="00837747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Stroje a zariadenia                       6 ,  4                                                 Lineárna, </w:t>
            </w:r>
            <w:proofErr w:type="spellStart"/>
            <w:r>
              <w:rPr>
                <w:rFonts w:ascii="Calibri" w:hAnsi="Calibri" w:cs="Calibri"/>
                <w:color w:val="000000"/>
              </w:rPr>
              <w:t>pdľa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daň.odpisov</w:t>
            </w:r>
            <w:proofErr w:type="spellEnd"/>
          </w:p>
          <w:p w:rsidR="00837747" w:rsidRDefault="00837747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  <w:p w:rsidR="00837747" w:rsidRDefault="00837747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Technická linka                             8                                                       Lineárna</w:t>
            </w:r>
          </w:p>
          <w:p w:rsidR="00837747" w:rsidRDefault="00837747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  <w:p w:rsidR="00837747" w:rsidRDefault="00837747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Dopravné prostriedky                 4 ,  6                                                 Lineárna, </w:t>
            </w:r>
            <w:proofErr w:type="spellStart"/>
            <w:r>
              <w:rPr>
                <w:rFonts w:ascii="Calibri" w:hAnsi="Calibri" w:cs="Calibri"/>
                <w:color w:val="000000"/>
              </w:rPr>
              <w:t>pdľa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daň.odpisov</w:t>
            </w:r>
            <w:proofErr w:type="spellEnd"/>
          </w:p>
          <w:p w:rsidR="00837747" w:rsidRDefault="00837747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  <w:p w:rsidR="00837747" w:rsidRDefault="00837747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Inventár                                          12                                                    Lineárna, </w:t>
            </w:r>
            <w:proofErr w:type="spellStart"/>
            <w:r>
              <w:rPr>
                <w:rFonts w:ascii="Calibri" w:hAnsi="Calibri" w:cs="Calibri"/>
                <w:color w:val="000000"/>
              </w:rPr>
              <w:t>pdľa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</w:rPr>
              <w:t>daň.odpisov</w:t>
            </w:r>
            <w:proofErr w:type="spellEnd"/>
          </w:p>
          <w:p w:rsidR="00837747" w:rsidRDefault="00837747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  <w:p w:rsidR="00837747" w:rsidRDefault="00837747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Dlhod.hmotný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majetok do 1700 EUR</w:t>
            </w:r>
          </w:p>
          <w:p w:rsidR="00837747" w:rsidRDefault="00837747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Doba použitia viac ako 1 rok určený</w:t>
            </w:r>
          </w:p>
          <w:p w:rsidR="00837747" w:rsidRDefault="00837747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Na zariadenie bytov                     10                                                    Lineárna</w:t>
            </w:r>
          </w:p>
          <w:p w:rsidR="00837747" w:rsidRDefault="00837747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  <w:p w:rsidR="00837747" w:rsidRDefault="00837747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  <w:p w:rsidR="00E8429D" w:rsidRDefault="00837747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Doba odpisovania pre daňové odpisovani</w:t>
            </w:r>
            <w:r w:rsidR="0045212E">
              <w:rPr>
                <w:rFonts w:ascii="Calibri" w:hAnsi="Calibri" w:cs="Calibri"/>
                <w:color w:val="000000"/>
              </w:rPr>
              <w:t>a</w:t>
            </w:r>
            <w:r>
              <w:rPr>
                <w:rFonts w:ascii="Calibri" w:hAnsi="Calibri" w:cs="Calibri"/>
                <w:color w:val="000000"/>
              </w:rPr>
              <w:t xml:space="preserve"> závisí od zariadenia m</w:t>
            </w:r>
            <w:r w:rsidR="0045212E">
              <w:rPr>
                <w:rFonts w:ascii="Calibri" w:hAnsi="Calibri" w:cs="Calibri"/>
                <w:color w:val="000000"/>
              </w:rPr>
              <w:t>a</w:t>
            </w:r>
            <w:r>
              <w:rPr>
                <w:rFonts w:ascii="Calibri" w:hAnsi="Calibri" w:cs="Calibri"/>
                <w:color w:val="000000"/>
              </w:rPr>
              <w:t>jetku</w:t>
            </w:r>
            <w:r w:rsidR="0045212E">
              <w:rPr>
                <w:rFonts w:ascii="Calibri" w:hAnsi="Calibri" w:cs="Calibri"/>
                <w:color w:val="000000"/>
              </w:rPr>
              <w:t xml:space="preserve"> do odpisových skupín podľa zákon o daniach z príjmov. Hmotné majetok do 1700 EUR a nehmotný majetok do 2400 EUR môže byť pre daňové účely odpisovaný</w:t>
            </w:r>
          </w:p>
          <w:p w:rsidR="00837747" w:rsidRPr="00837747" w:rsidRDefault="0045212E" w:rsidP="00E8429D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 v roku nadobudnutia v plnej výške.</w:t>
            </w:r>
            <w:r w:rsidR="00837747">
              <w:rPr>
                <w:rFonts w:ascii="Calibri" w:hAnsi="Calibri" w:cs="Calibri"/>
                <w:color w:val="000000"/>
              </w:rPr>
              <w:t xml:space="preserve">                  </w:t>
            </w:r>
          </w:p>
        </w:tc>
        <w:tc>
          <w:tcPr>
            <w:tcW w:w="103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032" w:type="dxa"/>
            <w:tcBorders>
              <w:top w:val="nil"/>
              <w:left w:val="nil"/>
              <w:bottom w:val="nil"/>
              <w:right w:val="nil"/>
            </w:tcBorders>
          </w:tcPr>
          <w:p w:rsidR="00D63065" w:rsidRDefault="00D6306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</w:p>
        </w:tc>
      </w:tr>
    </w:tbl>
    <w:p w:rsidR="00D63065" w:rsidRDefault="00837747">
      <w:r>
        <w:lastRenderedPageBreak/>
        <w:t xml:space="preserve"> </w:t>
      </w:r>
    </w:p>
    <w:sectPr w:rsidR="00D63065" w:rsidSect="006711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946DDA"/>
    <w:multiLevelType w:val="hybridMultilevel"/>
    <w:tmpl w:val="5122FB78"/>
    <w:lvl w:ilvl="0" w:tplc="CCFEB4A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3B30D88"/>
    <w:multiLevelType w:val="hybridMultilevel"/>
    <w:tmpl w:val="BC78F0BC"/>
    <w:lvl w:ilvl="0" w:tplc="7E609CF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63065"/>
    <w:rsid w:val="00115B63"/>
    <w:rsid w:val="00186917"/>
    <w:rsid w:val="002406AE"/>
    <w:rsid w:val="002638CA"/>
    <w:rsid w:val="00286C0A"/>
    <w:rsid w:val="0045212E"/>
    <w:rsid w:val="006711B9"/>
    <w:rsid w:val="006C1451"/>
    <w:rsid w:val="00732EA8"/>
    <w:rsid w:val="007D3236"/>
    <w:rsid w:val="00837747"/>
    <w:rsid w:val="008C6AE8"/>
    <w:rsid w:val="008D0C59"/>
    <w:rsid w:val="00905D20"/>
    <w:rsid w:val="00934A7A"/>
    <w:rsid w:val="00A343C7"/>
    <w:rsid w:val="00A3766D"/>
    <w:rsid w:val="00AF172F"/>
    <w:rsid w:val="00BD419B"/>
    <w:rsid w:val="00BD5FF2"/>
    <w:rsid w:val="00BF6260"/>
    <w:rsid w:val="00D63065"/>
    <w:rsid w:val="00E20D9D"/>
    <w:rsid w:val="00E8429D"/>
    <w:rsid w:val="00FD3B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711B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63065"/>
    <w:pPr>
      <w:ind w:left="720"/>
      <w:contextualSpacing/>
    </w:pPr>
  </w:style>
  <w:style w:type="paragraph" w:styleId="Bezriadkovania">
    <w:name w:val="No Spacing"/>
    <w:uiPriority w:val="1"/>
    <w:qFormat/>
    <w:rsid w:val="00286C0A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8334D21-A3BF-4162-ADEA-9AC801F1AA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592</Words>
  <Characters>3376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3961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economy</dc:creator>
  <cp:lastModifiedBy>economy</cp:lastModifiedBy>
  <cp:revision>3</cp:revision>
  <cp:lastPrinted>2019-05-29T10:16:00Z</cp:lastPrinted>
  <dcterms:created xsi:type="dcterms:W3CDTF">2020-03-23T09:02:00Z</dcterms:created>
  <dcterms:modified xsi:type="dcterms:W3CDTF">2020-03-23T09:12:00Z</dcterms:modified>
</cp:coreProperties>
</file>