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968"/>
      </w:tblGrid>
      <w:tr w:rsidR="009D5242" w:rsidRPr="009D5242">
        <w:trPr>
          <w:trHeight w:val="2880"/>
          <w:jc w:val="center"/>
        </w:trPr>
        <w:tc>
          <w:tcPr>
            <w:tcW w:w="5000" w:type="pct"/>
          </w:tcPr>
          <w:p w:rsidR="00BC04F5" w:rsidRPr="009D5242" w:rsidRDefault="00BC04F5" w:rsidP="007208B3">
            <w:pPr>
              <w:pStyle w:val="Bezriadkovania"/>
              <w:rPr>
                <w:rFonts w:ascii="Cambria" w:hAnsi="Cambria"/>
                <w:caps/>
              </w:rPr>
            </w:pPr>
          </w:p>
        </w:tc>
      </w:tr>
      <w:tr w:rsidR="009D5242" w:rsidRPr="007C7BFA" w:rsidTr="00BC04F5">
        <w:trPr>
          <w:trHeight w:val="1440"/>
          <w:jc w:val="center"/>
        </w:trPr>
        <w:tc>
          <w:tcPr>
            <w:tcW w:w="5000" w:type="pct"/>
            <w:tcBorders>
              <w:bottom w:val="single" w:sz="4" w:space="0" w:color="4F81BD"/>
            </w:tcBorders>
            <w:vAlign w:val="center"/>
          </w:tcPr>
          <w:p w:rsidR="00BC04F5" w:rsidRPr="007C7BFA" w:rsidRDefault="00BC04F5" w:rsidP="003D1AB3">
            <w:pPr>
              <w:pStyle w:val="Bezriadkovania"/>
              <w:jc w:val="center"/>
              <w:rPr>
                <w:rFonts w:cs="Calibri"/>
                <w:sz w:val="80"/>
                <w:szCs w:val="80"/>
              </w:rPr>
            </w:pPr>
            <w:r w:rsidRPr="007C7BFA">
              <w:rPr>
                <w:rFonts w:cs="Calibri"/>
                <w:sz w:val="80"/>
                <w:szCs w:val="80"/>
              </w:rPr>
              <w:t>Výročná správa 201</w:t>
            </w:r>
            <w:r w:rsidR="00F148C2" w:rsidRPr="007C7BFA">
              <w:rPr>
                <w:rFonts w:cs="Calibri"/>
                <w:sz w:val="80"/>
                <w:szCs w:val="80"/>
              </w:rPr>
              <w:t>9</w:t>
            </w:r>
          </w:p>
        </w:tc>
      </w:tr>
      <w:tr w:rsidR="009D5242" w:rsidRPr="007C7BFA" w:rsidTr="00BC04F5">
        <w:trPr>
          <w:trHeight w:val="720"/>
          <w:jc w:val="center"/>
        </w:trPr>
        <w:tc>
          <w:tcPr>
            <w:tcW w:w="5000" w:type="pct"/>
            <w:tcBorders>
              <w:top w:val="single" w:sz="4" w:space="0" w:color="4F81BD"/>
            </w:tcBorders>
            <w:vAlign w:val="center"/>
          </w:tcPr>
          <w:p w:rsidR="00BC04F5" w:rsidRPr="007C7BFA" w:rsidRDefault="007C7BFA" w:rsidP="00BC04F5">
            <w:pPr>
              <w:pStyle w:val="Bezriadkovania"/>
              <w:jc w:val="center"/>
              <w:rPr>
                <w:rFonts w:cs="Calibri"/>
                <w:sz w:val="44"/>
                <w:szCs w:val="44"/>
              </w:rPr>
            </w:pPr>
            <w:r w:rsidRPr="007C7BFA">
              <w:rPr>
                <w:rFonts w:cs="Calibri"/>
                <w:sz w:val="44"/>
                <w:szCs w:val="44"/>
              </w:rPr>
              <w:t>Bio G, spol.s r.o.</w:t>
            </w:r>
          </w:p>
        </w:tc>
      </w:tr>
      <w:tr w:rsidR="009D5242" w:rsidRPr="007C7BFA">
        <w:trPr>
          <w:trHeight w:val="360"/>
          <w:jc w:val="center"/>
        </w:trPr>
        <w:tc>
          <w:tcPr>
            <w:tcW w:w="5000" w:type="pct"/>
            <w:vAlign w:val="center"/>
          </w:tcPr>
          <w:p w:rsidR="00BC04F5" w:rsidRPr="007C7BFA" w:rsidRDefault="00BC04F5">
            <w:pPr>
              <w:pStyle w:val="Bezriadkovania"/>
              <w:jc w:val="center"/>
              <w:rPr>
                <w:rFonts w:cs="Calibri"/>
              </w:rPr>
            </w:pPr>
          </w:p>
        </w:tc>
      </w:tr>
      <w:tr w:rsidR="009D5242" w:rsidRPr="007C7BFA">
        <w:trPr>
          <w:trHeight w:val="360"/>
          <w:jc w:val="center"/>
        </w:trPr>
        <w:tc>
          <w:tcPr>
            <w:tcW w:w="5000" w:type="pct"/>
            <w:vAlign w:val="center"/>
          </w:tcPr>
          <w:p w:rsidR="00BC04F5" w:rsidRPr="007C7BFA" w:rsidRDefault="00BC04F5">
            <w:pPr>
              <w:pStyle w:val="Bezriadkovania"/>
              <w:jc w:val="center"/>
              <w:rPr>
                <w:rFonts w:cs="Calibri"/>
                <w:b/>
                <w:bCs/>
              </w:rPr>
            </w:pPr>
          </w:p>
        </w:tc>
      </w:tr>
      <w:tr w:rsidR="00BC04F5" w:rsidRPr="009D5242">
        <w:trPr>
          <w:trHeight w:val="360"/>
          <w:jc w:val="center"/>
        </w:trPr>
        <w:tc>
          <w:tcPr>
            <w:tcW w:w="5000" w:type="pct"/>
            <w:vAlign w:val="center"/>
          </w:tcPr>
          <w:p w:rsidR="00BC04F5" w:rsidRPr="009D5242" w:rsidRDefault="00BC04F5">
            <w:pPr>
              <w:pStyle w:val="Bezriadkovania"/>
              <w:jc w:val="center"/>
              <w:rPr>
                <w:b/>
                <w:bCs/>
              </w:rPr>
            </w:pPr>
          </w:p>
        </w:tc>
      </w:tr>
    </w:tbl>
    <w:p w:rsidR="00BC04F5" w:rsidRPr="009D5242" w:rsidRDefault="00BC04F5"/>
    <w:p w:rsidR="00BC04F5" w:rsidRPr="009D5242" w:rsidRDefault="00BC04F5"/>
    <w:tbl>
      <w:tblPr>
        <w:tblpPr w:leftFromText="187" w:rightFromText="187" w:horzAnchor="margin" w:tblpXSpec="center" w:tblpYSpec="bottom"/>
        <w:tblW w:w="5000" w:type="pct"/>
        <w:tblLook w:val="04A0" w:firstRow="1" w:lastRow="0" w:firstColumn="1" w:lastColumn="0" w:noHBand="0" w:noVBand="1"/>
      </w:tblPr>
      <w:tblGrid>
        <w:gridCol w:w="9968"/>
      </w:tblGrid>
      <w:tr w:rsidR="009D5242" w:rsidRPr="009D5242">
        <w:tc>
          <w:tcPr>
            <w:tcW w:w="5000" w:type="pct"/>
          </w:tcPr>
          <w:p w:rsidR="00BC04F5" w:rsidRPr="007C7BFA" w:rsidRDefault="00BC04F5" w:rsidP="007C7BFA">
            <w:pPr>
              <w:pStyle w:val="Bezriadkovania"/>
              <w:jc w:val="center"/>
              <w:rPr>
                <w:rFonts w:asciiTheme="minorHAnsi" w:hAnsiTheme="minorHAnsi" w:cstheme="minorHAnsi"/>
              </w:rPr>
            </w:pPr>
            <w:r w:rsidRPr="007C7BFA">
              <w:rPr>
                <w:rFonts w:asciiTheme="minorHAnsi" w:hAnsiTheme="minorHAnsi" w:cstheme="minorHAnsi"/>
              </w:rPr>
              <w:t>Výročná správa vyhotovená podľa § 20 zákona č.431/2002 Z.z. o účtovníctve</w:t>
            </w:r>
          </w:p>
          <w:p w:rsidR="00BC04F5" w:rsidRDefault="00BC04F5" w:rsidP="007C7BFA">
            <w:pPr>
              <w:pStyle w:val="Bezriadkovania"/>
              <w:jc w:val="center"/>
              <w:rPr>
                <w:rFonts w:asciiTheme="minorHAnsi" w:hAnsiTheme="minorHAnsi" w:cstheme="minorHAnsi"/>
              </w:rPr>
            </w:pPr>
            <w:r w:rsidRPr="007C7BFA">
              <w:rPr>
                <w:rFonts w:asciiTheme="minorHAnsi" w:hAnsiTheme="minorHAnsi" w:cstheme="minorHAnsi"/>
              </w:rPr>
              <w:t>v znení neskorších predpisov</w:t>
            </w:r>
            <w:r w:rsidR="007C7BFA">
              <w:rPr>
                <w:rFonts w:asciiTheme="minorHAnsi" w:hAnsiTheme="minorHAnsi" w:cstheme="minorHAnsi"/>
              </w:rPr>
              <w:t xml:space="preserve">                                                                        </w:t>
            </w: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Pr="009D5242" w:rsidRDefault="007C7BFA" w:rsidP="007C7BFA">
            <w:pPr>
              <w:pStyle w:val="Bezriadkovania"/>
              <w:jc w:val="center"/>
            </w:pPr>
          </w:p>
        </w:tc>
      </w:tr>
    </w:tbl>
    <w:p w:rsidR="00BC04F5" w:rsidRPr="009D5242" w:rsidRDefault="00BC04F5"/>
    <w:p w:rsidR="00575342" w:rsidRPr="009D5242" w:rsidRDefault="00BC04F5" w:rsidP="00575342">
      <w:pPr>
        <w:jc w:val="both"/>
        <w:rPr>
          <w:b/>
          <w:sz w:val="40"/>
          <w:szCs w:val="40"/>
        </w:rPr>
      </w:pPr>
      <w:r w:rsidRPr="009D5242">
        <w:rPr>
          <w:b/>
          <w:sz w:val="40"/>
          <w:szCs w:val="40"/>
        </w:rPr>
        <w:br w:type="page"/>
      </w: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575342" w:rsidRDefault="00575342" w:rsidP="00096BC7">
      <w:pPr>
        <w:spacing w:after="120"/>
        <w:ind w:left="0" w:firstLine="0"/>
        <w:jc w:val="both"/>
        <w:rPr>
          <w:rFonts w:ascii="Verdana" w:hAnsi="Verdana"/>
          <w:b/>
          <w:sz w:val="28"/>
          <w:szCs w:val="28"/>
        </w:rPr>
      </w:pPr>
      <w:r w:rsidRPr="007C7BFA">
        <w:rPr>
          <w:rFonts w:ascii="Verdana" w:hAnsi="Verdana"/>
          <w:b/>
          <w:sz w:val="28"/>
          <w:szCs w:val="28"/>
        </w:rPr>
        <w:t>Legislatívny rámec</w:t>
      </w:r>
      <w:r w:rsidR="00096BC7" w:rsidRPr="007C7BFA">
        <w:rPr>
          <w:rFonts w:ascii="Verdana" w:hAnsi="Verdana"/>
          <w:b/>
          <w:sz w:val="28"/>
          <w:szCs w:val="28"/>
        </w:rPr>
        <w:t xml:space="preserve"> pre výročnú správu</w:t>
      </w:r>
    </w:p>
    <w:p w:rsidR="007208B3" w:rsidRPr="007C7BFA" w:rsidRDefault="007208B3" w:rsidP="00096BC7">
      <w:pPr>
        <w:spacing w:after="120"/>
        <w:ind w:left="0" w:firstLine="0"/>
        <w:jc w:val="both"/>
        <w:rPr>
          <w:rFonts w:ascii="Verdana" w:hAnsi="Verdana"/>
          <w:b/>
          <w:sz w:val="28"/>
          <w:szCs w:val="28"/>
        </w:rPr>
      </w:pPr>
    </w:p>
    <w:p w:rsidR="00096BC7" w:rsidRPr="00AC16B6" w:rsidRDefault="00575342" w:rsidP="00096BC7">
      <w:pPr>
        <w:spacing w:after="120"/>
        <w:ind w:left="0" w:firstLine="0"/>
        <w:jc w:val="both"/>
        <w:rPr>
          <w:rFonts w:ascii="Verdana" w:hAnsi="Verdana"/>
        </w:rPr>
      </w:pPr>
      <w:r w:rsidRPr="00AC16B6">
        <w:rPr>
          <w:rFonts w:ascii="Verdana" w:hAnsi="Verdana"/>
        </w:rPr>
        <w:t xml:space="preserve">Spoločnosť má povinnosť auditu podľa § 19 zákona č.431/2002 Z.z. o účtovníctve </w:t>
      </w:r>
      <w:r w:rsidR="00096BC7" w:rsidRPr="00AC16B6">
        <w:rPr>
          <w:rFonts w:ascii="Verdana" w:hAnsi="Verdana"/>
        </w:rPr>
        <w:t xml:space="preserve">v znení neskorších predpisov </w:t>
      </w:r>
      <w:r w:rsidRPr="00AC16B6">
        <w:rPr>
          <w:rFonts w:ascii="Verdana" w:hAnsi="Verdana"/>
        </w:rPr>
        <w:t xml:space="preserve">a preto má aj povinnosť vyhotoviť výročnú správu podľa § 20 zákona o účtovníctve. </w:t>
      </w:r>
    </w:p>
    <w:p w:rsidR="00575342" w:rsidRPr="00AC16B6" w:rsidRDefault="00575342" w:rsidP="0093467A">
      <w:pPr>
        <w:ind w:left="0" w:firstLine="0"/>
        <w:jc w:val="both"/>
        <w:rPr>
          <w:rFonts w:ascii="Verdana" w:hAnsi="Verdana"/>
        </w:rPr>
      </w:pPr>
      <w:r w:rsidRPr="00AC16B6">
        <w:rPr>
          <w:rFonts w:ascii="Verdana" w:hAnsi="Verdana"/>
        </w:rPr>
        <w:t>Táto výročná správa podlieha tiež overeniu audítorom</w:t>
      </w:r>
      <w:r w:rsidR="003F3425" w:rsidRPr="00AC16B6">
        <w:rPr>
          <w:rFonts w:ascii="Verdana" w:hAnsi="Verdana"/>
        </w:rPr>
        <w:t xml:space="preserve"> do jedného roka od skončenia účtovného obdobia. </w:t>
      </w:r>
      <w:r w:rsidR="00096BC7" w:rsidRPr="00AC16B6">
        <w:rPr>
          <w:rFonts w:ascii="Verdana" w:hAnsi="Verdana"/>
        </w:rPr>
        <w:t>Táto v</w:t>
      </w:r>
      <w:r w:rsidRPr="00AC16B6">
        <w:rPr>
          <w:rFonts w:ascii="Verdana" w:hAnsi="Verdana"/>
        </w:rPr>
        <w:t>ýročná správa bude elektronicky uložená do</w:t>
      </w:r>
      <w:r w:rsidR="00096BC7" w:rsidRPr="00AC16B6">
        <w:rPr>
          <w:rFonts w:ascii="Verdana" w:hAnsi="Verdana"/>
        </w:rPr>
        <w:t xml:space="preserve"> registra účtovných závierok a jeho cestou aj do </w:t>
      </w:r>
      <w:r w:rsidR="004E53F9" w:rsidRPr="00AC16B6">
        <w:rPr>
          <w:rFonts w:ascii="Verdana" w:hAnsi="Verdana"/>
        </w:rPr>
        <w:t xml:space="preserve">zbierky listín </w:t>
      </w:r>
      <w:r w:rsidR="00096BC7" w:rsidRPr="00AC16B6">
        <w:rPr>
          <w:rFonts w:ascii="Verdana" w:hAnsi="Verdana"/>
        </w:rPr>
        <w:t>obchodného registra tak, ako to ustanovuje § 23 ods. 2 a § 23b ods. 4 zákona o účtovníctve.</w:t>
      </w:r>
    </w:p>
    <w:p w:rsidR="007208B3" w:rsidRDefault="007208B3" w:rsidP="00D61BAC">
      <w:pPr>
        <w:spacing w:after="120"/>
        <w:ind w:left="0" w:firstLine="0"/>
        <w:jc w:val="both"/>
        <w:rPr>
          <w:rFonts w:ascii="Verdana" w:hAnsi="Verdana"/>
        </w:rPr>
      </w:pPr>
      <w:r>
        <w:rPr>
          <w:rFonts w:ascii="Verdana" w:hAnsi="Verdana"/>
        </w:rPr>
        <w:br w:type="page"/>
      </w:r>
    </w:p>
    <w:p w:rsidR="00CD6F01" w:rsidRPr="007C7BFA" w:rsidRDefault="0093467A" w:rsidP="00D61BAC">
      <w:pPr>
        <w:spacing w:after="120"/>
        <w:ind w:left="0" w:firstLine="0"/>
        <w:jc w:val="both"/>
        <w:rPr>
          <w:rFonts w:ascii="Verdana" w:hAnsi="Verdana"/>
          <w:b/>
          <w:sz w:val="28"/>
          <w:szCs w:val="28"/>
        </w:rPr>
      </w:pPr>
      <w:r w:rsidRPr="007C7BFA">
        <w:rPr>
          <w:rFonts w:ascii="Verdana" w:hAnsi="Verdana"/>
          <w:b/>
          <w:sz w:val="28"/>
          <w:szCs w:val="28"/>
        </w:rPr>
        <w:lastRenderedPageBreak/>
        <w:t>Obsah</w:t>
      </w:r>
      <w:r w:rsidR="00096BC7" w:rsidRPr="007C7BFA">
        <w:rPr>
          <w:rFonts w:ascii="Verdana" w:hAnsi="Verdana"/>
          <w:b/>
          <w:sz w:val="28"/>
          <w:szCs w:val="28"/>
        </w:rPr>
        <w:t xml:space="preserve"> výročnej správy</w:t>
      </w:r>
      <w:r w:rsidRPr="007C7BFA">
        <w:rPr>
          <w:rFonts w:ascii="Verdana" w:hAnsi="Verdana"/>
          <w:b/>
          <w:sz w:val="28"/>
          <w:szCs w:val="28"/>
        </w:rPr>
        <w:t>:</w:t>
      </w:r>
    </w:p>
    <w:sdt>
      <w:sdtPr>
        <w:rPr>
          <w:rFonts w:ascii="Calibri" w:eastAsia="Calibri" w:hAnsi="Calibri" w:cs="Times New Roman"/>
          <w:b w:val="0"/>
          <w:bCs w:val="0"/>
          <w:color w:val="auto"/>
          <w:sz w:val="22"/>
          <w:szCs w:val="22"/>
          <w:lang w:eastAsia="en-US"/>
        </w:rPr>
        <w:id w:val="-532109266"/>
        <w:docPartObj>
          <w:docPartGallery w:val="Table of Contents"/>
          <w:docPartUnique/>
        </w:docPartObj>
      </w:sdtPr>
      <w:sdtEndPr/>
      <w:sdtContent>
        <w:p w:rsidR="00DA68B2" w:rsidRDefault="00DA68B2">
          <w:pPr>
            <w:pStyle w:val="Hlavikaobsahu"/>
          </w:pPr>
        </w:p>
        <w:p w:rsidR="00DA68B2" w:rsidRPr="00EA0FE7" w:rsidRDefault="00DA68B2" w:rsidP="00EA0FE7">
          <w:pPr>
            <w:pStyle w:val="Obsah1"/>
          </w:pPr>
          <w:r w:rsidRPr="00EA0FE7">
            <w:t xml:space="preserve">1.Identifikačné údaje </w:t>
          </w:r>
          <w:r w:rsidRPr="00EA0FE7">
            <w:ptab w:relativeTo="margin" w:alignment="right" w:leader="dot"/>
          </w:r>
          <w:r w:rsidR="00EA0FE7">
            <w:rPr>
              <w:bCs/>
            </w:rPr>
            <w:t>4</w:t>
          </w:r>
        </w:p>
        <w:p w:rsidR="00DA68B2" w:rsidRPr="00EA0FE7" w:rsidRDefault="00DA68B2">
          <w:pPr>
            <w:pStyle w:val="Obsah2"/>
            <w:ind w:left="216"/>
            <w:rPr>
              <w:rFonts w:ascii="Verdana" w:hAnsi="Verdana"/>
            </w:rPr>
          </w:pPr>
          <w:r w:rsidRPr="00EA0FE7">
            <w:rPr>
              <w:rFonts w:ascii="Verdana" w:hAnsi="Verdana"/>
            </w:rPr>
            <w:t>1.1. Identifikačné údaje – základné informácie</w:t>
          </w:r>
          <w:r w:rsidRPr="00EA0FE7">
            <w:rPr>
              <w:rFonts w:ascii="Verdana" w:hAnsi="Verdana"/>
            </w:rPr>
            <w:ptab w:relativeTo="margin" w:alignment="right" w:leader="dot"/>
          </w:r>
          <w:r w:rsidR="00EA0FE7">
            <w:rPr>
              <w:rFonts w:ascii="Verdana" w:hAnsi="Verdana"/>
            </w:rPr>
            <w:t>4</w:t>
          </w:r>
        </w:p>
        <w:p w:rsidR="00DA68B2" w:rsidRPr="00EA0FE7" w:rsidRDefault="00DA68B2" w:rsidP="00EA0FE7">
          <w:pPr>
            <w:pStyle w:val="Obsah3"/>
            <w:rPr>
              <w:rFonts w:ascii="Verdana" w:hAnsi="Verdana"/>
            </w:rPr>
          </w:pPr>
          <w:r w:rsidRPr="00EA0FE7">
            <w:rPr>
              <w:rFonts w:ascii="Verdana" w:hAnsi="Verdana"/>
            </w:rPr>
            <w:t xml:space="preserve">1.2. Identifikačné údaje- doplňujúce informácie </w:t>
          </w:r>
          <w:r w:rsidRPr="00EA0FE7">
            <w:rPr>
              <w:rFonts w:ascii="Verdana" w:hAnsi="Verdana"/>
            </w:rPr>
            <w:ptab w:relativeTo="margin" w:alignment="right" w:leader="dot"/>
          </w:r>
          <w:r w:rsidR="00EA0FE7">
            <w:rPr>
              <w:rFonts w:ascii="Verdana" w:hAnsi="Verdana"/>
            </w:rPr>
            <w:t>4</w:t>
          </w:r>
        </w:p>
        <w:p w:rsidR="00DA68B2" w:rsidRPr="00EA0FE7" w:rsidRDefault="00DA68B2" w:rsidP="00EA0FE7">
          <w:pPr>
            <w:pStyle w:val="Obsah1"/>
          </w:pPr>
          <w:r w:rsidRPr="00EA0FE7">
            <w:t xml:space="preserve">2. Povinné informácie </w:t>
          </w:r>
          <w:r w:rsidRPr="00EA0FE7">
            <w:ptab w:relativeTo="margin" w:alignment="right" w:leader="dot"/>
          </w:r>
          <w:r w:rsidRPr="00EA0FE7">
            <w:rPr>
              <w:bCs/>
            </w:rPr>
            <w:t>4</w:t>
          </w:r>
        </w:p>
        <w:p w:rsidR="00DA68B2" w:rsidRPr="00EA0FE7" w:rsidRDefault="005776E2">
          <w:pPr>
            <w:pStyle w:val="Obsah2"/>
            <w:ind w:left="216"/>
            <w:rPr>
              <w:rFonts w:ascii="Verdana" w:hAnsi="Verdana"/>
            </w:rPr>
          </w:pPr>
          <w:r w:rsidRPr="00EA0FE7">
            <w:rPr>
              <w:rFonts w:ascii="Verdana" w:hAnsi="Verdana"/>
            </w:rPr>
            <w:t>2.1. Informácie o vývoji účtovnej jednotky</w:t>
          </w:r>
          <w:r w:rsidR="00DA68B2" w:rsidRPr="00EA0FE7">
            <w:rPr>
              <w:rFonts w:ascii="Verdana" w:hAnsi="Verdana"/>
            </w:rPr>
            <w:ptab w:relativeTo="margin" w:alignment="right" w:leader="dot"/>
          </w:r>
          <w:r w:rsidR="00EA0FE7">
            <w:rPr>
              <w:rFonts w:ascii="Verdana" w:hAnsi="Verdana"/>
            </w:rPr>
            <w:t>4</w:t>
          </w:r>
        </w:p>
        <w:p w:rsidR="00DA68B2" w:rsidRPr="00EA0FE7" w:rsidRDefault="005776E2" w:rsidP="00EA0FE7">
          <w:pPr>
            <w:pStyle w:val="Obsah3"/>
            <w:rPr>
              <w:rFonts w:ascii="Verdana" w:hAnsi="Verdana"/>
            </w:rPr>
          </w:pPr>
          <w:r w:rsidRPr="00EA0FE7">
            <w:rPr>
              <w:rFonts w:ascii="Verdana" w:hAnsi="Verdana"/>
            </w:rPr>
            <w:t xml:space="preserve">2.1.1. Komentár k súvahe – aktíva </w:t>
          </w:r>
          <w:r w:rsidR="00DA68B2" w:rsidRPr="00EA0FE7">
            <w:rPr>
              <w:rFonts w:ascii="Verdana" w:hAnsi="Verdana"/>
            </w:rPr>
            <w:ptab w:relativeTo="margin" w:alignment="right" w:leader="dot"/>
          </w:r>
          <w:r w:rsidR="00DA68B2" w:rsidRPr="00EA0FE7">
            <w:rPr>
              <w:rFonts w:ascii="Verdana" w:hAnsi="Verdana"/>
            </w:rPr>
            <w:t>6</w:t>
          </w:r>
        </w:p>
        <w:p w:rsidR="005776E2" w:rsidRPr="00EA0FE7" w:rsidRDefault="005776E2" w:rsidP="00EA0FE7">
          <w:pPr>
            <w:pStyle w:val="Obsah3"/>
            <w:rPr>
              <w:rFonts w:ascii="Verdana" w:hAnsi="Verdana"/>
            </w:rPr>
          </w:pPr>
          <w:r w:rsidRPr="00EA0FE7">
            <w:rPr>
              <w:rFonts w:ascii="Verdana" w:hAnsi="Verdana"/>
            </w:rPr>
            <w:t xml:space="preserve">2.1.2. Komentár k súvahe – pasíva </w:t>
          </w:r>
          <w:r w:rsidRPr="00EA0FE7">
            <w:rPr>
              <w:rFonts w:ascii="Verdana" w:hAnsi="Verdana"/>
            </w:rPr>
            <w:ptab w:relativeTo="margin" w:alignment="right" w:leader="dot"/>
          </w:r>
          <w:r w:rsidRPr="00EA0FE7">
            <w:rPr>
              <w:rFonts w:ascii="Verdana" w:hAnsi="Verdana"/>
            </w:rPr>
            <w:t>6</w:t>
          </w:r>
        </w:p>
        <w:p w:rsidR="005776E2" w:rsidRPr="00EA0FE7" w:rsidRDefault="005776E2" w:rsidP="00EA0FE7">
          <w:pPr>
            <w:pStyle w:val="Obsah3"/>
            <w:rPr>
              <w:rFonts w:ascii="Verdana" w:hAnsi="Verdana"/>
            </w:rPr>
          </w:pPr>
          <w:r w:rsidRPr="00EA0FE7">
            <w:rPr>
              <w:rFonts w:ascii="Verdana" w:hAnsi="Verdana"/>
            </w:rPr>
            <w:t xml:space="preserve">2.1.3. Komentár k výkazu ziskov a strát </w:t>
          </w:r>
          <w:r w:rsidRPr="00EA0FE7">
            <w:rPr>
              <w:rFonts w:ascii="Verdana" w:hAnsi="Verdana"/>
            </w:rPr>
            <w:ptab w:relativeTo="margin" w:alignment="right" w:leader="dot"/>
          </w:r>
          <w:r w:rsidR="00F0757C">
            <w:rPr>
              <w:rFonts w:ascii="Verdana" w:hAnsi="Verdana"/>
            </w:rPr>
            <w:t>7</w:t>
          </w:r>
        </w:p>
        <w:p w:rsidR="00AB47D9" w:rsidRPr="00EA0FE7" w:rsidRDefault="005776E2" w:rsidP="00EA0FE7">
          <w:pPr>
            <w:pStyle w:val="Obsah3"/>
            <w:rPr>
              <w:rFonts w:ascii="Verdana" w:hAnsi="Verdana"/>
            </w:rPr>
          </w:pPr>
          <w:r w:rsidRPr="00EA0FE7">
            <w:rPr>
              <w:rFonts w:ascii="Verdana" w:hAnsi="Verdana"/>
            </w:rPr>
            <w:t xml:space="preserve">2.2. Informácie o udalostiach osobitného významu, ktoré nastali po skončení účtovného obdobia </w:t>
          </w:r>
          <w:r w:rsidR="00AB47D9" w:rsidRPr="00EA0FE7">
            <w:rPr>
              <w:rFonts w:ascii="Verdana" w:hAnsi="Verdana"/>
            </w:rPr>
            <w:ptab w:relativeTo="margin" w:alignment="right" w:leader="dot"/>
          </w:r>
          <w:r w:rsidR="00F0757C">
            <w:rPr>
              <w:rFonts w:ascii="Verdana" w:hAnsi="Verdana"/>
            </w:rPr>
            <w:t>7</w:t>
          </w:r>
        </w:p>
        <w:p w:rsidR="005776E2" w:rsidRPr="00EA0FE7" w:rsidRDefault="005776E2" w:rsidP="00EA0FE7">
          <w:pPr>
            <w:pStyle w:val="Obsah3"/>
            <w:rPr>
              <w:rFonts w:ascii="Verdana" w:hAnsi="Verdana"/>
            </w:rPr>
          </w:pPr>
          <w:r w:rsidRPr="00EA0FE7">
            <w:rPr>
              <w:rFonts w:ascii="Verdana" w:hAnsi="Verdana"/>
            </w:rPr>
            <w:t xml:space="preserve">2.3. Informácie o predpokladanom budúcom vývoji účtovnej jednotky </w:t>
          </w:r>
          <w:r w:rsidRPr="00EA0FE7">
            <w:rPr>
              <w:rFonts w:ascii="Verdana" w:hAnsi="Verdana"/>
            </w:rPr>
            <w:ptab w:relativeTo="margin" w:alignment="right" w:leader="dot"/>
          </w:r>
          <w:r w:rsidR="00F0757C">
            <w:rPr>
              <w:rFonts w:ascii="Verdana" w:hAnsi="Verdana"/>
            </w:rPr>
            <w:t>7</w:t>
          </w:r>
        </w:p>
        <w:p w:rsidR="005776E2" w:rsidRPr="00EA0FE7" w:rsidRDefault="005776E2" w:rsidP="00EA0FE7">
          <w:pPr>
            <w:pStyle w:val="Obsah3"/>
            <w:rPr>
              <w:rFonts w:ascii="Verdana" w:hAnsi="Verdana"/>
            </w:rPr>
          </w:pPr>
          <w:r w:rsidRPr="00EA0FE7">
            <w:rPr>
              <w:rFonts w:ascii="Verdana" w:hAnsi="Verdana"/>
            </w:rPr>
            <w:t xml:space="preserve">2.4. Informácie o nákladoch na činnosť v oblasti výskumu a vývoja </w:t>
          </w:r>
          <w:r w:rsidRPr="00EA0FE7">
            <w:rPr>
              <w:rFonts w:ascii="Verdana" w:hAnsi="Verdana"/>
            </w:rPr>
            <w:ptab w:relativeTo="margin" w:alignment="right" w:leader="dot"/>
          </w:r>
          <w:r w:rsidR="00B50F04">
            <w:rPr>
              <w:rFonts w:ascii="Verdana" w:hAnsi="Verdana"/>
            </w:rPr>
            <w:t>7</w:t>
          </w:r>
        </w:p>
        <w:p w:rsidR="005776E2" w:rsidRPr="00EA0FE7" w:rsidRDefault="005776E2" w:rsidP="00EA0FE7">
          <w:pPr>
            <w:pStyle w:val="Obsah3"/>
            <w:rPr>
              <w:rFonts w:ascii="Verdana" w:hAnsi="Verdana"/>
            </w:rPr>
          </w:pPr>
          <w:r w:rsidRPr="00EA0FE7">
            <w:rPr>
              <w:rFonts w:ascii="Verdana" w:hAnsi="Verdana"/>
            </w:rPr>
            <w:t>2.5. Informácie o nadobúdaní vlastných akcií, dočasných listov, obchodných podielov a akcií, dočasných listov a obchodných podielov materskej účtovnej jednotky</w:t>
          </w:r>
          <w:r w:rsidR="00AB47D9" w:rsidRPr="00EA0FE7">
            <w:rPr>
              <w:rFonts w:ascii="Verdana" w:hAnsi="Verdana"/>
            </w:rPr>
            <w:ptab w:relativeTo="margin" w:alignment="right" w:leader="dot"/>
          </w:r>
          <w:r w:rsidR="00B50F04">
            <w:rPr>
              <w:rFonts w:ascii="Verdana" w:hAnsi="Verdana"/>
            </w:rPr>
            <w:t>8</w:t>
          </w:r>
          <w:r w:rsidRPr="00EA0FE7">
            <w:rPr>
              <w:rFonts w:ascii="Verdana" w:hAnsi="Verdana"/>
            </w:rPr>
            <w:t xml:space="preserve"> </w:t>
          </w:r>
        </w:p>
        <w:p w:rsidR="005776E2" w:rsidRPr="00EA0FE7" w:rsidRDefault="005776E2" w:rsidP="00EA0FE7">
          <w:pPr>
            <w:pStyle w:val="Obsah3"/>
            <w:rPr>
              <w:rFonts w:ascii="Verdana" w:hAnsi="Verdana"/>
            </w:rPr>
          </w:pPr>
          <w:r w:rsidRPr="00EA0FE7">
            <w:rPr>
              <w:rFonts w:ascii="Verdana" w:hAnsi="Verdana"/>
            </w:rPr>
            <w:t xml:space="preserve">2.6. Informácie o návrhu na rozdelenie zisku alebo vyrovnanie straty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5776E2">
          <w:pPr>
            <w:pStyle w:val="Obsah2"/>
            <w:ind w:left="216"/>
            <w:rPr>
              <w:rFonts w:ascii="Verdana" w:hAnsi="Verdana"/>
            </w:rPr>
          </w:pPr>
          <w:r w:rsidRPr="00EA0FE7">
            <w:rPr>
              <w:rFonts w:ascii="Verdana" w:hAnsi="Verdana"/>
            </w:rPr>
            <w:t xml:space="preserve">2.7. Informácie o údajoch požadovaných podľa osobitných predpisov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EA0FE7">
          <w:pPr>
            <w:pStyle w:val="Obsah3"/>
            <w:rPr>
              <w:rFonts w:ascii="Verdana" w:hAnsi="Verdana"/>
            </w:rPr>
          </w:pPr>
          <w:r w:rsidRPr="00EA0FE7">
            <w:rPr>
              <w:rFonts w:ascii="Verdana" w:hAnsi="Verdana"/>
            </w:rPr>
            <w:t>2.8. Informácie o tom, či účtovná jednotka má organizačnú zložku v zahraničí</w:t>
          </w:r>
          <w:r w:rsidR="00AB47D9" w:rsidRPr="00EA0FE7">
            <w:rPr>
              <w:rFonts w:ascii="Verdana" w:hAnsi="Verdana"/>
            </w:rPr>
            <w:ptab w:relativeTo="margin" w:alignment="right" w:leader="dot"/>
          </w:r>
          <w:r w:rsidR="00B50F04">
            <w:rPr>
              <w:rFonts w:ascii="Verdana" w:hAnsi="Verdana"/>
            </w:rPr>
            <w:t>8</w:t>
          </w:r>
          <w:r w:rsidRPr="00EA0FE7">
            <w:rPr>
              <w:rFonts w:ascii="Verdana" w:hAnsi="Verdana"/>
            </w:rPr>
            <w:t xml:space="preserve"> </w:t>
          </w:r>
        </w:p>
        <w:p w:rsidR="005776E2" w:rsidRPr="00EA0FE7" w:rsidRDefault="005776E2" w:rsidP="005776E2">
          <w:pPr>
            <w:pStyle w:val="Obsah2"/>
            <w:ind w:left="216"/>
            <w:rPr>
              <w:rFonts w:ascii="Verdana" w:hAnsi="Verdana"/>
            </w:rPr>
          </w:pPr>
          <w:r w:rsidRPr="00EA0FE7">
            <w:rPr>
              <w:rFonts w:ascii="Verdana" w:hAnsi="Verdana"/>
            </w:rPr>
            <w:t xml:space="preserve">2.9. Informácie o ročnej správe o platbách orgánom verejnej moci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EA0FE7">
          <w:pPr>
            <w:pStyle w:val="Obsah3"/>
            <w:rPr>
              <w:rFonts w:ascii="Verdana" w:hAnsi="Verdana"/>
            </w:rPr>
          </w:pPr>
          <w:r w:rsidRPr="00EA0FE7">
            <w:rPr>
              <w:rFonts w:ascii="Verdana" w:hAnsi="Verdana"/>
            </w:rPr>
            <w:t xml:space="preserve">2.10. Finančné nástroje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EA0FE7">
          <w:pPr>
            <w:spacing w:after="120"/>
            <w:ind w:left="0" w:firstLine="215"/>
            <w:jc w:val="both"/>
            <w:rPr>
              <w:rFonts w:ascii="Verdana" w:hAnsi="Verdana"/>
            </w:rPr>
          </w:pPr>
          <w:r w:rsidRPr="00EA0FE7">
            <w:rPr>
              <w:rFonts w:ascii="Verdana" w:hAnsi="Verdana"/>
            </w:rPr>
            <w:t>2.11. Cenné papiere obchodované na regulovanom trhu</w:t>
          </w:r>
          <w:r w:rsidR="00AB47D9" w:rsidRPr="00EA0FE7">
            <w:rPr>
              <w:rFonts w:ascii="Verdana" w:hAnsi="Verdana"/>
            </w:rPr>
            <w:ptab w:relativeTo="margin" w:alignment="right" w:leader="dot"/>
          </w:r>
          <w:r w:rsidR="00B50F04">
            <w:rPr>
              <w:rFonts w:ascii="Verdana" w:hAnsi="Verdana"/>
            </w:rPr>
            <w:t>8</w:t>
          </w:r>
        </w:p>
        <w:p w:rsidR="00AB47D9" w:rsidRPr="00EA0FE7" w:rsidRDefault="00AB47D9" w:rsidP="00EA0FE7">
          <w:pPr>
            <w:spacing w:after="120"/>
            <w:ind w:left="0" w:firstLine="215"/>
            <w:jc w:val="both"/>
            <w:rPr>
              <w:rFonts w:ascii="Verdana" w:hAnsi="Verdana"/>
            </w:rPr>
          </w:pPr>
          <w:r w:rsidRPr="00EA0FE7">
            <w:rPr>
              <w:rFonts w:ascii="Verdana" w:hAnsi="Verdana"/>
            </w:rPr>
            <w:t>2.12. Subjekt verejného záujmu</w:t>
          </w:r>
          <w:r w:rsidRPr="00EA0FE7">
            <w:rPr>
              <w:rFonts w:ascii="Verdana" w:hAnsi="Verdana"/>
            </w:rPr>
            <w:ptab w:relativeTo="margin" w:alignment="right" w:leader="dot"/>
          </w:r>
          <w:r w:rsidR="00B50F04">
            <w:rPr>
              <w:rFonts w:ascii="Verdana" w:hAnsi="Verdana"/>
            </w:rPr>
            <w:t>8</w:t>
          </w:r>
        </w:p>
        <w:p w:rsidR="00AB47D9" w:rsidRPr="00EA0FE7" w:rsidRDefault="00AB47D9" w:rsidP="00EA0FE7">
          <w:pPr>
            <w:pStyle w:val="Obsah1"/>
          </w:pPr>
          <w:r w:rsidRPr="00EA0FE7">
            <w:t xml:space="preserve">3. Ďalšie informácie </w:t>
          </w:r>
          <w:r w:rsidRPr="00EA0FE7">
            <w:ptab w:relativeTo="margin" w:alignment="right" w:leader="dot"/>
          </w:r>
          <w:r w:rsidR="00B50F04">
            <w:rPr>
              <w:bCs/>
            </w:rPr>
            <w:t>8</w:t>
          </w:r>
        </w:p>
        <w:p w:rsidR="00AB47D9" w:rsidRPr="00EA0FE7" w:rsidRDefault="00AB47D9" w:rsidP="00EA0FE7">
          <w:pPr>
            <w:pStyle w:val="Obsah3"/>
            <w:rPr>
              <w:rFonts w:ascii="Verdana" w:hAnsi="Verdana"/>
            </w:rPr>
          </w:pPr>
          <w:r w:rsidRPr="00EA0FE7">
            <w:rPr>
              <w:rFonts w:ascii="Verdana" w:hAnsi="Verdana"/>
            </w:rPr>
            <w:t xml:space="preserve">3.1. Sociálna politika </w:t>
          </w:r>
          <w:r w:rsidRPr="00EA0FE7">
            <w:rPr>
              <w:rFonts w:ascii="Verdana" w:hAnsi="Verdana"/>
            </w:rPr>
            <w:ptab w:relativeTo="margin" w:alignment="right" w:leader="dot"/>
          </w:r>
          <w:r w:rsidR="00B50F04">
            <w:rPr>
              <w:rFonts w:ascii="Verdana" w:hAnsi="Verdana"/>
            </w:rPr>
            <w:t>8</w:t>
          </w:r>
        </w:p>
        <w:p w:rsidR="00AB47D9" w:rsidRDefault="00AB47D9" w:rsidP="00EA0FE7">
          <w:pPr>
            <w:pStyle w:val="Obsah3"/>
            <w:rPr>
              <w:rFonts w:ascii="Verdana" w:hAnsi="Verdana"/>
            </w:rPr>
          </w:pPr>
          <w:r w:rsidRPr="00EA0FE7">
            <w:rPr>
              <w:rFonts w:ascii="Verdana" w:hAnsi="Verdana"/>
            </w:rPr>
            <w:t xml:space="preserve">3.2. Ľudské zdroje </w:t>
          </w:r>
          <w:r w:rsidRPr="00EA0FE7">
            <w:rPr>
              <w:rFonts w:ascii="Verdana" w:hAnsi="Verdana"/>
            </w:rPr>
            <w:ptab w:relativeTo="margin" w:alignment="right" w:leader="dot"/>
          </w:r>
          <w:r w:rsidR="00B50F04">
            <w:rPr>
              <w:rFonts w:ascii="Verdana" w:hAnsi="Verdana"/>
            </w:rPr>
            <w:t>8</w:t>
          </w:r>
        </w:p>
        <w:p w:rsidR="00B50F04" w:rsidRPr="00EA0FE7" w:rsidRDefault="00B50F04" w:rsidP="00B50F04">
          <w:pPr>
            <w:pStyle w:val="Obsah3"/>
            <w:rPr>
              <w:rFonts w:ascii="Verdana" w:hAnsi="Verdana"/>
            </w:rPr>
          </w:pPr>
          <w:r>
            <w:rPr>
              <w:rFonts w:ascii="Verdana" w:hAnsi="Verdana"/>
            </w:rPr>
            <w:t>3</w:t>
          </w:r>
          <w:r w:rsidRPr="00EA0FE7">
            <w:rPr>
              <w:rFonts w:ascii="Verdana" w:hAnsi="Verdana"/>
            </w:rPr>
            <w:t>.</w:t>
          </w:r>
          <w:r>
            <w:rPr>
              <w:rFonts w:ascii="Verdana" w:hAnsi="Verdana"/>
            </w:rPr>
            <w:t>2</w:t>
          </w:r>
          <w:r w:rsidRPr="00EA0FE7">
            <w:rPr>
              <w:rFonts w:ascii="Verdana" w:hAnsi="Verdana"/>
            </w:rPr>
            <w:t>.1</w:t>
          </w:r>
          <w:r>
            <w:rPr>
              <w:rFonts w:ascii="Verdana" w:hAnsi="Verdana"/>
            </w:rPr>
            <w:t>. Vzdelávanie zamestnancov</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3.3</w:t>
          </w:r>
          <w:r w:rsidRPr="00EA0FE7">
            <w:rPr>
              <w:rFonts w:ascii="Verdana" w:hAnsi="Verdana"/>
            </w:rPr>
            <w:t xml:space="preserve">. </w:t>
          </w:r>
          <w:r>
            <w:rPr>
              <w:rFonts w:ascii="Verdana" w:hAnsi="Verdana"/>
            </w:rPr>
            <w:t>ISO normy kvality</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3.4</w:t>
          </w:r>
          <w:r w:rsidRPr="00EA0FE7">
            <w:rPr>
              <w:rFonts w:ascii="Verdana" w:hAnsi="Verdana"/>
            </w:rPr>
            <w:t xml:space="preserve">. </w:t>
          </w:r>
          <w:r>
            <w:rPr>
              <w:rFonts w:ascii="Verdana" w:hAnsi="Verdana"/>
            </w:rPr>
            <w:t>Plnenie záväzkov voči štátu</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3.5</w:t>
          </w:r>
          <w:r w:rsidRPr="00EA0FE7">
            <w:rPr>
              <w:rFonts w:ascii="Verdana" w:hAnsi="Verdana"/>
            </w:rPr>
            <w:t xml:space="preserve">. </w:t>
          </w:r>
          <w:r>
            <w:rPr>
              <w:rFonts w:ascii="Verdana" w:hAnsi="Verdana"/>
            </w:rPr>
            <w:t>Spoločnosť v kríze</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3.6.Transferová dokumentácia</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AB47D9" w:rsidRPr="00EA0FE7" w:rsidRDefault="00AB47D9" w:rsidP="00EA0FE7">
          <w:pPr>
            <w:pStyle w:val="Obsah1"/>
          </w:pPr>
          <w:r w:rsidRPr="00EA0FE7">
            <w:t xml:space="preserve">4. Povinné prílohy </w:t>
          </w:r>
          <w:r w:rsidRPr="00EA0FE7">
            <w:ptab w:relativeTo="margin" w:alignment="right" w:leader="dot"/>
          </w:r>
          <w:r w:rsidR="00B50F04">
            <w:rPr>
              <w:bCs/>
            </w:rPr>
            <w:t>11</w:t>
          </w:r>
        </w:p>
        <w:p w:rsidR="00AB47D9" w:rsidRPr="00EA0FE7" w:rsidRDefault="00AB47D9" w:rsidP="00EA0FE7">
          <w:pPr>
            <w:spacing w:after="100"/>
            <w:ind w:left="0" w:firstLine="0"/>
            <w:jc w:val="both"/>
            <w:rPr>
              <w:rFonts w:ascii="Verdana" w:hAnsi="Verdana"/>
            </w:rPr>
          </w:pPr>
          <w:r w:rsidRPr="00EA0FE7">
            <w:rPr>
              <w:rFonts w:ascii="Verdana" w:hAnsi="Verdana"/>
              <w:b/>
            </w:rPr>
            <w:t>5. Finančno-ekonomická analýza spoločnosti</w:t>
          </w:r>
          <w:r w:rsidRPr="00EA0FE7">
            <w:rPr>
              <w:rFonts w:ascii="Verdana" w:hAnsi="Verdana"/>
              <w:b/>
            </w:rPr>
            <w:ptab w:relativeTo="margin" w:alignment="right" w:leader="dot"/>
          </w:r>
          <w:r w:rsidR="00B50F04">
            <w:rPr>
              <w:rFonts w:ascii="Verdana" w:hAnsi="Verdana"/>
              <w:b/>
              <w:bCs/>
            </w:rPr>
            <w:t>11</w:t>
          </w:r>
        </w:p>
        <w:p w:rsidR="00AB47D9" w:rsidRPr="00EA0FE7" w:rsidRDefault="00AB47D9" w:rsidP="00EA0FE7">
          <w:pPr>
            <w:pStyle w:val="Obsah3"/>
            <w:rPr>
              <w:rFonts w:ascii="Verdana" w:hAnsi="Verdana"/>
            </w:rPr>
          </w:pPr>
          <w:r w:rsidRPr="00EA0FE7">
            <w:rPr>
              <w:rFonts w:ascii="Verdana" w:hAnsi="Verdana"/>
            </w:rPr>
            <w:t xml:space="preserve">5.1. Produktivita práce </w:t>
          </w:r>
          <w:r w:rsidRPr="00EA0FE7">
            <w:rPr>
              <w:rFonts w:ascii="Verdana" w:hAnsi="Verdana"/>
            </w:rPr>
            <w:ptab w:relativeTo="margin" w:alignment="right" w:leader="dot"/>
          </w:r>
          <w:r w:rsidR="00B50F04">
            <w:rPr>
              <w:rFonts w:ascii="Verdana" w:hAnsi="Verdana"/>
            </w:rPr>
            <w:t>11</w:t>
          </w:r>
        </w:p>
        <w:p w:rsidR="00AB47D9" w:rsidRPr="00EA0FE7" w:rsidRDefault="00AB47D9" w:rsidP="00EA0FE7">
          <w:pPr>
            <w:pStyle w:val="Obsah3"/>
            <w:rPr>
              <w:rFonts w:ascii="Verdana" w:hAnsi="Verdana"/>
            </w:rPr>
          </w:pPr>
          <w:r w:rsidRPr="00EA0FE7">
            <w:rPr>
              <w:rFonts w:ascii="Verdana" w:hAnsi="Verdana"/>
            </w:rPr>
            <w:t>5.2. Ukazovatele zad</w:t>
          </w:r>
          <w:r w:rsidR="00B50F04">
            <w:rPr>
              <w:rFonts w:ascii="Verdana" w:hAnsi="Verdana"/>
            </w:rPr>
            <w:t>ĺ</w:t>
          </w:r>
          <w:r w:rsidRPr="00EA0FE7">
            <w:rPr>
              <w:rFonts w:ascii="Verdana" w:hAnsi="Verdana"/>
            </w:rPr>
            <w:t xml:space="preserve">ženosti </w:t>
          </w:r>
          <w:r w:rsidRPr="00EA0FE7">
            <w:rPr>
              <w:rFonts w:ascii="Verdana" w:hAnsi="Verdana"/>
            </w:rPr>
            <w:ptab w:relativeTo="margin" w:alignment="right" w:leader="dot"/>
          </w:r>
          <w:r w:rsidR="00B50F04">
            <w:rPr>
              <w:rFonts w:ascii="Verdana" w:hAnsi="Verdana"/>
            </w:rPr>
            <w:t>12</w:t>
          </w:r>
        </w:p>
        <w:p w:rsidR="00AB47D9" w:rsidRPr="00EA0FE7" w:rsidRDefault="00AB47D9" w:rsidP="00EA0FE7">
          <w:pPr>
            <w:pStyle w:val="Obsah3"/>
            <w:rPr>
              <w:rFonts w:ascii="Verdana" w:hAnsi="Verdana"/>
            </w:rPr>
          </w:pPr>
          <w:r w:rsidRPr="00EA0FE7">
            <w:rPr>
              <w:rFonts w:ascii="Verdana" w:hAnsi="Verdana"/>
            </w:rPr>
            <w:lastRenderedPageBreak/>
            <w:t xml:space="preserve">5.3. Ukazovatele likvidity </w:t>
          </w:r>
          <w:r w:rsidRPr="00EA0FE7">
            <w:rPr>
              <w:rFonts w:ascii="Verdana" w:hAnsi="Verdana"/>
            </w:rPr>
            <w:ptab w:relativeTo="margin" w:alignment="right" w:leader="dot"/>
          </w:r>
          <w:r w:rsidR="00B50F04">
            <w:rPr>
              <w:rFonts w:ascii="Verdana" w:hAnsi="Verdana"/>
            </w:rPr>
            <w:t>12</w:t>
          </w:r>
        </w:p>
        <w:p w:rsidR="00AB47D9" w:rsidRPr="00EA0FE7" w:rsidRDefault="00AB47D9" w:rsidP="00EA0FE7">
          <w:pPr>
            <w:pStyle w:val="Obsah3"/>
            <w:rPr>
              <w:rFonts w:ascii="Verdana" w:hAnsi="Verdana"/>
            </w:rPr>
          </w:pPr>
          <w:r w:rsidRPr="00EA0FE7">
            <w:rPr>
              <w:rFonts w:ascii="Verdana" w:hAnsi="Verdana"/>
            </w:rPr>
            <w:t xml:space="preserve">5.4. Ukazovatele aktivity </w:t>
          </w:r>
          <w:r w:rsidRPr="00EA0FE7">
            <w:rPr>
              <w:rFonts w:ascii="Verdana" w:hAnsi="Verdana"/>
            </w:rPr>
            <w:ptab w:relativeTo="margin" w:alignment="right" w:leader="dot"/>
          </w:r>
          <w:r w:rsidR="00B50F04">
            <w:rPr>
              <w:rFonts w:ascii="Verdana" w:hAnsi="Verdana"/>
            </w:rPr>
            <w:t>1</w:t>
          </w:r>
          <w:r w:rsidRPr="00EA0FE7">
            <w:rPr>
              <w:rFonts w:ascii="Verdana" w:hAnsi="Verdana"/>
            </w:rPr>
            <w:t>3</w:t>
          </w:r>
        </w:p>
        <w:p w:rsidR="00AB47D9" w:rsidRDefault="00AB47D9" w:rsidP="00EA0FE7">
          <w:pPr>
            <w:pStyle w:val="Obsah3"/>
          </w:pPr>
          <w:r w:rsidRPr="00EA0FE7">
            <w:rPr>
              <w:rFonts w:ascii="Verdana" w:hAnsi="Verdana"/>
            </w:rPr>
            <w:t>5.5. Ukazovatele rentability</w:t>
          </w:r>
          <w:r>
            <w:t xml:space="preserve"> </w:t>
          </w:r>
          <w:r>
            <w:ptab w:relativeTo="margin" w:alignment="right" w:leader="dot"/>
          </w:r>
          <w:r w:rsidR="00B50F04">
            <w:rPr>
              <w:rFonts w:ascii="Verdana" w:hAnsi="Verdana"/>
            </w:rPr>
            <w:t>14</w:t>
          </w:r>
        </w:p>
        <w:p w:rsidR="00AB47D9" w:rsidRPr="00EA0FE7" w:rsidRDefault="00AB47D9" w:rsidP="00EA0FE7">
          <w:pPr>
            <w:pStyle w:val="Obsah3"/>
            <w:rPr>
              <w:rFonts w:ascii="Verdana" w:hAnsi="Verdana"/>
            </w:rPr>
          </w:pPr>
          <w:r w:rsidRPr="00EA0FE7">
            <w:rPr>
              <w:rFonts w:ascii="Verdana" w:hAnsi="Verdana"/>
            </w:rPr>
            <w:t xml:space="preserve">5.6. Hlavní dodávatelia </w:t>
          </w:r>
          <w:r w:rsidRPr="00EA0FE7">
            <w:rPr>
              <w:rFonts w:ascii="Verdana" w:hAnsi="Verdana"/>
            </w:rPr>
            <w:ptab w:relativeTo="margin" w:alignment="right" w:leader="dot"/>
          </w:r>
          <w:r w:rsidR="00B50F04">
            <w:rPr>
              <w:rFonts w:ascii="Verdana" w:hAnsi="Verdana"/>
            </w:rPr>
            <w:t>15</w:t>
          </w:r>
        </w:p>
        <w:p w:rsidR="00AB47D9" w:rsidRPr="00EA0FE7" w:rsidRDefault="00AB47D9" w:rsidP="00EA0FE7">
          <w:pPr>
            <w:pStyle w:val="Obsah3"/>
            <w:rPr>
              <w:rFonts w:ascii="Verdana" w:hAnsi="Verdana"/>
            </w:rPr>
          </w:pPr>
          <w:r w:rsidRPr="00EA0FE7">
            <w:rPr>
              <w:rFonts w:ascii="Verdana" w:hAnsi="Verdana"/>
            </w:rPr>
            <w:t xml:space="preserve">5.7. Hlavní odberatelia </w:t>
          </w:r>
          <w:r w:rsidRPr="00EA0FE7">
            <w:rPr>
              <w:rFonts w:ascii="Verdana" w:hAnsi="Verdana"/>
            </w:rPr>
            <w:ptab w:relativeTo="margin" w:alignment="right" w:leader="dot"/>
          </w:r>
          <w:r w:rsidR="00B50F04">
            <w:rPr>
              <w:rFonts w:ascii="Verdana" w:hAnsi="Verdana"/>
            </w:rPr>
            <w:t>16</w:t>
          </w:r>
        </w:p>
        <w:p w:rsidR="00AB47D9" w:rsidRPr="00EA0FE7" w:rsidRDefault="00AB47D9" w:rsidP="00EA0FE7">
          <w:pPr>
            <w:pStyle w:val="Obsah3"/>
            <w:rPr>
              <w:rFonts w:ascii="Verdana" w:hAnsi="Verdana"/>
            </w:rPr>
          </w:pPr>
          <w:r w:rsidRPr="00EA0FE7">
            <w:rPr>
              <w:rFonts w:ascii="Verdana" w:hAnsi="Verdana"/>
            </w:rPr>
            <w:t xml:space="preserve">5.8. Prehľad predajných miest mimo sídla spoločnosti </w:t>
          </w:r>
          <w:r w:rsidRPr="00EA0FE7">
            <w:rPr>
              <w:rFonts w:ascii="Verdana" w:hAnsi="Verdana"/>
            </w:rPr>
            <w:ptab w:relativeTo="margin" w:alignment="right" w:leader="dot"/>
          </w:r>
          <w:r w:rsidR="00B50F04">
            <w:rPr>
              <w:rFonts w:ascii="Verdana" w:hAnsi="Verdana"/>
            </w:rPr>
            <w:t>16</w:t>
          </w:r>
        </w:p>
        <w:p w:rsidR="00AB47D9" w:rsidRPr="00EA0FE7" w:rsidRDefault="00AB47D9" w:rsidP="00AB47D9">
          <w:pPr>
            <w:ind w:left="0" w:firstLine="0"/>
            <w:jc w:val="both"/>
            <w:rPr>
              <w:rFonts w:ascii="Verdana" w:hAnsi="Verdana"/>
              <w:b/>
            </w:rPr>
          </w:pPr>
          <w:r w:rsidRPr="00EA0FE7">
            <w:rPr>
              <w:rFonts w:ascii="Verdana" w:hAnsi="Verdana"/>
              <w:b/>
            </w:rPr>
            <w:t>6. Zoznam akcionárov</w:t>
          </w:r>
          <w:r w:rsidRPr="00EA0FE7">
            <w:rPr>
              <w:rFonts w:ascii="Verdana" w:hAnsi="Verdana"/>
              <w:b/>
            </w:rPr>
            <w:ptab w:relativeTo="margin" w:alignment="right" w:leader="dot"/>
          </w:r>
          <w:r w:rsidR="00B50F04">
            <w:rPr>
              <w:rFonts w:ascii="Verdana" w:hAnsi="Verdana"/>
              <w:b/>
              <w:bCs/>
            </w:rPr>
            <w:t>16</w:t>
          </w:r>
        </w:p>
        <w:p w:rsidR="00AB47D9" w:rsidRPr="00AB47D9" w:rsidRDefault="00AB47D9" w:rsidP="00AB47D9">
          <w:pPr>
            <w:rPr>
              <w:lang w:eastAsia="sk-SK"/>
            </w:rPr>
          </w:pPr>
        </w:p>
        <w:p w:rsidR="00AB47D9" w:rsidRPr="00AB47D9" w:rsidRDefault="001642CC" w:rsidP="00AB47D9">
          <w:pPr>
            <w:rPr>
              <w:lang w:eastAsia="sk-SK"/>
            </w:rPr>
          </w:pPr>
        </w:p>
      </w:sdtContent>
    </w:sdt>
    <w:p w:rsidR="00EA0FE7" w:rsidRDefault="00EA0FE7" w:rsidP="0093467A">
      <w:pPr>
        <w:ind w:left="0" w:firstLine="0"/>
        <w:jc w:val="both"/>
        <w:rPr>
          <w:lang w:eastAsia="sk-SK"/>
        </w:rPr>
      </w:pPr>
      <w:r>
        <w:rPr>
          <w:lang w:eastAsia="sk-SK"/>
        </w:rPr>
        <w:br w:type="page"/>
      </w:r>
    </w:p>
    <w:p w:rsidR="00D61BAC" w:rsidRPr="007C7BFA" w:rsidRDefault="00D61BAC" w:rsidP="0093467A">
      <w:pPr>
        <w:ind w:left="0" w:firstLine="0"/>
        <w:jc w:val="both"/>
        <w:rPr>
          <w:rFonts w:ascii="Verdana" w:hAnsi="Verdana"/>
          <w:b/>
          <w:sz w:val="28"/>
          <w:szCs w:val="28"/>
        </w:rPr>
      </w:pPr>
    </w:p>
    <w:p w:rsidR="00931114" w:rsidRPr="00EA0FE7" w:rsidRDefault="00D61BAC" w:rsidP="00931114">
      <w:pPr>
        <w:pStyle w:val="Odsekzoznamu"/>
        <w:numPr>
          <w:ilvl w:val="0"/>
          <w:numId w:val="34"/>
        </w:numPr>
        <w:jc w:val="both"/>
        <w:rPr>
          <w:rFonts w:ascii="Verdana" w:hAnsi="Verdana"/>
          <w:b/>
          <w:sz w:val="24"/>
          <w:szCs w:val="24"/>
        </w:rPr>
      </w:pPr>
      <w:r w:rsidRPr="00EA0FE7">
        <w:rPr>
          <w:rFonts w:ascii="Verdana" w:hAnsi="Verdana"/>
          <w:b/>
          <w:sz w:val="24"/>
          <w:szCs w:val="24"/>
        </w:rPr>
        <w:t>Identifikačné údaje</w:t>
      </w:r>
      <w:r w:rsidR="00601822" w:rsidRPr="00EA0FE7">
        <w:rPr>
          <w:rFonts w:ascii="Verdana" w:hAnsi="Verdana"/>
          <w:b/>
          <w:sz w:val="24"/>
          <w:szCs w:val="24"/>
        </w:rPr>
        <w:t xml:space="preserve"> </w:t>
      </w:r>
    </w:p>
    <w:p w:rsidR="00931114" w:rsidRDefault="00931114" w:rsidP="00931114">
      <w:pPr>
        <w:pStyle w:val="Odsekzoznamu"/>
        <w:ind w:left="360" w:firstLine="0"/>
        <w:jc w:val="both"/>
        <w:rPr>
          <w:rFonts w:ascii="Verdana" w:hAnsi="Verdana"/>
          <w:b/>
          <w:sz w:val="28"/>
          <w:szCs w:val="28"/>
        </w:rPr>
      </w:pPr>
    </w:p>
    <w:p w:rsidR="00D61BAC" w:rsidRPr="00931114" w:rsidRDefault="00931114" w:rsidP="00931114">
      <w:pPr>
        <w:ind w:left="0" w:firstLine="0"/>
        <w:jc w:val="both"/>
        <w:rPr>
          <w:rFonts w:ascii="Verdana" w:hAnsi="Verdana"/>
          <w:b/>
        </w:rPr>
      </w:pPr>
      <w:r w:rsidRPr="00931114">
        <w:rPr>
          <w:rFonts w:ascii="Verdana" w:hAnsi="Verdana"/>
          <w:b/>
        </w:rPr>
        <w:t>1.1</w:t>
      </w:r>
      <w:r>
        <w:rPr>
          <w:rFonts w:ascii="Verdana" w:hAnsi="Verdana"/>
          <w:b/>
        </w:rPr>
        <w:t>.</w:t>
      </w:r>
      <w:r w:rsidRPr="00931114">
        <w:rPr>
          <w:rFonts w:ascii="Verdana" w:hAnsi="Verdana"/>
          <w:b/>
        </w:rPr>
        <w:t xml:space="preserve"> Identifikačné údaje </w:t>
      </w:r>
      <w:r w:rsidR="003F3425" w:rsidRPr="00931114">
        <w:rPr>
          <w:rFonts w:ascii="Verdana" w:hAnsi="Verdana"/>
          <w:b/>
        </w:rPr>
        <w:t>–</w:t>
      </w:r>
      <w:r w:rsidR="00601822" w:rsidRPr="00931114">
        <w:rPr>
          <w:rFonts w:ascii="Verdana" w:hAnsi="Verdana"/>
          <w:b/>
        </w:rPr>
        <w:t xml:space="preserve"> základné</w:t>
      </w:r>
      <w:r w:rsidR="003F3425" w:rsidRPr="00931114">
        <w:rPr>
          <w:rFonts w:ascii="Verdana" w:hAnsi="Verdana"/>
          <w:b/>
        </w:rPr>
        <w:t xml:space="preserve"> informácie</w:t>
      </w:r>
    </w:p>
    <w:p w:rsidR="00C06586" w:rsidRPr="009D5242" w:rsidRDefault="00C06586" w:rsidP="0093467A">
      <w:pPr>
        <w:ind w:left="0" w:firstLine="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418"/>
      </w:tblGrid>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Obchodné meno:</w:t>
            </w:r>
          </w:p>
        </w:tc>
        <w:tc>
          <w:tcPr>
            <w:tcW w:w="5418" w:type="dxa"/>
            <w:shd w:val="clear" w:color="auto" w:fill="auto"/>
          </w:tcPr>
          <w:p w:rsidR="007C7BFA" w:rsidRPr="00AC16B6" w:rsidRDefault="007C7BFA" w:rsidP="005E084C">
            <w:pPr>
              <w:ind w:left="0" w:firstLine="0"/>
              <w:jc w:val="both"/>
              <w:rPr>
                <w:rFonts w:ascii="Verdana" w:hAnsi="Verdana"/>
              </w:rPr>
            </w:pPr>
            <w:r w:rsidRPr="00AC16B6">
              <w:rPr>
                <w:rFonts w:ascii="Verdana" w:hAnsi="Verdana"/>
                <w:b/>
                <w:color w:val="0F243E"/>
              </w:rPr>
              <w:t>Bio G, spol. s r. o</w:t>
            </w:r>
          </w:p>
        </w:tc>
      </w:tr>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IČO:</w:t>
            </w:r>
          </w:p>
        </w:tc>
        <w:tc>
          <w:tcPr>
            <w:tcW w:w="5418" w:type="dxa"/>
            <w:shd w:val="clear" w:color="auto" w:fill="auto"/>
          </w:tcPr>
          <w:p w:rsidR="007C7BFA" w:rsidRPr="00AC16B6" w:rsidRDefault="007C7BFA" w:rsidP="005E084C">
            <w:pPr>
              <w:ind w:left="0" w:firstLine="0"/>
              <w:jc w:val="both"/>
              <w:rPr>
                <w:rFonts w:ascii="Verdana" w:hAnsi="Verdana"/>
              </w:rPr>
            </w:pPr>
            <w:r w:rsidRPr="00AC16B6">
              <w:rPr>
                <w:rFonts w:ascii="Verdana" w:hAnsi="Verdana"/>
                <w:color w:val="0F243E"/>
              </w:rPr>
              <w:t>34 123 415</w:t>
            </w:r>
          </w:p>
        </w:tc>
      </w:tr>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DIČ:</w:t>
            </w:r>
          </w:p>
        </w:tc>
        <w:tc>
          <w:tcPr>
            <w:tcW w:w="5418" w:type="dxa"/>
            <w:shd w:val="clear" w:color="auto" w:fill="auto"/>
          </w:tcPr>
          <w:p w:rsidR="007C7BFA" w:rsidRPr="00AC16B6" w:rsidRDefault="007C7BFA" w:rsidP="005E084C">
            <w:pPr>
              <w:ind w:left="0" w:firstLine="0"/>
              <w:jc w:val="both"/>
              <w:rPr>
                <w:rFonts w:ascii="Verdana" w:hAnsi="Verdana"/>
              </w:rPr>
            </w:pPr>
            <w:r w:rsidRPr="00AC16B6">
              <w:rPr>
                <w:rFonts w:ascii="Verdana" w:hAnsi="Verdana"/>
                <w:color w:val="0F243E"/>
              </w:rPr>
              <w:t>2020361222</w:t>
            </w:r>
          </w:p>
        </w:tc>
      </w:tr>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IČ DPH:</w:t>
            </w:r>
          </w:p>
        </w:tc>
        <w:tc>
          <w:tcPr>
            <w:tcW w:w="5418" w:type="dxa"/>
            <w:shd w:val="clear" w:color="auto" w:fill="auto"/>
          </w:tcPr>
          <w:p w:rsidR="007C7BFA" w:rsidRPr="00AC16B6" w:rsidRDefault="007C7BFA" w:rsidP="005E084C">
            <w:pPr>
              <w:ind w:left="0" w:firstLine="0"/>
              <w:jc w:val="both"/>
              <w:rPr>
                <w:rFonts w:ascii="Verdana" w:hAnsi="Verdana"/>
              </w:rPr>
            </w:pPr>
            <w:r w:rsidRPr="00AC16B6">
              <w:rPr>
                <w:rFonts w:ascii="Verdana" w:hAnsi="Verdana"/>
                <w:color w:val="0F243E"/>
              </w:rPr>
              <w:t>SK2020361222</w:t>
            </w:r>
          </w:p>
        </w:tc>
      </w:tr>
      <w:tr w:rsidR="0081497C" w:rsidRPr="00AC16B6" w:rsidTr="005E084C">
        <w:tc>
          <w:tcPr>
            <w:tcW w:w="3794" w:type="dxa"/>
            <w:shd w:val="clear" w:color="auto" w:fill="auto"/>
          </w:tcPr>
          <w:p w:rsidR="0081497C" w:rsidRPr="00AC16B6" w:rsidRDefault="0081497C" w:rsidP="005E084C">
            <w:pPr>
              <w:ind w:left="0" w:firstLine="0"/>
              <w:jc w:val="both"/>
              <w:rPr>
                <w:rFonts w:ascii="Verdana" w:hAnsi="Verdana"/>
              </w:rPr>
            </w:pPr>
            <w:r w:rsidRPr="00AC16B6">
              <w:rPr>
                <w:rFonts w:ascii="Verdana" w:hAnsi="Verdana"/>
              </w:rPr>
              <w:t>Adresa sídla:</w:t>
            </w:r>
          </w:p>
        </w:tc>
        <w:tc>
          <w:tcPr>
            <w:tcW w:w="5418" w:type="dxa"/>
            <w:shd w:val="clear" w:color="auto" w:fill="auto"/>
          </w:tcPr>
          <w:p w:rsidR="0081497C" w:rsidRPr="00AC16B6" w:rsidRDefault="0081497C" w:rsidP="0081497C">
            <w:pPr>
              <w:ind w:left="0" w:firstLine="0"/>
              <w:jc w:val="both"/>
              <w:rPr>
                <w:rFonts w:ascii="Verdana" w:hAnsi="Verdana"/>
              </w:rPr>
            </w:pPr>
            <w:r w:rsidRPr="00AC16B6">
              <w:rPr>
                <w:rFonts w:ascii="Verdana" w:hAnsi="Verdana"/>
                <w:color w:val="0F243E"/>
              </w:rPr>
              <w:t>Elektrárenská 12092, 831 04 Bratislava</w:t>
            </w:r>
          </w:p>
        </w:tc>
      </w:tr>
      <w:tr w:rsidR="0081497C" w:rsidRPr="00AC16B6" w:rsidTr="005E084C">
        <w:tc>
          <w:tcPr>
            <w:tcW w:w="3794" w:type="dxa"/>
            <w:shd w:val="clear" w:color="auto" w:fill="auto"/>
          </w:tcPr>
          <w:p w:rsidR="0081497C" w:rsidRPr="00AC16B6" w:rsidRDefault="0081497C" w:rsidP="005E084C">
            <w:pPr>
              <w:ind w:left="0" w:firstLine="0"/>
              <w:jc w:val="both"/>
              <w:rPr>
                <w:rFonts w:ascii="Verdana" w:hAnsi="Verdana"/>
              </w:rPr>
            </w:pPr>
            <w:r w:rsidRPr="00AC16B6">
              <w:rPr>
                <w:rFonts w:ascii="Verdana" w:hAnsi="Verdana"/>
              </w:rPr>
              <w:t>Obchodný register:</w:t>
            </w:r>
          </w:p>
        </w:tc>
        <w:tc>
          <w:tcPr>
            <w:tcW w:w="5418" w:type="dxa"/>
            <w:shd w:val="clear" w:color="auto" w:fill="auto"/>
          </w:tcPr>
          <w:p w:rsidR="0081497C" w:rsidRPr="00AC16B6" w:rsidRDefault="0081497C" w:rsidP="0081497C">
            <w:pPr>
              <w:ind w:left="0" w:firstLine="0"/>
              <w:jc w:val="both"/>
              <w:rPr>
                <w:rFonts w:ascii="Verdana" w:hAnsi="Verdana"/>
              </w:rPr>
            </w:pPr>
            <w:r w:rsidRPr="00AC16B6">
              <w:rPr>
                <w:rFonts w:ascii="Verdana" w:hAnsi="Verdana"/>
                <w:color w:val="0F243E"/>
              </w:rPr>
              <w:t>Obchodný register 0kresného súdu Bratislava I.,</w:t>
            </w:r>
            <w:r w:rsidRPr="00AC16B6">
              <w:rPr>
                <w:rFonts w:ascii="Verdana" w:hAnsi="Verdana"/>
              </w:rPr>
              <w:t>, Oddiel: Sro., Vložka číslo: 13217/B</w:t>
            </w:r>
          </w:p>
        </w:tc>
      </w:tr>
      <w:tr w:rsidR="0081497C" w:rsidRPr="00AC16B6" w:rsidTr="005E084C">
        <w:tc>
          <w:tcPr>
            <w:tcW w:w="3794" w:type="dxa"/>
            <w:shd w:val="clear" w:color="auto" w:fill="auto"/>
          </w:tcPr>
          <w:p w:rsidR="0081497C" w:rsidRPr="00AC16B6" w:rsidRDefault="0081497C" w:rsidP="005E084C">
            <w:pPr>
              <w:ind w:left="0" w:firstLine="0"/>
              <w:jc w:val="both"/>
              <w:rPr>
                <w:rFonts w:ascii="Verdana" w:hAnsi="Verdana"/>
              </w:rPr>
            </w:pPr>
            <w:r w:rsidRPr="00AC16B6">
              <w:rPr>
                <w:rFonts w:ascii="Verdana" w:hAnsi="Verdana"/>
              </w:rPr>
              <w:t>Konateľ spoločnosti:</w:t>
            </w:r>
          </w:p>
        </w:tc>
        <w:tc>
          <w:tcPr>
            <w:tcW w:w="5418" w:type="dxa"/>
            <w:shd w:val="clear" w:color="auto" w:fill="auto"/>
          </w:tcPr>
          <w:p w:rsidR="0081497C" w:rsidRPr="00AC16B6" w:rsidRDefault="0081497C" w:rsidP="00AC16B6">
            <w:pPr>
              <w:ind w:left="0" w:firstLine="0"/>
              <w:jc w:val="both"/>
              <w:rPr>
                <w:rFonts w:ascii="Verdana" w:hAnsi="Verdana"/>
              </w:rPr>
            </w:pPr>
            <w:r w:rsidRPr="00AC16B6">
              <w:rPr>
                <w:rFonts w:ascii="Verdana" w:hAnsi="Verdana"/>
              </w:rPr>
              <w:t xml:space="preserve">Ing. </w:t>
            </w:r>
            <w:r w:rsidR="00AC16B6" w:rsidRPr="00AC16B6">
              <w:rPr>
                <w:rFonts w:ascii="Verdana" w:hAnsi="Verdana"/>
              </w:rPr>
              <w:t>Dagmar Berkešová, Ing.Bedrich Marhofer</w:t>
            </w:r>
            <w:r w:rsidRPr="00AC16B6">
              <w:rPr>
                <w:rFonts w:ascii="Verdana" w:hAnsi="Verdana"/>
              </w:rPr>
              <w:t xml:space="preserve"> </w:t>
            </w:r>
          </w:p>
        </w:tc>
      </w:tr>
      <w:tr w:rsidR="0081497C" w:rsidRPr="00AC16B6" w:rsidTr="005E084C">
        <w:tc>
          <w:tcPr>
            <w:tcW w:w="3794" w:type="dxa"/>
            <w:tcBorders>
              <w:top w:val="single" w:sz="4" w:space="0" w:color="auto"/>
              <w:left w:val="single" w:sz="4" w:space="0" w:color="auto"/>
              <w:bottom w:val="single" w:sz="4" w:space="0" w:color="auto"/>
              <w:right w:val="single" w:sz="4" w:space="0" w:color="auto"/>
            </w:tcBorders>
            <w:shd w:val="clear" w:color="auto" w:fill="auto"/>
          </w:tcPr>
          <w:p w:rsidR="0081497C" w:rsidRPr="00AC16B6" w:rsidRDefault="0081497C" w:rsidP="005E084C">
            <w:pPr>
              <w:ind w:left="0" w:firstLine="0"/>
              <w:jc w:val="both"/>
              <w:rPr>
                <w:rFonts w:ascii="Verdana" w:hAnsi="Verdana"/>
              </w:rPr>
            </w:pPr>
            <w:r w:rsidRPr="00AC16B6">
              <w:rPr>
                <w:rFonts w:ascii="Verdana" w:hAnsi="Verdana"/>
              </w:rPr>
              <w:t>Webové sídlo spoločnosti, mail:</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81497C" w:rsidRPr="00AC16B6" w:rsidRDefault="0081497C" w:rsidP="00AC16B6">
            <w:pPr>
              <w:ind w:left="0" w:firstLine="0"/>
              <w:jc w:val="both"/>
              <w:rPr>
                <w:rFonts w:ascii="Verdana" w:hAnsi="Verdana"/>
              </w:rPr>
            </w:pPr>
            <w:r w:rsidRPr="00AC16B6">
              <w:rPr>
                <w:rFonts w:ascii="Verdana" w:hAnsi="Verdana"/>
              </w:rPr>
              <w:t>www:</w:t>
            </w:r>
            <w:r w:rsidR="00AC16B6">
              <w:rPr>
                <w:rFonts w:ascii="Verdana" w:hAnsi="Verdana"/>
              </w:rPr>
              <w:t>biog.sk; mail:biog</w:t>
            </w:r>
            <w:r w:rsidRPr="00AC16B6">
              <w:rPr>
                <w:rFonts w:ascii="Verdana" w:hAnsi="Verdana"/>
                <w:lang w:val="en-US"/>
              </w:rPr>
              <w:t>@</w:t>
            </w:r>
            <w:r w:rsidR="00AC16B6">
              <w:rPr>
                <w:rFonts w:ascii="Verdana" w:hAnsi="Verdana"/>
              </w:rPr>
              <w:t>biog</w:t>
            </w:r>
            <w:r w:rsidRPr="00AC16B6">
              <w:rPr>
                <w:rFonts w:ascii="Verdana" w:hAnsi="Verdana"/>
              </w:rPr>
              <w:t>.sk</w:t>
            </w:r>
          </w:p>
        </w:tc>
      </w:tr>
    </w:tbl>
    <w:p w:rsidR="00D61BAC" w:rsidRPr="009D5242" w:rsidRDefault="00D61BAC" w:rsidP="0093467A">
      <w:pPr>
        <w:ind w:left="0" w:firstLine="0"/>
        <w:jc w:val="both"/>
        <w:rPr>
          <w:b/>
          <w:sz w:val="28"/>
          <w:szCs w:val="28"/>
        </w:rPr>
      </w:pPr>
    </w:p>
    <w:p w:rsidR="00AC16B6" w:rsidRDefault="00AC16B6" w:rsidP="00AC16B6">
      <w:pPr>
        <w:ind w:left="0" w:firstLine="0"/>
        <w:jc w:val="both"/>
        <w:rPr>
          <w:rFonts w:ascii="Verdana" w:hAnsi="Verdana"/>
        </w:rPr>
      </w:pPr>
      <w:r w:rsidRPr="00D31809">
        <w:rPr>
          <w:rFonts w:ascii="Verdana" w:hAnsi="Verdana"/>
        </w:rPr>
        <w:t xml:space="preserve">Štatutárnym orgánom spoločnosti </w:t>
      </w:r>
      <w:r>
        <w:rPr>
          <w:rFonts w:ascii="Verdana" w:hAnsi="Verdana"/>
        </w:rPr>
        <w:t>Bio G, spol.</w:t>
      </w:r>
      <w:r w:rsidRPr="00D31809">
        <w:rPr>
          <w:rFonts w:ascii="Verdana" w:hAnsi="Verdana"/>
        </w:rPr>
        <w:t xml:space="preserve"> s.r.o. sú konatelia</w:t>
      </w:r>
      <w:r>
        <w:rPr>
          <w:rFonts w:ascii="Verdana" w:hAnsi="Verdana"/>
        </w:rPr>
        <w:t>, ktorí konajú v mene spoločnosti každý samostatne.</w:t>
      </w:r>
      <w:r w:rsidRPr="00D31809">
        <w:rPr>
          <w:rFonts w:ascii="Verdana" w:hAnsi="Verdana"/>
        </w:rPr>
        <w:t xml:space="preserve"> Spoločnosť nemá povinnosť ani dobrovoľne nezriadila dozornú radu.</w:t>
      </w:r>
    </w:p>
    <w:p w:rsidR="00CD6F01" w:rsidRPr="00AC16B6" w:rsidRDefault="00CD6F01" w:rsidP="00D61BAC">
      <w:pPr>
        <w:ind w:hanging="7365"/>
        <w:jc w:val="both"/>
        <w:rPr>
          <w:rFonts w:ascii="Verdana" w:hAnsi="Verdana"/>
          <w:b/>
        </w:rPr>
      </w:pPr>
    </w:p>
    <w:p w:rsidR="00601822" w:rsidRPr="00AC16B6" w:rsidRDefault="00931114" w:rsidP="00601822">
      <w:pPr>
        <w:ind w:left="0" w:firstLine="0"/>
        <w:jc w:val="both"/>
        <w:rPr>
          <w:rFonts w:ascii="Verdana" w:hAnsi="Verdana"/>
          <w:b/>
        </w:rPr>
      </w:pPr>
      <w:r>
        <w:rPr>
          <w:rFonts w:ascii="Verdana" w:hAnsi="Verdana"/>
          <w:b/>
        </w:rPr>
        <w:t xml:space="preserve">1.2. </w:t>
      </w:r>
      <w:r w:rsidR="00601822" w:rsidRPr="00AC16B6">
        <w:rPr>
          <w:rFonts w:ascii="Verdana" w:hAnsi="Verdana"/>
          <w:b/>
        </w:rPr>
        <w:t xml:space="preserve">Identifikačné údaje </w:t>
      </w:r>
      <w:r w:rsidR="003F3425" w:rsidRPr="00AC16B6">
        <w:rPr>
          <w:rFonts w:ascii="Verdana" w:hAnsi="Verdana"/>
          <w:b/>
        </w:rPr>
        <w:t>–</w:t>
      </w:r>
      <w:r w:rsidR="00601822" w:rsidRPr="00AC16B6">
        <w:rPr>
          <w:rFonts w:ascii="Verdana" w:hAnsi="Verdana"/>
          <w:b/>
        </w:rPr>
        <w:t xml:space="preserve"> doplňujúce</w:t>
      </w:r>
      <w:r w:rsidR="003F3425" w:rsidRPr="00AC16B6">
        <w:rPr>
          <w:rFonts w:ascii="Verdana" w:hAnsi="Verdana"/>
          <w:b/>
        </w:rPr>
        <w:t xml:space="preserve"> informácie</w:t>
      </w:r>
    </w:p>
    <w:p w:rsidR="00601822" w:rsidRPr="00AC16B6" w:rsidRDefault="00601822" w:rsidP="00601822">
      <w:pPr>
        <w:ind w:left="0" w:firstLine="0"/>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51"/>
      </w:tblGrid>
      <w:tr w:rsidR="009D5242" w:rsidRPr="00AC16B6" w:rsidTr="00161205">
        <w:tc>
          <w:tcPr>
            <w:tcW w:w="4361" w:type="dxa"/>
            <w:shd w:val="clear" w:color="auto" w:fill="auto"/>
          </w:tcPr>
          <w:p w:rsidR="009B1113" w:rsidRPr="00AC16B6" w:rsidRDefault="009B1113" w:rsidP="003D1AB3">
            <w:pPr>
              <w:ind w:left="0" w:firstLine="0"/>
              <w:jc w:val="both"/>
              <w:rPr>
                <w:rFonts w:ascii="Verdana" w:hAnsi="Verdana"/>
              </w:rPr>
            </w:pPr>
            <w:r w:rsidRPr="00AC16B6">
              <w:rPr>
                <w:rFonts w:ascii="Verdana" w:hAnsi="Verdana"/>
              </w:rPr>
              <w:t>Výsledok hospodárenia 201</w:t>
            </w:r>
            <w:r w:rsidR="00F148C2" w:rsidRPr="00AC16B6">
              <w:rPr>
                <w:rFonts w:ascii="Verdana" w:hAnsi="Verdana"/>
              </w:rPr>
              <w:t>9</w:t>
            </w:r>
          </w:p>
        </w:tc>
        <w:tc>
          <w:tcPr>
            <w:tcW w:w="4851" w:type="dxa"/>
            <w:shd w:val="clear" w:color="auto" w:fill="auto"/>
          </w:tcPr>
          <w:p w:rsidR="009B1113" w:rsidRPr="00AC16B6" w:rsidRDefault="009B1113" w:rsidP="00240B06">
            <w:pPr>
              <w:ind w:left="0" w:firstLine="0"/>
              <w:jc w:val="both"/>
              <w:rPr>
                <w:rFonts w:ascii="Verdana" w:hAnsi="Verdana"/>
              </w:rPr>
            </w:pPr>
            <w:r w:rsidRPr="00AC16B6">
              <w:rPr>
                <w:rFonts w:ascii="Verdana" w:hAnsi="Verdana"/>
              </w:rPr>
              <w:t xml:space="preserve">Zisk </w:t>
            </w:r>
            <w:r w:rsidR="00240B06">
              <w:rPr>
                <w:rFonts w:ascii="Verdana" w:hAnsi="Verdana"/>
              </w:rPr>
              <w:t>47 289</w:t>
            </w:r>
            <w:r w:rsidRPr="00AC16B6">
              <w:rPr>
                <w:rFonts w:ascii="Verdana" w:hAnsi="Verdana"/>
              </w:rPr>
              <w:t xml:space="preserve"> eur</w:t>
            </w:r>
          </w:p>
        </w:tc>
      </w:tr>
      <w:tr w:rsidR="009D5242" w:rsidRPr="00AC16B6" w:rsidTr="00161205">
        <w:tc>
          <w:tcPr>
            <w:tcW w:w="4361" w:type="dxa"/>
            <w:shd w:val="clear" w:color="auto" w:fill="auto"/>
          </w:tcPr>
          <w:p w:rsidR="00601822" w:rsidRPr="00AC16B6" w:rsidRDefault="00601822" w:rsidP="00B92658">
            <w:pPr>
              <w:ind w:left="0" w:firstLine="0"/>
              <w:jc w:val="both"/>
              <w:rPr>
                <w:rFonts w:ascii="Verdana" w:hAnsi="Verdana"/>
              </w:rPr>
            </w:pPr>
            <w:r w:rsidRPr="00AC16B6">
              <w:rPr>
                <w:rFonts w:ascii="Verdana" w:hAnsi="Verdana"/>
              </w:rPr>
              <w:t>Splatené základné imanie</w:t>
            </w:r>
            <w:r w:rsidR="009B1113" w:rsidRPr="00AC16B6">
              <w:rPr>
                <w:rFonts w:ascii="Verdana" w:hAnsi="Verdana"/>
              </w:rPr>
              <w:t xml:space="preserve"> (účet 411)</w:t>
            </w:r>
          </w:p>
        </w:tc>
        <w:tc>
          <w:tcPr>
            <w:tcW w:w="4851" w:type="dxa"/>
            <w:shd w:val="clear" w:color="auto" w:fill="auto"/>
          </w:tcPr>
          <w:p w:rsidR="00601822" w:rsidRPr="00AC16B6" w:rsidRDefault="00672EF8" w:rsidP="00601822">
            <w:pPr>
              <w:ind w:left="0" w:firstLine="0"/>
              <w:jc w:val="both"/>
              <w:rPr>
                <w:rFonts w:ascii="Verdana" w:hAnsi="Verdana"/>
              </w:rPr>
            </w:pPr>
            <w:r>
              <w:rPr>
                <w:rFonts w:ascii="Verdana" w:hAnsi="Verdana"/>
              </w:rPr>
              <w:t>7 968</w:t>
            </w:r>
            <w:r w:rsidR="00601822" w:rsidRPr="00AC16B6">
              <w:rPr>
                <w:rFonts w:ascii="Verdana" w:hAnsi="Verdana"/>
              </w:rPr>
              <w:t xml:space="preserve"> eur</w:t>
            </w:r>
          </w:p>
        </w:tc>
      </w:tr>
      <w:tr w:rsidR="009D5242" w:rsidRPr="00AC16B6" w:rsidTr="00161205">
        <w:tc>
          <w:tcPr>
            <w:tcW w:w="4361" w:type="dxa"/>
            <w:shd w:val="clear" w:color="auto" w:fill="auto"/>
          </w:tcPr>
          <w:p w:rsidR="009B1113" w:rsidRPr="00AC16B6" w:rsidRDefault="009B1113" w:rsidP="00601822">
            <w:pPr>
              <w:ind w:left="0" w:firstLine="0"/>
              <w:jc w:val="both"/>
              <w:rPr>
                <w:rFonts w:ascii="Verdana" w:hAnsi="Verdana"/>
              </w:rPr>
            </w:pPr>
            <w:r w:rsidRPr="00AC16B6">
              <w:rPr>
                <w:rFonts w:ascii="Verdana" w:hAnsi="Verdana"/>
              </w:rPr>
              <w:t>Zákonný rezervný fond (účet 417a 421)</w:t>
            </w:r>
          </w:p>
        </w:tc>
        <w:tc>
          <w:tcPr>
            <w:tcW w:w="4851" w:type="dxa"/>
            <w:shd w:val="clear" w:color="auto" w:fill="auto"/>
          </w:tcPr>
          <w:p w:rsidR="009B1113" w:rsidRPr="00AC16B6" w:rsidRDefault="00672EF8" w:rsidP="00B92658">
            <w:pPr>
              <w:ind w:left="0" w:firstLine="0"/>
              <w:jc w:val="both"/>
              <w:rPr>
                <w:rFonts w:ascii="Verdana" w:hAnsi="Verdana"/>
              </w:rPr>
            </w:pPr>
            <w:r>
              <w:rPr>
                <w:rFonts w:ascii="Verdana" w:hAnsi="Verdana"/>
              </w:rPr>
              <w:t>12 385</w:t>
            </w:r>
            <w:r w:rsidR="009B1113" w:rsidRPr="00AC16B6">
              <w:rPr>
                <w:rFonts w:ascii="Verdana" w:hAnsi="Verdana"/>
              </w:rPr>
              <w:t xml:space="preserve"> eur</w:t>
            </w:r>
          </w:p>
        </w:tc>
      </w:tr>
      <w:tr w:rsidR="009D5242" w:rsidRPr="00AC16B6" w:rsidTr="00161205">
        <w:tc>
          <w:tcPr>
            <w:tcW w:w="4361" w:type="dxa"/>
            <w:shd w:val="clear" w:color="auto" w:fill="auto"/>
          </w:tcPr>
          <w:p w:rsidR="00601822" w:rsidRPr="00AC16B6" w:rsidRDefault="00601822" w:rsidP="00601822">
            <w:pPr>
              <w:ind w:left="0" w:firstLine="0"/>
              <w:jc w:val="both"/>
              <w:rPr>
                <w:rFonts w:ascii="Verdana" w:hAnsi="Verdana"/>
              </w:rPr>
            </w:pPr>
            <w:r w:rsidRPr="00AC16B6">
              <w:rPr>
                <w:rFonts w:ascii="Verdana" w:hAnsi="Verdana"/>
              </w:rPr>
              <w:t>Priemerný počet zamestnancov</w:t>
            </w:r>
          </w:p>
        </w:tc>
        <w:tc>
          <w:tcPr>
            <w:tcW w:w="4851" w:type="dxa"/>
            <w:shd w:val="clear" w:color="auto" w:fill="auto"/>
          </w:tcPr>
          <w:p w:rsidR="00601822" w:rsidRPr="00AC16B6" w:rsidRDefault="00672EF8" w:rsidP="00D54CAA">
            <w:pPr>
              <w:ind w:left="0" w:firstLine="0"/>
              <w:jc w:val="both"/>
              <w:rPr>
                <w:rFonts w:ascii="Verdana" w:hAnsi="Verdana"/>
              </w:rPr>
            </w:pPr>
            <w:r>
              <w:rPr>
                <w:rFonts w:ascii="Verdana" w:hAnsi="Verdana"/>
              </w:rPr>
              <w:t xml:space="preserve">27                                                                                                                                                               </w:t>
            </w:r>
          </w:p>
        </w:tc>
      </w:tr>
      <w:tr w:rsidR="00601822" w:rsidRPr="00AC16B6" w:rsidTr="00161205">
        <w:tc>
          <w:tcPr>
            <w:tcW w:w="4361" w:type="dxa"/>
            <w:shd w:val="clear" w:color="auto" w:fill="auto"/>
          </w:tcPr>
          <w:p w:rsidR="00601822" w:rsidRPr="00AC16B6" w:rsidRDefault="00601822" w:rsidP="00601822">
            <w:pPr>
              <w:ind w:left="0" w:firstLine="0"/>
              <w:jc w:val="both"/>
              <w:rPr>
                <w:rFonts w:ascii="Verdana" w:hAnsi="Verdana"/>
              </w:rPr>
            </w:pPr>
            <w:r w:rsidRPr="00AC16B6">
              <w:rPr>
                <w:rFonts w:ascii="Verdana" w:hAnsi="Verdana"/>
              </w:rPr>
              <w:t>Hlavná činnosť</w:t>
            </w:r>
          </w:p>
        </w:tc>
        <w:tc>
          <w:tcPr>
            <w:tcW w:w="4851" w:type="dxa"/>
            <w:shd w:val="clear" w:color="auto" w:fill="auto"/>
          </w:tcPr>
          <w:p w:rsidR="00601822" w:rsidRDefault="00601822" w:rsidP="00672EF8">
            <w:pPr>
              <w:ind w:left="0" w:firstLine="0"/>
              <w:jc w:val="both"/>
              <w:rPr>
                <w:rFonts w:ascii="Verdana" w:hAnsi="Verdana"/>
              </w:rPr>
            </w:pPr>
            <w:r w:rsidRPr="00AC16B6">
              <w:rPr>
                <w:rFonts w:ascii="Verdana" w:hAnsi="Verdana"/>
              </w:rPr>
              <w:t>Kúpa</w:t>
            </w:r>
            <w:r w:rsidR="00672EF8">
              <w:rPr>
                <w:rFonts w:ascii="Verdana" w:hAnsi="Verdana"/>
              </w:rPr>
              <w:t xml:space="preserve">, úprava </w:t>
            </w:r>
            <w:r w:rsidRPr="00AC16B6">
              <w:rPr>
                <w:rFonts w:ascii="Verdana" w:hAnsi="Verdana"/>
              </w:rPr>
              <w:t>a predaj tovaru</w:t>
            </w:r>
            <w:r w:rsidR="00672EF8">
              <w:rPr>
                <w:rFonts w:ascii="Verdana" w:hAnsi="Verdana"/>
              </w:rPr>
              <w:t xml:space="preserve"> v rozsahu voľnej živnosti</w:t>
            </w:r>
          </w:p>
          <w:p w:rsidR="00692097" w:rsidRPr="002F6960" w:rsidRDefault="00692097" w:rsidP="00692097">
            <w:pPr>
              <w:ind w:left="0" w:firstLine="0"/>
              <w:jc w:val="both"/>
              <w:rPr>
                <w:rFonts w:ascii="Verdana" w:hAnsi="Verdana"/>
              </w:rPr>
            </w:pPr>
            <w:r>
              <w:rPr>
                <w:rFonts w:ascii="Verdana" w:hAnsi="Verdana"/>
              </w:rPr>
              <w:t>S</w:t>
            </w:r>
            <w:r w:rsidRPr="002F6960">
              <w:rPr>
                <w:rFonts w:ascii="Verdana" w:hAnsi="Verdana"/>
              </w:rPr>
              <w:t>ervis elektronických zariadení do 1 000 V</w:t>
            </w:r>
          </w:p>
          <w:p w:rsidR="00692097" w:rsidRPr="00AC16B6" w:rsidRDefault="00692097" w:rsidP="00672EF8">
            <w:pPr>
              <w:ind w:left="0" w:firstLine="0"/>
              <w:jc w:val="both"/>
              <w:rPr>
                <w:rFonts w:ascii="Verdana" w:hAnsi="Verdana"/>
              </w:rPr>
            </w:pPr>
          </w:p>
        </w:tc>
      </w:tr>
    </w:tbl>
    <w:p w:rsidR="00601822" w:rsidRPr="00AC16B6" w:rsidRDefault="00601822" w:rsidP="00601822">
      <w:pPr>
        <w:ind w:left="0" w:firstLine="0"/>
        <w:jc w:val="both"/>
        <w:rPr>
          <w:rFonts w:ascii="Verdana" w:hAnsi="Verdana"/>
          <w:b/>
        </w:rPr>
      </w:pPr>
    </w:p>
    <w:p w:rsidR="00601822" w:rsidRDefault="00601822" w:rsidP="00601822">
      <w:pPr>
        <w:ind w:left="0" w:firstLine="0"/>
        <w:jc w:val="both"/>
        <w:rPr>
          <w:rFonts w:ascii="Verdana" w:hAnsi="Verdana"/>
        </w:rPr>
      </w:pPr>
      <w:r w:rsidRPr="00AC16B6">
        <w:rPr>
          <w:rFonts w:ascii="Verdana" w:hAnsi="Verdana"/>
        </w:rPr>
        <w:t xml:space="preserve">Účtovným obdobím </w:t>
      </w:r>
      <w:r w:rsidR="003F3425" w:rsidRPr="00AC16B6">
        <w:rPr>
          <w:rFonts w:ascii="Verdana" w:hAnsi="Verdana"/>
        </w:rPr>
        <w:t xml:space="preserve">spoločnosti </w:t>
      </w:r>
      <w:r w:rsidRPr="00AC16B6">
        <w:rPr>
          <w:rFonts w:ascii="Verdana" w:hAnsi="Verdana"/>
        </w:rPr>
        <w:t>je kalendárny rok.</w:t>
      </w:r>
      <w:r w:rsidR="003F3425" w:rsidRPr="00AC16B6">
        <w:rPr>
          <w:rFonts w:ascii="Verdana" w:hAnsi="Verdana"/>
        </w:rPr>
        <w:t xml:space="preserve"> Spoločnosť nemá odštepný závod ani organizačnú zložku v tuzemsku.</w:t>
      </w:r>
      <w:r w:rsidR="001E0446" w:rsidRPr="00AC16B6">
        <w:rPr>
          <w:rFonts w:ascii="Verdana" w:hAnsi="Verdana"/>
        </w:rPr>
        <w:t xml:space="preserve"> Spoločnosť nevlastní obchodný podiel v inej spoločnosti, ani nie je vlastnená inou spoločnosťou.</w:t>
      </w:r>
    </w:p>
    <w:p w:rsidR="00931114" w:rsidRPr="00AC16B6" w:rsidRDefault="00931114" w:rsidP="00601822">
      <w:pPr>
        <w:ind w:left="0" w:firstLine="0"/>
        <w:jc w:val="both"/>
        <w:rPr>
          <w:rFonts w:ascii="Verdana" w:hAnsi="Verdana"/>
        </w:rPr>
      </w:pPr>
    </w:p>
    <w:p w:rsidR="00E057CC" w:rsidRPr="00EA0FE7" w:rsidRDefault="00672EF8" w:rsidP="00E057CC">
      <w:pPr>
        <w:ind w:left="0" w:firstLine="0"/>
        <w:jc w:val="both"/>
        <w:rPr>
          <w:rFonts w:ascii="Verdana" w:hAnsi="Verdana"/>
          <w:b/>
          <w:sz w:val="24"/>
          <w:szCs w:val="24"/>
        </w:rPr>
      </w:pPr>
      <w:r w:rsidRPr="00EA0FE7">
        <w:rPr>
          <w:rFonts w:ascii="Verdana" w:hAnsi="Verdana"/>
          <w:b/>
          <w:sz w:val="24"/>
          <w:szCs w:val="24"/>
        </w:rPr>
        <w:t>2.</w:t>
      </w:r>
      <w:r w:rsidR="00E057CC" w:rsidRPr="00EA0FE7">
        <w:rPr>
          <w:rFonts w:ascii="Verdana" w:hAnsi="Verdana"/>
          <w:b/>
          <w:sz w:val="24"/>
          <w:szCs w:val="24"/>
        </w:rPr>
        <w:t xml:space="preserve"> Povinné informácie</w:t>
      </w:r>
    </w:p>
    <w:p w:rsidR="00E057CC" w:rsidRPr="009D5242" w:rsidRDefault="00E057CC" w:rsidP="00601822">
      <w:pPr>
        <w:ind w:left="0" w:firstLine="0"/>
        <w:jc w:val="both"/>
        <w:rPr>
          <w:sz w:val="24"/>
          <w:szCs w:val="24"/>
        </w:rPr>
      </w:pPr>
    </w:p>
    <w:p w:rsidR="00E057CC" w:rsidRPr="00EA0FE7" w:rsidRDefault="00EA0FE7" w:rsidP="00371192">
      <w:pPr>
        <w:spacing w:after="60"/>
        <w:ind w:left="0" w:firstLine="0"/>
        <w:jc w:val="both"/>
        <w:rPr>
          <w:rFonts w:ascii="Verdana" w:hAnsi="Verdana"/>
          <w:b/>
        </w:rPr>
      </w:pPr>
      <w:r w:rsidRPr="00EA0FE7">
        <w:rPr>
          <w:rFonts w:ascii="Verdana" w:hAnsi="Verdana"/>
          <w:b/>
        </w:rPr>
        <w:t>2.1.</w:t>
      </w:r>
      <w:r w:rsidR="00E057CC" w:rsidRPr="00EA0FE7">
        <w:rPr>
          <w:rFonts w:ascii="Verdana" w:hAnsi="Verdana"/>
          <w:b/>
        </w:rPr>
        <w:t xml:space="preserve"> Informácie o vývoji účtovnej jednotky</w:t>
      </w:r>
    </w:p>
    <w:p w:rsidR="00542BBF" w:rsidRPr="00542BBF" w:rsidRDefault="003F3425" w:rsidP="00542BBF">
      <w:pPr>
        <w:ind w:left="0" w:firstLine="0"/>
        <w:rPr>
          <w:rFonts w:ascii="Verdana" w:hAnsi="Verdana"/>
        </w:rPr>
      </w:pPr>
      <w:r w:rsidRPr="00542BBF">
        <w:rPr>
          <w:rFonts w:ascii="Verdana" w:hAnsi="Verdana"/>
        </w:rPr>
        <w:t xml:space="preserve">Spoločnosť </w:t>
      </w:r>
      <w:r w:rsidR="00672EF8" w:rsidRPr="00542BBF">
        <w:rPr>
          <w:rFonts w:ascii="Verdana" w:hAnsi="Verdana"/>
        </w:rPr>
        <w:t xml:space="preserve">Bio G spol. s r.o. </w:t>
      </w:r>
      <w:r w:rsidRPr="00542BBF">
        <w:rPr>
          <w:rFonts w:ascii="Verdana" w:hAnsi="Verdana"/>
        </w:rPr>
        <w:t xml:space="preserve">bola založená v roku </w:t>
      </w:r>
      <w:r w:rsidR="00672EF8" w:rsidRPr="00542BBF">
        <w:rPr>
          <w:rFonts w:ascii="Verdana" w:hAnsi="Verdana"/>
        </w:rPr>
        <w:t>1995</w:t>
      </w:r>
      <w:r w:rsidRPr="00542BBF">
        <w:rPr>
          <w:rFonts w:ascii="Verdana" w:hAnsi="Verdana"/>
        </w:rPr>
        <w:t xml:space="preserve"> </w:t>
      </w:r>
      <w:r w:rsidR="00542BBF" w:rsidRPr="00542BBF">
        <w:rPr>
          <w:rFonts w:ascii="Verdana" w:hAnsi="Verdana"/>
        </w:rPr>
        <w:t xml:space="preserve">ako slovenský podnikateľský subjekt s pôsobnosťou </w:t>
      </w:r>
      <w:r w:rsidRPr="00542BBF">
        <w:rPr>
          <w:rFonts w:ascii="Verdana" w:hAnsi="Verdana"/>
        </w:rPr>
        <w:t>na tuzemskom trhu.</w:t>
      </w:r>
      <w:r w:rsidR="008A38A6" w:rsidRPr="00542BBF">
        <w:rPr>
          <w:rFonts w:ascii="Verdana" w:hAnsi="Verdana"/>
        </w:rPr>
        <w:t xml:space="preserve"> </w:t>
      </w:r>
      <w:r w:rsidR="00542BBF" w:rsidRPr="00542BBF">
        <w:rPr>
          <w:rFonts w:ascii="Verdana" w:hAnsi="Verdana"/>
        </w:rPr>
        <w:t>Strategickým cieľom spoločnosti je ponúknuť obchodným partnerom vysokokvalifikované obchodné  a servisné služby v oblasti laboratórnej medicíny,  podporené  kompletným odborným poradenstvom.</w:t>
      </w:r>
    </w:p>
    <w:p w:rsidR="00E057CC" w:rsidRPr="00542BBF" w:rsidRDefault="0086020E" w:rsidP="007A73D0">
      <w:pPr>
        <w:spacing w:after="120"/>
        <w:ind w:left="0" w:firstLine="0"/>
        <w:jc w:val="both"/>
        <w:rPr>
          <w:rFonts w:ascii="Verdana" w:hAnsi="Verdana"/>
        </w:rPr>
      </w:pPr>
      <w:r w:rsidRPr="00542BBF">
        <w:rPr>
          <w:rFonts w:ascii="Verdana" w:hAnsi="Verdana"/>
        </w:rPr>
        <w:t>Od svojho založenia si s</w:t>
      </w:r>
      <w:r w:rsidR="008A38A6" w:rsidRPr="00542BBF">
        <w:rPr>
          <w:rFonts w:ascii="Verdana" w:hAnsi="Verdana"/>
        </w:rPr>
        <w:t>poločnosť udržiava svoje</w:t>
      </w:r>
      <w:r w:rsidR="00542BBF">
        <w:rPr>
          <w:rFonts w:ascii="Verdana" w:hAnsi="Verdana"/>
        </w:rPr>
        <w:t xml:space="preserve"> stabilné </w:t>
      </w:r>
      <w:r w:rsidR="008A38A6" w:rsidRPr="00542BBF">
        <w:rPr>
          <w:rFonts w:ascii="Verdana" w:hAnsi="Verdana"/>
        </w:rPr>
        <w:t xml:space="preserve">postavenie vo svojej oblasti pôsobenia. Vývoj na trhu však prináša zvýšenú konkurenciu a požiadavky, ktorým sa musíme </w:t>
      </w:r>
      <w:r w:rsidRPr="00542BBF">
        <w:rPr>
          <w:rFonts w:ascii="Verdana" w:hAnsi="Verdana"/>
        </w:rPr>
        <w:t xml:space="preserve">neustále </w:t>
      </w:r>
      <w:r w:rsidR="008A38A6" w:rsidRPr="00542BBF">
        <w:rPr>
          <w:rFonts w:ascii="Verdana" w:hAnsi="Verdana"/>
        </w:rPr>
        <w:t>prispôsobovať.</w:t>
      </w:r>
    </w:p>
    <w:p w:rsidR="008A38A6" w:rsidRPr="00542BBF" w:rsidRDefault="008A38A6" w:rsidP="007A73D0">
      <w:pPr>
        <w:spacing w:after="120"/>
        <w:ind w:left="0" w:firstLine="0"/>
        <w:jc w:val="both"/>
        <w:rPr>
          <w:rFonts w:ascii="Verdana" w:hAnsi="Verdana"/>
        </w:rPr>
      </w:pPr>
      <w:r w:rsidRPr="00542BBF">
        <w:rPr>
          <w:rFonts w:ascii="Verdana" w:hAnsi="Verdana"/>
        </w:rPr>
        <w:t>Spoločnosť neidentifikoval</w:t>
      </w:r>
      <w:r w:rsidR="0086020E" w:rsidRPr="00542BBF">
        <w:rPr>
          <w:rFonts w:ascii="Verdana" w:hAnsi="Verdana"/>
        </w:rPr>
        <w:t>a</w:t>
      </w:r>
      <w:r w:rsidRPr="00542BBF">
        <w:rPr>
          <w:rFonts w:ascii="Verdana" w:hAnsi="Verdana"/>
        </w:rPr>
        <w:t xml:space="preserve"> žiadne špecifické významné riziká a neistoty, okrem všeobecne známych </w:t>
      </w:r>
      <w:r w:rsidR="0086020E" w:rsidRPr="00542BBF">
        <w:rPr>
          <w:rFonts w:ascii="Verdana" w:hAnsi="Verdana"/>
        </w:rPr>
        <w:t xml:space="preserve">rizík podnikania </w:t>
      </w:r>
      <w:r w:rsidRPr="00542BBF">
        <w:rPr>
          <w:rFonts w:ascii="Verdana" w:hAnsi="Verdana"/>
        </w:rPr>
        <w:t>alebo prípadných udalost</w:t>
      </w:r>
      <w:r w:rsidR="00D54CAA" w:rsidRPr="00542BBF">
        <w:rPr>
          <w:rFonts w:ascii="Verdana" w:hAnsi="Verdana"/>
        </w:rPr>
        <w:t>í</w:t>
      </w:r>
      <w:r w:rsidRPr="00542BBF">
        <w:rPr>
          <w:rFonts w:ascii="Verdana" w:hAnsi="Verdana"/>
        </w:rPr>
        <w:t xml:space="preserve"> vyššej moci</w:t>
      </w:r>
      <w:r w:rsidR="007A73D0" w:rsidRPr="00542BBF">
        <w:rPr>
          <w:rFonts w:ascii="Verdana" w:hAnsi="Verdana"/>
        </w:rPr>
        <w:t xml:space="preserve">. Prognóza </w:t>
      </w:r>
      <w:r w:rsidR="007A73D0" w:rsidRPr="00542BBF">
        <w:rPr>
          <w:rFonts w:ascii="Verdana" w:hAnsi="Verdana"/>
        </w:rPr>
        <w:lastRenderedPageBreak/>
        <w:t xml:space="preserve">pre ďalšie obdobie je </w:t>
      </w:r>
      <w:r w:rsidR="00542BBF">
        <w:rPr>
          <w:rFonts w:ascii="Verdana" w:hAnsi="Verdana"/>
        </w:rPr>
        <w:t xml:space="preserve">relatívne </w:t>
      </w:r>
      <w:r w:rsidR="007A73D0" w:rsidRPr="00542BBF">
        <w:rPr>
          <w:rFonts w:ascii="Verdana" w:hAnsi="Verdana"/>
        </w:rPr>
        <w:t xml:space="preserve">stabilná, </w:t>
      </w:r>
      <w:r w:rsidR="0086020E" w:rsidRPr="00542BBF">
        <w:rPr>
          <w:rFonts w:ascii="Verdana" w:hAnsi="Verdana"/>
        </w:rPr>
        <w:t>resp. d</w:t>
      </w:r>
      <w:r w:rsidR="00806401" w:rsidRPr="00542BBF">
        <w:rPr>
          <w:rFonts w:ascii="Verdana" w:hAnsi="Verdana"/>
        </w:rPr>
        <w:t xml:space="preserve">ajú </w:t>
      </w:r>
      <w:r w:rsidR="0086020E" w:rsidRPr="00542BBF">
        <w:rPr>
          <w:rFonts w:ascii="Verdana" w:hAnsi="Verdana"/>
        </w:rPr>
        <w:t xml:space="preserve">sa očakávať </w:t>
      </w:r>
      <w:r w:rsidR="00542BBF">
        <w:rPr>
          <w:rFonts w:ascii="Verdana" w:hAnsi="Verdana"/>
        </w:rPr>
        <w:t xml:space="preserve">mierne </w:t>
      </w:r>
      <w:r w:rsidR="00806401" w:rsidRPr="00542BBF">
        <w:rPr>
          <w:rFonts w:ascii="Verdana" w:hAnsi="Verdana"/>
        </w:rPr>
        <w:t xml:space="preserve">výkyvy v </w:t>
      </w:r>
      <w:r w:rsidR="007A73D0" w:rsidRPr="00542BBF">
        <w:rPr>
          <w:rFonts w:ascii="Verdana" w:hAnsi="Verdana"/>
        </w:rPr>
        <w:t>odbyt</w:t>
      </w:r>
      <w:r w:rsidR="00806401" w:rsidRPr="00542BBF">
        <w:rPr>
          <w:rFonts w:ascii="Verdana" w:hAnsi="Verdana"/>
        </w:rPr>
        <w:t>e</w:t>
      </w:r>
      <w:r w:rsidR="007A73D0" w:rsidRPr="00542BBF">
        <w:rPr>
          <w:rFonts w:ascii="Verdana" w:hAnsi="Verdana"/>
        </w:rPr>
        <w:t xml:space="preserve"> z dôvodu </w:t>
      </w:r>
      <w:r w:rsidR="00806401" w:rsidRPr="00542BBF">
        <w:rPr>
          <w:rFonts w:ascii="Verdana" w:hAnsi="Verdana"/>
        </w:rPr>
        <w:t>cyklických výkyvov na trhu</w:t>
      </w:r>
      <w:r w:rsidR="00542BBF">
        <w:rPr>
          <w:rFonts w:ascii="Verdana" w:hAnsi="Verdana"/>
        </w:rPr>
        <w:t>.</w:t>
      </w:r>
    </w:p>
    <w:p w:rsidR="007A73D0" w:rsidRPr="00542BBF" w:rsidRDefault="007A73D0" w:rsidP="00601822">
      <w:pPr>
        <w:ind w:left="0" w:firstLine="0"/>
        <w:jc w:val="both"/>
        <w:rPr>
          <w:rFonts w:ascii="Verdana" w:hAnsi="Verdana"/>
        </w:rPr>
      </w:pPr>
      <w:r w:rsidRPr="00542BBF">
        <w:rPr>
          <w:rFonts w:ascii="Verdana" w:hAnsi="Verdana"/>
        </w:rPr>
        <w:t>Spoločnosť svojou obchodnou činnosťou nemá významný vplyv na životné prostredie, nevypúšťa exhaláty do vzduchu</w:t>
      </w:r>
      <w:r w:rsidR="00371192">
        <w:rPr>
          <w:rFonts w:ascii="Verdana" w:hAnsi="Verdana"/>
        </w:rPr>
        <w:t>,</w:t>
      </w:r>
      <w:r w:rsidRPr="00542BBF">
        <w:rPr>
          <w:rFonts w:ascii="Verdana" w:hAnsi="Verdana"/>
        </w:rPr>
        <w:t xml:space="preserve"> ani nevytvára znečistenie vody</w:t>
      </w:r>
      <w:r w:rsidR="00610B8E" w:rsidRPr="00542BBF">
        <w:rPr>
          <w:rFonts w:ascii="Verdana" w:hAnsi="Verdana"/>
        </w:rPr>
        <w:t xml:space="preserve">, či nebezpečné odpady. </w:t>
      </w:r>
      <w:r w:rsidRPr="00542BBF">
        <w:rPr>
          <w:rFonts w:ascii="Verdana" w:hAnsi="Verdana"/>
        </w:rPr>
        <w:t xml:space="preserve">Spoločnosť stabilne </w:t>
      </w:r>
      <w:r w:rsidR="0086020E" w:rsidRPr="00542BBF">
        <w:rPr>
          <w:rFonts w:ascii="Verdana" w:hAnsi="Verdana"/>
        </w:rPr>
        <w:t xml:space="preserve">a dlhodobo </w:t>
      </w:r>
      <w:r w:rsidRPr="00542BBF">
        <w:rPr>
          <w:rFonts w:ascii="Verdana" w:hAnsi="Verdana"/>
        </w:rPr>
        <w:t xml:space="preserve">zamestnáva </w:t>
      </w:r>
      <w:r w:rsidR="00542BBF">
        <w:rPr>
          <w:rFonts w:ascii="Verdana" w:hAnsi="Verdana"/>
        </w:rPr>
        <w:t>27</w:t>
      </w:r>
      <w:r w:rsidRPr="00542BBF">
        <w:rPr>
          <w:rFonts w:ascii="Verdana" w:hAnsi="Verdana"/>
        </w:rPr>
        <w:t xml:space="preserve"> pracovníkov a prispieva tým k zamestnanosti.</w:t>
      </w:r>
      <w:r w:rsidR="00542BBF">
        <w:rPr>
          <w:rFonts w:ascii="Verdana" w:hAnsi="Verdana"/>
        </w:rPr>
        <w:t xml:space="preserve"> Spoločnosť zamestnáva 1</w:t>
      </w:r>
      <w:r w:rsidR="0086020E" w:rsidRPr="00542BBF">
        <w:rPr>
          <w:rFonts w:ascii="Verdana" w:hAnsi="Verdana"/>
        </w:rPr>
        <w:t xml:space="preserve"> pracovník</w:t>
      </w:r>
      <w:r w:rsidR="00542BBF">
        <w:rPr>
          <w:rFonts w:ascii="Verdana" w:hAnsi="Verdana"/>
        </w:rPr>
        <w:t>a</w:t>
      </w:r>
      <w:r w:rsidR="0086020E" w:rsidRPr="00542BBF">
        <w:rPr>
          <w:rFonts w:ascii="Verdana" w:hAnsi="Verdana"/>
        </w:rPr>
        <w:t xml:space="preserve"> so zdravotným postihnutím.</w:t>
      </w:r>
    </w:p>
    <w:p w:rsidR="003F3425" w:rsidRPr="009D5242" w:rsidRDefault="003F3425" w:rsidP="00601822">
      <w:pPr>
        <w:ind w:left="0" w:firstLine="0"/>
        <w:jc w:val="both"/>
        <w:rPr>
          <w:sz w:val="24"/>
          <w:szCs w:val="24"/>
        </w:rPr>
      </w:pPr>
    </w:p>
    <w:p w:rsidR="00DE302A" w:rsidRPr="009D5242" w:rsidRDefault="00DE302A" w:rsidP="00DE302A">
      <w:pPr>
        <w:ind w:left="0" w:firstLine="0"/>
        <w:jc w:val="both"/>
        <w:rPr>
          <w:sz w:val="24"/>
          <w:szCs w:val="24"/>
        </w:rPr>
      </w:pP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SÚVAHA</w:t>
      </w: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Vybrané ukazovatele o majetku a záväzkoch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591"/>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b/>
                <w:sz w:val="24"/>
                <w:szCs w:val="24"/>
              </w:rPr>
              <w:t>STRANA AKTÍV SÚVAHY</w:t>
            </w:r>
          </w:p>
          <w:p w:rsidR="00DE302A" w:rsidRPr="009D5242" w:rsidRDefault="00DE302A" w:rsidP="00EA44AD">
            <w:pPr>
              <w:ind w:left="0" w:firstLine="0"/>
              <w:jc w:val="center"/>
              <w:rPr>
                <w:b/>
                <w:sz w:val="24"/>
                <w:szCs w:val="24"/>
              </w:rPr>
            </w:pPr>
            <w:r w:rsidRPr="009D5242">
              <w:rPr>
                <w:sz w:val="24"/>
                <w:szCs w:val="24"/>
              </w:rPr>
              <w:t>(netto aktíva v celých eurách)</w:t>
            </w:r>
          </w:p>
        </w:tc>
        <w:tc>
          <w:tcPr>
            <w:tcW w:w="170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9</w:t>
            </w:r>
          </w:p>
        </w:tc>
        <w:tc>
          <w:tcPr>
            <w:tcW w:w="159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8</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MAJETOK SPOLU</w:t>
            </w:r>
          </w:p>
        </w:tc>
        <w:tc>
          <w:tcPr>
            <w:tcW w:w="1701" w:type="dxa"/>
            <w:shd w:val="clear" w:color="auto" w:fill="auto"/>
          </w:tcPr>
          <w:p w:rsidR="00DE302A" w:rsidRPr="009D5242" w:rsidRDefault="00EA6927" w:rsidP="00EA6927">
            <w:pPr>
              <w:ind w:left="0" w:firstLine="0"/>
              <w:jc w:val="right"/>
              <w:rPr>
                <w:sz w:val="24"/>
                <w:szCs w:val="24"/>
              </w:rPr>
            </w:pPr>
            <w:r>
              <w:rPr>
                <w:sz w:val="24"/>
                <w:szCs w:val="24"/>
              </w:rPr>
              <w:t>3 573 296</w:t>
            </w:r>
          </w:p>
        </w:tc>
        <w:tc>
          <w:tcPr>
            <w:tcW w:w="1591" w:type="dxa"/>
            <w:shd w:val="clear" w:color="auto" w:fill="auto"/>
          </w:tcPr>
          <w:p w:rsidR="00DE302A" w:rsidRPr="009D5242" w:rsidRDefault="00EA6927" w:rsidP="00EA6927">
            <w:pPr>
              <w:ind w:left="0" w:firstLine="0"/>
              <w:jc w:val="right"/>
              <w:rPr>
                <w:sz w:val="24"/>
                <w:szCs w:val="24"/>
              </w:rPr>
            </w:pPr>
            <w:r>
              <w:rPr>
                <w:sz w:val="24"/>
                <w:szCs w:val="24"/>
              </w:rPr>
              <w:t>4 137 173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Neobežný majetok</w:t>
            </w:r>
          </w:p>
        </w:tc>
        <w:tc>
          <w:tcPr>
            <w:tcW w:w="1701" w:type="dxa"/>
            <w:shd w:val="clear" w:color="auto" w:fill="auto"/>
          </w:tcPr>
          <w:p w:rsidR="00DE302A" w:rsidRPr="009D5242" w:rsidRDefault="00EA6927" w:rsidP="00EA6927">
            <w:pPr>
              <w:ind w:left="0" w:firstLine="0"/>
              <w:jc w:val="right"/>
              <w:rPr>
                <w:sz w:val="24"/>
                <w:szCs w:val="24"/>
              </w:rPr>
            </w:pPr>
            <w:r>
              <w:rPr>
                <w:sz w:val="24"/>
                <w:szCs w:val="24"/>
              </w:rPr>
              <w:t>666 578</w:t>
            </w:r>
          </w:p>
        </w:tc>
        <w:tc>
          <w:tcPr>
            <w:tcW w:w="1591" w:type="dxa"/>
            <w:shd w:val="clear" w:color="auto" w:fill="auto"/>
          </w:tcPr>
          <w:p w:rsidR="00EA6927" w:rsidRPr="009D5242" w:rsidRDefault="00EA6927" w:rsidP="00EA6927">
            <w:pPr>
              <w:ind w:left="0" w:firstLine="0"/>
              <w:jc w:val="right"/>
              <w:rPr>
                <w:sz w:val="24"/>
                <w:szCs w:val="24"/>
              </w:rPr>
            </w:pPr>
            <w:r>
              <w:rPr>
                <w:sz w:val="24"/>
                <w:szCs w:val="24"/>
              </w:rPr>
              <w:t>733 675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A.1 Dlhodobý nehmotný majetok</w:t>
            </w:r>
          </w:p>
        </w:tc>
        <w:tc>
          <w:tcPr>
            <w:tcW w:w="1701" w:type="dxa"/>
            <w:shd w:val="clear" w:color="auto" w:fill="auto"/>
          </w:tcPr>
          <w:p w:rsidR="00DE302A" w:rsidRPr="009D5242" w:rsidRDefault="00EA6927" w:rsidP="00EA6927">
            <w:pPr>
              <w:ind w:left="0" w:firstLine="0"/>
              <w:jc w:val="right"/>
              <w:rPr>
                <w:sz w:val="24"/>
                <w:szCs w:val="24"/>
              </w:rPr>
            </w:pPr>
            <w:r>
              <w:rPr>
                <w:sz w:val="24"/>
                <w:szCs w:val="24"/>
              </w:rPr>
              <w:t>6 973</w:t>
            </w:r>
          </w:p>
        </w:tc>
        <w:tc>
          <w:tcPr>
            <w:tcW w:w="1591" w:type="dxa"/>
            <w:shd w:val="clear" w:color="auto" w:fill="auto"/>
          </w:tcPr>
          <w:p w:rsidR="00EA6927" w:rsidRPr="009D5242" w:rsidRDefault="00EA6927" w:rsidP="00EA6927">
            <w:pPr>
              <w:ind w:left="0" w:firstLine="0"/>
              <w:jc w:val="right"/>
              <w:rPr>
                <w:sz w:val="24"/>
                <w:szCs w:val="24"/>
              </w:rPr>
            </w:pPr>
            <w:r>
              <w:rPr>
                <w:sz w:val="24"/>
                <w:szCs w:val="24"/>
              </w:rPr>
              <w:t>2 549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 Dlhodobý hmotný majetok</w:t>
            </w:r>
          </w:p>
        </w:tc>
        <w:tc>
          <w:tcPr>
            <w:tcW w:w="1701" w:type="dxa"/>
            <w:shd w:val="clear" w:color="auto" w:fill="auto"/>
          </w:tcPr>
          <w:p w:rsidR="00DE302A" w:rsidRPr="009D5242" w:rsidRDefault="00EA6927" w:rsidP="00EA6927">
            <w:pPr>
              <w:ind w:left="0" w:firstLine="0"/>
              <w:jc w:val="right"/>
              <w:rPr>
                <w:sz w:val="24"/>
                <w:szCs w:val="24"/>
              </w:rPr>
            </w:pPr>
            <w:r>
              <w:rPr>
                <w:sz w:val="24"/>
                <w:szCs w:val="24"/>
              </w:rPr>
              <w:t>659 605</w:t>
            </w:r>
          </w:p>
        </w:tc>
        <w:tc>
          <w:tcPr>
            <w:tcW w:w="1591" w:type="dxa"/>
            <w:shd w:val="clear" w:color="auto" w:fill="auto"/>
          </w:tcPr>
          <w:p w:rsidR="00DE302A" w:rsidRPr="009D5242" w:rsidRDefault="00EA6927" w:rsidP="00EA6927">
            <w:pPr>
              <w:ind w:left="0" w:firstLine="0"/>
              <w:jc w:val="right"/>
              <w:rPr>
                <w:sz w:val="24"/>
                <w:szCs w:val="24"/>
              </w:rPr>
            </w:pPr>
            <w:r>
              <w:rPr>
                <w:sz w:val="24"/>
                <w:szCs w:val="24"/>
              </w:rPr>
              <w:t>731 126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A.III Dlhodobý finančný majetok</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Obežný majetok</w:t>
            </w:r>
          </w:p>
        </w:tc>
        <w:tc>
          <w:tcPr>
            <w:tcW w:w="1701" w:type="dxa"/>
            <w:shd w:val="clear" w:color="auto" w:fill="auto"/>
          </w:tcPr>
          <w:p w:rsidR="00DE302A" w:rsidRPr="009D5242" w:rsidRDefault="00EA6927" w:rsidP="00EA6927">
            <w:pPr>
              <w:ind w:left="0" w:firstLine="0"/>
              <w:jc w:val="right"/>
              <w:rPr>
                <w:sz w:val="24"/>
                <w:szCs w:val="24"/>
              </w:rPr>
            </w:pPr>
            <w:r>
              <w:rPr>
                <w:sz w:val="24"/>
                <w:szCs w:val="24"/>
              </w:rPr>
              <w:t>2 894 692</w:t>
            </w:r>
          </w:p>
        </w:tc>
        <w:tc>
          <w:tcPr>
            <w:tcW w:w="1591" w:type="dxa"/>
            <w:shd w:val="clear" w:color="auto" w:fill="auto"/>
          </w:tcPr>
          <w:p w:rsidR="00DE302A" w:rsidRPr="009D5242" w:rsidRDefault="00EA6927" w:rsidP="00EA6927">
            <w:pPr>
              <w:ind w:left="0" w:firstLine="0"/>
              <w:jc w:val="right"/>
              <w:rPr>
                <w:sz w:val="24"/>
                <w:szCs w:val="24"/>
              </w:rPr>
            </w:pPr>
            <w:r>
              <w:rPr>
                <w:sz w:val="24"/>
                <w:szCs w:val="24"/>
              </w:rPr>
              <w:t>3 391 499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 Zásoby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740 163</w:t>
            </w:r>
          </w:p>
        </w:tc>
        <w:tc>
          <w:tcPr>
            <w:tcW w:w="1591" w:type="dxa"/>
            <w:shd w:val="clear" w:color="auto" w:fill="auto"/>
          </w:tcPr>
          <w:p w:rsidR="00DE302A" w:rsidRPr="009D5242" w:rsidRDefault="00EA6927" w:rsidP="00EA6927">
            <w:pPr>
              <w:ind w:left="0" w:firstLine="0"/>
              <w:jc w:val="right"/>
              <w:rPr>
                <w:sz w:val="24"/>
                <w:szCs w:val="24"/>
              </w:rPr>
            </w:pPr>
            <w:r>
              <w:rPr>
                <w:sz w:val="24"/>
                <w:szCs w:val="24"/>
              </w:rPr>
              <w:t>851 348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 Dlhodobé pohľadávky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4 616</w:t>
            </w:r>
          </w:p>
        </w:tc>
        <w:tc>
          <w:tcPr>
            <w:tcW w:w="1591" w:type="dxa"/>
            <w:shd w:val="clear" w:color="auto" w:fill="auto"/>
          </w:tcPr>
          <w:p w:rsidR="00DE302A" w:rsidRPr="009D5242" w:rsidRDefault="00EA6927" w:rsidP="00EA6927">
            <w:pPr>
              <w:ind w:left="0" w:firstLine="0"/>
              <w:jc w:val="right"/>
              <w:rPr>
                <w:sz w:val="24"/>
                <w:szCs w:val="24"/>
              </w:rPr>
            </w:pPr>
            <w:r>
              <w:rPr>
                <w:sz w:val="24"/>
                <w:szCs w:val="24"/>
              </w:rPr>
              <w:t>4 331</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B.III Krátkodobé pohľadávky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2 143 009</w:t>
            </w:r>
          </w:p>
        </w:tc>
        <w:tc>
          <w:tcPr>
            <w:tcW w:w="1591" w:type="dxa"/>
            <w:shd w:val="clear" w:color="auto" w:fill="auto"/>
          </w:tcPr>
          <w:p w:rsidR="00DE302A" w:rsidRPr="009D5242" w:rsidRDefault="00EA6927" w:rsidP="00EA6927">
            <w:pPr>
              <w:ind w:left="0" w:firstLine="0"/>
              <w:jc w:val="right"/>
              <w:rPr>
                <w:sz w:val="24"/>
                <w:szCs w:val="24"/>
              </w:rPr>
            </w:pPr>
            <w:r>
              <w:rPr>
                <w:sz w:val="24"/>
                <w:szCs w:val="24"/>
              </w:rPr>
              <w:t>2 508 060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B.IV Krátkodobý finančný majetok</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V Finančné účty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6 904</w:t>
            </w:r>
          </w:p>
        </w:tc>
        <w:tc>
          <w:tcPr>
            <w:tcW w:w="1591" w:type="dxa"/>
            <w:shd w:val="clear" w:color="auto" w:fill="auto"/>
          </w:tcPr>
          <w:p w:rsidR="00DE302A" w:rsidRPr="009D5242" w:rsidRDefault="00EA6927" w:rsidP="00EA6927">
            <w:pPr>
              <w:ind w:left="0" w:firstLine="0"/>
              <w:jc w:val="right"/>
              <w:rPr>
                <w:sz w:val="24"/>
                <w:szCs w:val="24"/>
              </w:rPr>
            </w:pPr>
            <w:r>
              <w:rPr>
                <w:sz w:val="24"/>
                <w:szCs w:val="24"/>
              </w:rPr>
              <w:t>27 760</w:t>
            </w:r>
          </w:p>
        </w:tc>
      </w:tr>
      <w:tr w:rsidR="00DE302A"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Časové rozlíšenie</w:t>
            </w:r>
          </w:p>
        </w:tc>
        <w:tc>
          <w:tcPr>
            <w:tcW w:w="1701" w:type="dxa"/>
            <w:shd w:val="clear" w:color="auto" w:fill="auto"/>
          </w:tcPr>
          <w:p w:rsidR="00DE302A" w:rsidRPr="009D5242" w:rsidRDefault="00EA6927" w:rsidP="00EA6927">
            <w:pPr>
              <w:ind w:left="0" w:firstLine="0"/>
              <w:jc w:val="right"/>
              <w:rPr>
                <w:sz w:val="24"/>
                <w:szCs w:val="24"/>
              </w:rPr>
            </w:pPr>
            <w:r>
              <w:rPr>
                <w:sz w:val="24"/>
                <w:szCs w:val="24"/>
              </w:rPr>
              <w:t>12 026</w:t>
            </w:r>
          </w:p>
        </w:tc>
        <w:tc>
          <w:tcPr>
            <w:tcW w:w="1591" w:type="dxa"/>
            <w:shd w:val="clear" w:color="auto" w:fill="auto"/>
          </w:tcPr>
          <w:p w:rsidR="00DE302A" w:rsidRPr="009D5242" w:rsidRDefault="00EA6927" w:rsidP="00EA6927">
            <w:pPr>
              <w:ind w:left="0" w:firstLine="0"/>
              <w:jc w:val="right"/>
              <w:rPr>
                <w:sz w:val="24"/>
                <w:szCs w:val="24"/>
              </w:rPr>
            </w:pPr>
            <w:r>
              <w:rPr>
                <w:sz w:val="24"/>
                <w:szCs w:val="24"/>
              </w:rPr>
              <w:t>11 999</w:t>
            </w:r>
          </w:p>
        </w:tc>
      </w:tr>
    </w:tbl>
    <w:p w:rsidR="00DE302A" w:rsidRPr="009D5242" w:rsidRDefault="00DE302A" w:rsidP="00DE302A">
      <w:pPr>
        <w:ind w:left="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591"/>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b/>
                <w:sz w:val="24"/>
                <w:szCs w:val="24"/>
              </w:rPr>
              <w:t>STRANA PASÍV SÚVAHY</w:t>
            </w:r>
          </w:p>
          <w:p w:rsidR="00DE302A" w:rsidRPr="009D5242" w:rsidRDefault="00DE302A" w:rsidP="00EA44AD">
            <w:pPr>
              <w:ind w:left="0" w:firstLine="0"/>
              <w:jc w:val="center"/>
              <w:rPr>
                <w:b/>
                <w:sz w:val="24"/>
                <w:szCs w:val="24"/>
              </w:rPr>
            </w:pPr>
            <w:r w:rsidRPr="009D5242">
              <w:rPr>
                <w:sz w:val="24"/>
                <w:szCs w:val="24"/>
              </w:rPr>
              <w:t>(údaje v celých eurách)</w:t>
            </w:r>
          </w:p>
        </w:tc>
        <w:tc>
          <w:tcPr>
            <w:tcW w:w="170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9</w:t>
            </w:r>
          </w:p>
        </w:tc>
        <w:tc>
          <w:tcPr>
            <w:tcW w:w="159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8</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VLASTNÉ IMANIE A ZÁV</w:t>
            </w:r>
            <w:r w:rsidRPr="009D5242">
              <w:rPr>
                <w:rFonts w:cs="Calibri"/>
                <w:b/>
                <w:sz w:val="24"/>
                <w:szCs w:val="24"/>
              </w:rPr>
              <w:t>Ä</w:t>
            </w:r>
            <w:r w:rsidRPr="009D5242">
              <w:rPr>
                <w:b/>
                <w:sz w:val="24"/>
                <w:szCs w:val="24"/>
              </w:rPr>
              <w:t>ZKY SPOLU</w:t>
            </w:r>
          </w:p>
        </w:tc>
        <w:tc>
          <w:tcPr>
            <w:tcW w:w="1701" w:type="dxa"/>
            <w:shd w:val="clear" w:color="auto" w:fill="auto"/>
          </w:tcPr>
          <w:p w:rsidR="00DE302A" w:rsidRPr="009D5242" w:rsidRDefault="00EA6927" w:rsidP="00EA6927">
            <w:pPr>
              <w:ind w:left="0" w:firstLine="0"/>
              <w:jc w:val="right"/>
              <w:rPr>
                <w:sz w:val="24"/>
                <w:szCs w:val="24"/>
              </w:rPr>
            </w:pPr>
            <w:r>
              <w:rPr>
                <w:sz w:val="24"/>
                <w:szCs w:val="24"/>
              </w:rPr>
              <w:t>3 573 296</w:t>
            </w:r>
          </w:p>
        </w:tc>
        <w:tc>
          <w:tcPr>
            <w:tcW w:w="1591" w:type="dxa"/>
            <w:shd w:val="clear" w:color="auto" w:fill="auto"/>
          </w:tcPr>
          <w:p w:rsidR="00DE302A" w:rsidRPr="009D5242" w:rsidRDefault="00EA6927" w:rsidP="00EA6927">
            <w:pPr>
              <w:ind w:left="0" w:firstLine="0"/>
              <w:jc w:val="right"/>
              <w:rPr>
                <w:sz w:val="24"/>
                <w:szCs w:val="24"/>
              </w:rPr>
            </w:pPr>
            <w:r>
              <w:rPr>
                <w:sz w:val="24"/>
                <w:szCs w:val="24"/>
              </w:rPr>
              <w:t>4 137 173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Vlastné imanie</w:t>
            </w:r>
          </w:p>
        </w:tc>
        <w:tc>
          <w:tcPr>
            <w:tcW w:w="1701" w:type="dxa"/>
            <w:shd w:val="clear" w:color="auto" w:fill="auto"/>
          </w:tcPr>
          <w:p w:rsidR="00DE302A" w:rsidRPr="009D5242" w:rsidRDefault="00EA6927" w:rsidP="00EA6927">
            <w:pPr>
              <w:ind w:left="0" w:firstLine="0"/>
              <w:jc w:val="right"/>
              <w:rPr>
                <w:sz w:val="24"/>
                <w:szCs w:val="24"/>
              </w:rPr>
            </w:pPr>
            <w:r>
              <w:rPr>
                <w:sz w:val="24"/>
                <w:szCs w:val="24"/>
              </w:rPr>
              <w:t>1 567 642</w:t>
            </w:r>
          </w:p>
        </w:tc>
        <w:tc>
          <w:tcPr>
            <w:tcW w:w="1591" w:type="dxa"/>
            <w:shd w:val="clear" w:color="auto" w:fill="auto"/>
          </w:tcPr>
          <w:p w:rsidR="00DE302A" w:rsidRPr="009D5242" w:rsidRDefault="00EA6927" w:rsidP="00EA6927">
            <w:pPr>
              <w:ind w:left="0" w:firstLine="0"/>
              <w:jc w:val="right"/>
              <w:rPr>
                <w:sz w:val="24"/>
                <w:szCs w:val="24"/>
              </w:rPr>
            </w:pPr>
            <w:r>
              <w:rPr>
                <w:sz w:val="24"/>
                <w:szCs w:val="24"/>
              </w:rPr>
              <w:t>1 637 109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A.1 Základné imanie</w:t>
            </w:r>
          </w:p>
        </w:tc>
        <w:tc>
          <w:tcPr>
            <w:tcW w:w="1701" w:type="dxa"/>
            <w:shd w:val="clear" w:color="auto" w:fill="auto"/>
          </w:tcPr>
          <w:p w:rsidR="00DE302A" w:rsidRPr="009D5242" w:rsidRDefault="00EA6927" w:rsidP="00EA6927">
            <w:pPr>
              <w:ind w:left="0" w:firstLine="0"/>
              <w:jc w:val="right"/>
              <w:rPr>
                <w:sz w:val="24"/>
                <w:szCs w:val="24"/>
              </w:rPr>
            </w:pPr>
            <w:r>
              <w:rPr>
                <w:sz w:val="24"/>
                <w:szCs w:val="24"/>
              </w:rPr>
              <w:t>7 968</w:t>
            </w:r>
          </w:p>
        </w:tc>
        <w:tc>
          <w:tcPr>
            <w:tcW w:w="1591" w:type="dxa"/>
            <w:shd w:val="clear" w:color="auto" w:fill="auto"/>
          </w:tcPr>
          <w:p w:rsidR="00DE302A" w:rsidRPr="009D5242" w:rsidRDefault="00EA6927" w:rsidP="00EA6927">
            <w:pPr>
              <w:ind w:left="0" w:firstLine="0"/>
              <w:jc w:val="right"/>
              <w:rPr>
                <w:sz w:val="24"/>
                <w:szCs w:val="24"/>
              </w:rPr>
            </w:pPr>
            <w:r>
              <w:rPr>
                <w:sz w:val="24"/>
                <w:szCs w:val="24"/>
              </w:rPr>
              <w:t>7 968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 Emisné ážio</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A.III Ostatné kapitálové fondy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A.IV Zákonné rezervné fondy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12 385</w:t>
            </w:r>
          </w:p>
        </w:tc>
        <w:tc>
          <w:tcPr>
            <w:tcW w:w="1591" w:type="dxa"/>
            <w:shd w:val="clear" w:color="auto" w:fill="auto"/>
          </w:tcPr>
          <w:p w:rsidR="00DE302A" w:rsidRPr="009D5242" w:rsidRDefault="00EA6927" w:rsidP="00EA6927">
            <w:pPr>
              <w:ind w:left="0" w:firstLine="0"/>
              <w:jc w:val="right"/>
              <w:rPr>
                <w:sz w:val="24"/>
                <w:szCs w:val="24"/>
              </w:rPr>
            </w:pPr>
            <w:r>
              <w:rPr>
                <w:sz w:val="24"/>
                <w:szCs w:val="24"/>
              </w:rPr>
              <w:t>12 385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 Ostatné fondy zo zisku</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A.VI Oceňovacie rozdiely z precenenia</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A.VII Výsledok hospodárenia minulých rokov</w:t>
            </w:r>
          </w:p>
        </w:tc>
        <w:tc>
          <w:tcPr>
            <w:tcW w:w="1701" w:type="dxa"/>
            <w:shd w:val="clear" w:color="auto" w:fill="auto"/>
          </w:tcPr>
          <w:p w:rsidR="00DE302A" w:rsidRPr="009D5242" w:rsidRDefault="00EA6927" w:rsidP="00EA6927">
            <w:pPr>
              <w:ind w:left="0" w:firstLine="0"/>
              <w:jc w:val="right"/>
              <w:rPr>
                <w:sz w:val="24"/>
                <w:szCs w:val="24"/>
              </w:rPr>
            </w:pPr>
            <w:r>
              <w:rPr>
                <w:sz w:val="24"/>
                <w:szCs w:val="24"/>
              </w:rPr>
              <w:t>1 500 000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1 500 000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VIII Výsledok hospodárenia bežného roku po zdanení</w:t>
            </w:r>
          </w:p>
        </w:tc>
        <w:tc>
          <w:tcPr>
            <w:tcW w:w="1701" w:type="dxa"/>
            <w:shd w:val="clear" w:color="auto" w:fill="auto"/>
          </w:tcPr>
          <w:p w:rsidR="00DE302A" w:rsidRPr="009D5242" w:rsidRDefault="00EA6927" w:rsidP="00EA6927">
            <w:pPr>
              <w:ind w:left="0" w:firstLine="0"/>
              <w:jc w:val="right"/>
              <w:rPr>
                <w:sz w:val="24"/>
                <w:szCs w:val="24"/>
              </w:rPr>
            </w:pPr>
            <w:r>
              <w:rPr>
                <w:sz w:val="24"/>
                <w:szCs w:val="24"/>
              </w:rPr>
              <w:t>47 289</w:t>
            </w:r>
          </w:p>
        </w:tc>
        <w:tc>
          <w:tcPr>
            <w:tcW w:w="1591" w:type="dxa"/>
            <w:shd w:val="clear" w:color="auto" w:fill="auto"/>
          </w:tcPr>
          <w:p w:rsidR="00DE302A" w:rsidRPr="009D5242" w:rsidRDefault="00EA6927" w:rsidP="00EA6927">
            <w:pPr>
              <w:ind w:left="0" w:firstLine="0"/>
              <w:jc w:val="right"/>
              <w:rPr>
                <w:sz w:val="24"/>
                <w:szCs w:val="24"/>
              </w:rPr>
            </w:pPr>
            <w:r>
              <w:rPr>
                <w:sz w:val="24"/>
                <w:szCs w:val="24"/>
              </w:rPr>
              <w:t>116 756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Záväzky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2 005 604</w:t>
            </w:r>
          </w:p>
        </w:tc>
        <w:tc>
          <w:tcPr>
            <w:tcW w:w="1591" w:type="dxa"/>
            <w:shd w:val="clear" w:color="auto" w:fill="auto"/>
          </w:tcPr>
          <w:p w:rsidR="00DE302A" w:rsidRPr="009D5242" w:rsidRDefault="00EA6927" w:rsidP="00EA6927">
            <w:pPr>
              <w:ind w:left="0" w:firstLine="0"/>
              <w:jc w:val="right"/>
              <w:rPr>
                <w:sz w:val="24"/>
                <w:szCs w:val="24"/>
              </w:rPr>
            </w:pPr>
            <w:r>
              <w:rPr>
                <w:sz w:val="24"/>
                <w:szCs w:val="24"/>
              </w:rPr>
              <w:t>2 498 295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 Dlhodobé záväzky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37 746</w:t>
            </w:r>
          </w:p>
        </w:tc>
        <w:tc>
          <w:tcPr>
            <w:tcW w:w="1591" w:type="dxa"/>
            <w:shd w:val="clear" w:color="auto" w:fill="auto"/>
          </w:tcPr>
          <w:p w:rsidR="00DE302A" w:rsidRPr="009D5242" w:rsidRDefault="00EA6927" w:rsidP="00EA6927">
            <w:pPr>
              <w:ind w:left="0" w:firstLine="0"/>
              <w:jc w:val="right"/>
              <w:rPr>
                <w:sz w:val="24"/>
                <w:szCs w:val="24"/>
              </w:rPr>
            </w:pPr>
            <w:r>
              <w:rPr>
                <w:sz w:val="24"/>
                <w:szCs w:val="24"/>
              </w:rPr>
              <w:t>59 580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 Dlhodobé rezervy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B.III Dlhodobé bankové úvery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IV Krátkodobé záväzky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1 609 154</w:t>
            </w:r>
          </w:p>
        </w:tc>
        <w:tc>
          <w:tcPr>
            <w:tcW w:w="1591" w:type="dxa"/>
            <w:shd w:val="clear" w:color="auto" w:fill="auto"/>
          </w:tcPr>
          <w:p w:rsidR="00DE302A" w:rsidRPr="009D5242" w:rsidRDefault="00EA6927" w:rsidP="00EA6927">
            <w:pPr>
              <w:ind w:left="0" w:firstLine="0"/>
              <w:jc w:val="right"/>
              <w:rPr>
                <w:sz w:val="24"/>
                <w:szCs w:val="24"/>
              </w:rPr>
            </w:pPr>
            <w:r>
              <w:rPr>
                <w:sz w:val="24"/>
                <w:szCs w:val="24"/>
              </w:rPr>
              <w:t>2 000 057</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 Krátkodobé rezervy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23 895</w:t>
            </w:r>
          </w:p>
        </w:tc>
        <w:tc>
          <w:tcPr>
            <w:tcW w:w="1591" w:type="dxa"/>
            <w:shd w:val="clear" w:color="auto" w:fill="auto"/>
          </w:tcPr>
          <w:p w:rsidR="00DE302A" w:rsidRPr="009D5242" w:rsidRDefault="00EA6927" w:rsidP="00EA6927">
            <w:pPr>
              <w:ind w:left="0" w:firstLine="0"/>
              <w:jc w:val="right"/>
              <w:rPr>
                <w:sz w:val="24"/>
                <w:szCs w:val="24"/>
              </w:rPr>
            </w:pPr>
            <w:r>
              <w:rPr>
                <w:sz w:val="24"/>
                <w:szCs w:val="24"/>
              </w:rPr>
              <w:t>27 379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B.VI Bežné bankové úvery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334 809</w:t>
            </w:r>
          </w:p>
        </w:tc>
        <w:tc>
          <w:tcPr>
            <w:tcW w:w="1591" w:type="dxa"/>
            <w:shd w:val="clear" w:color="auto" w:fill="auto"/>
          </w:tcPr>
          <w:p w:rsidR="00DE302A" w:rsidRPr="009D5242" w:rsidRDefault="00EA6927" w:rsidP="00EA6927">
            <w:pPr>
              <w:ind w:left="0" w:firstLine="0"/>
              <w:jc w:val="right"/>
              <w:rPr>
                <w:sz w:val="24"/>
                <w:szCs w:val="24"/>
              </w:rPr>
            </w:pPr>
            <w:r>
              <w:rPr>
                <w:sz w:val="24"/>
                <w:szCs w:val="24"/>
              </w:rPr>
              <w:t>410 924</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B.VII Krátkodobé finančné výpomoci</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355</w:t>
            </w:r>
          </w:p>
        </w:tc>
      </w:tr>
      <w:tr w:rsidR="00DE302A"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Časové rozlíšenie</w:t>
            </w:r>
          </w:p>
        </w:tc>
        <w:tc>
          <w:tcPr>
            <w:tcW w:w="1701" w:type="dxa"/>
            <w:shd w:val="clear" w:color="auto" w:fill="auto"/>
          </w:tcPr>
          <w:p w:rsidR="00DE302A" w:rsidRPr="009D5242" w:rsidRDefault="00EA6927" w:rsidP="00EA6927">
            <w:pPr>
              <w:ind w:left="0" w:firstLine="0"/>
              <w:jc w:val="right"/>
              <w:rPr>
                <w:sz w:val="24"/>
                <w:szCs w:val="24"/>
              </w:rPr>
            </w:pPr>
            <w:r>
              <w:rPr>
                <w:sz w:val="24"/>
                <w:szCs w:val="24"/>
              </w:rPr>
              <w:t>50</w:t>
            </w:r>
          </w:p>
        </w:tc>
        <w:tc>
          <w:tcPr>
            <w:tcW w:w="1591" w:type="dxa"/>
            <w:shd w:val="clear" w:color="auto" w:fill="auto"/>
          </w:tcPr>
          <w:p w:rsidR="00EA6927" w:rsidRPr="009D5242" w:rsidRDefault="00EA6927" w:rsidP="00EA6927">
            <w:pPr>
              <w:ind w:left="0" w:firstLine="0"/>
              <w:jc w:val="right"/>
              <w:rPr>
                <w:sz w:val="24"/>
                <w:szCs w:val="24"/>
              </w:rPr>
            </w:pPr>
            <w:r>
              <w:rPr>
                <w:sz w:val="24"/>
                <w:szCs w:val="24"/>
              </w:rPr>
              <w:t>1 769</w:t>
            </w:r>
          </w:p>
        </w:tc>
      </w:tr>
    </w:tbl>
    <w:p w:rsidR="00DE302A" w:rsidRPr="009D5242" w:rsidRDefault="00DE302A" w:rsidP="00DE302A">
      <w:pPr>
        <w:ind w:left="0" w:firstLine="0"/>
        <w:jc w:val="both"/>
        <w:rPr>
          <w:sz w:val="24"/>
          <w:szCs w:val="24"/>
        </w:rPr>
      </w:pPr>
    </w:p>
    <w:p w:rsidR="00DE302A" w:rsidRPr="00670A03" w:rsidRDefault="00EA0FE7" w:rsidP="00371192">
      <w:pPr>
        <w:spacing w:after="60"/>
        <w:ind w:left="0" w:firstLine="0"/>
        <w:jc w:val="both"/>
        <w:rPr>
          <w:rFonts w:ascii="Verdana" w:hAnsi="Verdana"/>
          <w:u w:val="single"/>
        </w:rPr>
      </w:pPr>
      <w:r>
        <w:rPr>
          <w:rFonts w:ascii="Verdana" w:hAnsi="Verdana"/>
          <w:u w:val="single"/>
        </w:rPr>
        <w:t xml:space="preserve">2.1.1. </w:t>
      </w:r>
      <w:r w:rsidR="00DE302A" w:rsidRPr="00670A03">
        <w:rPr>
          <w:rFonts w:ascii="Verdana" w:hAnsi="Verdana"/>
          <w:u w:val="single"/>
        </w:rPr>
        <w:t>Komentár k súvahe - aktíva:</w:t>
      </w:r>
    </w:p>
    <w:p w:rsidR="00B53F91" w:rsidRPr="00670A03" w:rsidRDefault="00DE302A" w:rsidP="00DE302A">
      <w:pPr>
        <w:spacing w:after="120"/>
        <w:ind w:left="0" w:firstLine="0"/>
        <w:jc w:val="both"/>
        <w:rPr>
          <w:rFonts w:ascii="Verdana" w:hAnsi="Verdana"/>
        </w:rPr>
      </w:pPr>
      <w:r w:rsidRPr="00670A03">
        <w:rPr>
          <w:rFonts w:ascii="Verdana" w:hAnsi="Verdana"/>
        </w:rPr>
        <w:t xml:space="preserve">Spoločnosť hospodári s vlastným dlhodobým hmotným majetkom (nie prenajatým). Dlhodobý hmotný majetok je už opotrebovaný (oprávky/OC) na </w:t>
      </w:r>
      <w:r w:rsidR="00F67D78" w:rsidRPr="00670A03">
        <w:rPr>
          <w:rFonts w:ascii="Verdana" w:hAnsi="Verdana"/>
        </w:rPr>
        <w:t>65,9</w:t>
      </w:r>
      <w:r w:rsidRPr="00670A03">
        <w:rPr>
          <w:rFonts w:ascii="Verdana" w:hAnsi="Verdana"/>
        </w:rPr>
        <w:t xml:space="preserve"> %. </w:t>
      </w:r>
    </w:p>
    <w:p w:rsidR="004E55A0" w:rsidRDefault="00DE302A" w:rsidP="00DE302A">
      <w:pPr>
        <w:spacing w:after="120"/>
        <w:ind w:left="0" w:firstLine="0"/>
        <w:jc w:val="both"/>
        <w:rPr>
          <w:rFonts w:ascii="Verdana" w:hAnsi="Verdana"/>
        </w:rPr>
      </w:pPr>
      <w:r w:rsidRPr="004E55A0">
        <w:rPr>
          <w:rFonts w:ascii="Verdana" w:hAnsi="Verdana"/>
        </w:rPr>
        <w:t>Dlhodobý nehmotný majetok predstavuje najmä softvér.</w:t>
      </w:r>
      <w:r w:rsidR="00B53F91" w:rsidRPr="004E55A0">
        <w:rPr>
          <w:rFonts w:ascii="Verdana" w:hAnsi="Verdana"/>
        </w:rPr>
        <w:t xml:space="preserve"> </w:t>
      </w:r>
    </w:p>
    <w:p w:rsidR="004E55A0" w:rsidRDefault="00DE302A" w:rsidP="00DE302A">
      <w:pPr>
        <w:spacing w:after="120"/>
        <w:ind w:left="0" w:firstLine="0"/>
        <w:jc w:val="both"/>
        <w:rPr>
          <w:rFonts w:ascii="Verdana" w:hAnsi="Verdana"/>
        </w:rPr>
      </w:pPr>
      <w:r w:rsidRPr="00670A03">
        <w:rPr>
          <w:rFonts w:ascii="Verdana" w:hAnsi="Verdana"/>
        </w:rPr>
        <w:t xml:space="preserve">Spoločnosť nevlastní akcie ani obchodný podiel v inej spoločnosti; </w:t>
      </w:r>
    </w:p>
    <w:p w:rsidR="00DE302A" w:rsidRPr="00670A03" w:rsidRDefault="00DE302A" w:rsidP="00DE302A">
      <w:pPr>
        <w:spacing w:after="120"/>
        <w:ind w:left="0" w:firstLine="0"/>
        <w:jc w:val="both"/>
        <w:rPr>
          <w:rFonts w:ascii="Verdana" w:hAnsi="Verdana"/>
        </w:rPr>
      </w:pPr>
      <w:r w:rsidRPr="00670A03">
        <w:rPr>
          <w:rFonts w:ascii="Verdana" w:hAnsi="Verdana"/>
        </w:rPr>
        <w:t>Vývoj stavu zásob je priaznivý, nedošlo k zvýšeniu ich stavu ani nárastu pomaly</w:t>
      </w:r>
      <w:r w:rsidR="004E55A0">
        <w:rPr>
          <w:rFonts w:ascii="Verdana" w:hAnsi="Verdana"/>
        </w:rPr>
        <w:t xml:space="preserve"> </w:t>
      </w:r>
      <w:r w:rsidRPr="00670A03">
        <w:rPr>
          <w:rFonts w:ascii="Verdana" w:hAnsi="Verdana"/>
        </w:rPr>
        <w:t xml:space="preserve">obrátkových zásob bez pohybu nad jeden rok. Opravná položka k zásobám nebola tvorená.  </w:t>
      </w:r>
    </w:p>
    <w:p w:rsidR="00DE302A" w:rsidRPr="00670A03" w:rsidRDefault="00DE302A" w:rsidP="00DE302A">
      <w:pPr>
        <w:spacing w:after="120"/>
        <w:ind w:left="0" w:firstLine="0"/>
        <w:jc w:val="both"/>
        <w:rPr>
          <w:rFonts w:ascii="Verdana" w:hAnsi="Verdana"/>
        </w:rPr>
      </w:pPr>
      <w:r w:rsidRPr="00670A03">
        <w:rPr>
          <w:rFonts w:ascii="Verdana" w:hAnsi="Verdana"/>
        </w:rPr>
        <w:t>Vývoj stavu krátkodobých pohľadávok je priaznivý, ich celkový objem</w:t>
      </w:r>
      <w:r w:rsidR="005347AC" w:rsidRPr="00670A03">
        <w:rPr>
          <w:rFonts w:ascii="Verdana" w:hAnsi="Verdana"/>
        </w:rPr>
        <w:t xml:space="preserve"> sa významne znížil o 365 051€, t.j. 14,5%.</w:t>
      </w:r>
      <w:r w:rsidR="00044A82" w:rsidRPr="00670A03">
        <w:rPr>
          <w:rFonts w:ascii="Verdana" w:hAnsi="Verdana"/>
        </w:rPr>
        <w:t xml:space="preserve"> O</w:t>
      </w:r>
      <w:r w:rsidRPr="00670A03">
        <w:rPr>
          <w:rFonts w:ascii="Verdana" w:hAnsi="Verdana"/>
        </w:rPr>
        <w:t>bjem pohľadávok nezaplatených po lehote splatnosti</w:t>
      </w:r>
      <w:r w:rsidR="00044A82" w:rsidRPr="00670A03">
        <w:rPr>
          <w:rFonts w:ascii="Verdana" w:hAnsi="Verdana"/>
        </w:rPr>
        <w:t xml:space="preserve"> sa v priebehu roka  znížil o 25,2%</w:t>
      </w:r>
      <w:r w:rsidRPr="00670A03">
        <w:rPr>
          <w:rFonts w:ascii="Verdana" w:hAnsi="Verdana"/>
        </w:rPr>
        <w:t xml:space="preserve">. Pohľadávky po lehote splatnosti sú v sume </w:t>
      </w:r>
      <w:r w:rsidR="00044A82" w:rsidRPr="00670A03">
        <w:rPr>
          <w:rFonts w:ascii="Verdana" w:hAnsi="Verdana"/>
        </w:rPr>
        <w:t>1 122 478</w:t>
      </w:r>
      <w:r w:rsidRPr="00670A03">
        <w:rPr>
          <w:rFonts w:ascii="Verdana" w:hAnsi="Verdana"/>
        </w:rPr>
        <w:t xml:space="preserve"> eur, spoločnosť </w:t>
      </w:r>
      <w:r w:rsidRPr="004E55A0">
        <w:rPr>
          <w:rFonts w:ascii="Verdana" w:hAnsi="Verdana"/>
        </w:rPr>
        <w:t xml:space="preserve">vytvorila opravnú položku v sume </w:t>
      </w:r>
      <w:r w:rsidR="004E55A0">
        <w:rPr>
          <w:rFonts w:ascii="Verdana" w:hAnsi="Verdana"/>
        </w:rPr>
        <w:t>386,4</w:t>
      </w:r>
      <w:r w:rsidRPr="004E55A0">
        <w:rPr>
          <w:rFonts w:ascii="Verdana" w:hAnsi="Verdana"/>
        </w:rPr>
        <w:t xml:space="preserve"> eur, čo predstavuje </w:t>
      </w:r>
      <w:r w:rsidR="004E55A0">
        <w:rPr>
          <w:rFonts w:ascii="Verdana" w:hAnsi="Verdana"/>
        </w:rPr>
        <w:t>0,03</w:t>
      </w:r>
      <w:r w:rsidRPr="004E55A0">
        <w:rPr>
          <w:rFonts w:ascii="Verdana" w:hAnsi="Verdana"/>
        </w:rPr>
        <w:t xml:space="preserve"> % ich objemu.</w:t>
      </w:r>
    </w:p>
    <w:p w:rsidR="004E55A0" w:rsidRDefault="00DE302A" w:rsidP="00DE302A">
      <w:pPr>
        <w:spacing w:after="120"/>
        <w:ind w:left="0" w:firstLine="0"/>
        <w:jc w:val="both"/>
        <w:rPr>
          <w:rFonts w:ascii="Verdana" w:hAnsi="Verdana"/>
        </w:rPr>
      </w:pPr>
      <w:r w:rsidRPr="00670A03">
        <w:rPr>
          <w:rFonts w:ascii="Verdana" w:hAnsi="Verdana"/>
        </w:rPr>
        <w:t>Časové rozlíšenie aktív predstavujú náklady budúcich období, a to najmä –</w:t>
      </w:r>
      <w:r w:rsidR="004E55A0">
        <w:rPr>
          <w:rFonts w:ascii="Verdana" w:hAnsi="Verdana"/>
        </w:rPr>
        <w:t>online účtovné poradenstvo, web hosting, poistenie majetku.</w:t>
      </w:r>
    </w:p>
    <w:p w:rsidR="00DE302A" w:rsidRPr="00670A03" w:rsidRDefault="00EA0FE7" w:rsidP="00371192">
      <w:pPr>
        <w:spacing w:after="60"/>
        <w:ind w:left="0" w:firstLine="0"/>
        <w:jc w:val="both"/>
        <w:rPr>
          <w:rFonts w:ascii="Verdana" w:hAnsi="Verdana"/>
          <w:u w:val="single"/>
        </w:rPr>
      </w:pPr>
      <w:r>
        <w:rPr>
          <w:rFonts w:ascii="Verdana" w:hAnsi="Verdana"/>
          <w:u w:val="single"/>
        </w:rPr>
        <w:t xml:space="preserve">2.1.2. </w:t>
      </w:r>
      <w:r w:rsidR="00DE302A" w:rsidRPr="00670A03">
        <w:rPr>
          <w:rFonts w:ascii="Verdana" w:hAnsi="Verdana"/>
          <w:u w:val="single"/>
        </w:rPr>
        <w:t>Komentár k súvahe - pasíva:</w:t>
      </w:r>
    </w:p>
    <w:p w:rsidR="00DE302A" w:rsidRPr="00670A03" w:rsidRDefault="00DE302A" w:rsidP="00DE302A">
      <w:pPr>
        <w:spacing w:after="120"/>
        <w:ind w:left="0" w:firstLine="0"/>
        <w:jc w:val="both"/>
        <w:rPr>
          <w:rFonts w:ascii="Verdana" w:hAnsi="Verdana"/>
        </w:rPr>
      </w:pPr>
      <w:r w:rsidRPr="00670A03">
        <w:rPr>
          <w:rFonts w:ascii="Verdana" w:hAnsi="Verdana"/>
        </w:rPr>
        <w:t xml:space="preserve">Celé základné imanie spoločnosti v sume </w:t>
      </w:r>
      <w:r w:rsidR="00F80663" w:rsidRPr="00670A03">
        <w:rPr>
          <w:rFonts w:ascii="Verdana" w:hAnsi="Verdana"/>
        </w:rPr>
        <w:t>7 968,00</w:t>
      </w:r>
      <w:r w:rsidRPr="00670A03">
        <w:rPr>
          <w:rFonts w:ascii="Verdana" w:hAnsi="Verdana"/>
        </w:rPr>
        <w:t xml:space="preserve"> eur zapísané v obchodnom registri je splatené. Vlastné imanie spoločnosti je v sume </w:t>
      </w:r>
      <w:r w:rsidR="00F80663" w:rsidRPr="00670A03">
        <w:rPr>
          <w:rFonts w:ascii="Verdana" w:hAnsi="Verdana"/>
        </w:rPr>
        <w:t>1 567 642,00</w:t>
      </w:r>
      <w:r w:rsidRPr="00670A03">
        <w:rPr>
          <w:rFonts w:ascii="Verdana" w:hAnsi="Verdana"/>
        </w:rPr>
        <w:t xml:space="preserve"> eur, a celkové záväzky sú v sume </w:t>
      </w:r>
      <w:r w:rsidR="00F80663" w:rsidRPr="00670A03">
        <w:rPr>
          <w:rFonts w:ascii="Verdana" w:hAnsi="Verdana"/>
        </w:rPr>
        <w:t xml:space="preserve">2 005 604,89 </w:t>
      </w:r>
      <w:r w:rsidRPr="00670A03">
        <w:rPr>
          <w:rFonts w:ascii="Verdana" w:hAnsi="Verdana"/>
        </w:rPr>
        <w:t xml:space="preserve">eur, čo značí, že spoločnosť hospodári prevažne </w:t>
      </w:r>
      <w:r w:rsidR="00F80663" w:rsidRPr="00670A03">
        <w:rPr>
          <w:rFonts w:ascii="Verdana" w:hAnsi="Verdana"/>
        </w:rPr>
        <w:t>s</w:t>
      </w:r>
      <w:r w:rsidRPr="00670A03">
        <w:rPr>
          <w:rFonts w:ascii="Verdana" w:hAnsi="Verdana"/>
        </w:rPr>
        <w:t xml:space="preserve"> vlastnými zdrojmi. Spoločnosť vytvára zákonný rezervný fond v súlade so </w:t>
      </w:r>
      <w:r w:rsidR="00F80663" w:rsidRPr="00670A03">
        <w:rPr>
          <w:rFonts w:ascii="Verdana" w:hAnsi="Verdana"/>
        </w:rPr>
        <w:t xml:space="preserve">Spoločenskou zmluvou </w:t>
      </w:r>
      <w:r w:rsidRPr="00670A03">
        <w:rPr>
          <w:rFonts w:ascii="Verdana" w:hAnsi="Verdana"/>
        </w:rPr>
        <w:t xml:space="preserve"> a Obchodným zákonníkom.</w:t>
      </w:r>
    </w:p>
    <w:p w:rsidR="00DE302A" w:rsidRPr="00670A03" w:rsidRDefault="00DE302A" w:rsidP="00DE302A">
      <w:pPr>
        <w:spacing w:after="120"/>
        <w:ind w:left="0" w:firstLine="0"/>
        <w:jc w:val="both"/>
        <w:rPr>
          <w:rFonts w:ascii="Verdana" w:hAnsi="Verdana"/>
        </w:rPr>
      </w:pPr>
      <w:r w:rsidRPr="00670A03">
        <w:rPr>
          <w:rFonts w:ascii="Verdana" w:hAnsi="Verdana"/>
        </w:rPr>
        <w:t xml:space="preserve">Krátkodobé rezervy v sume </w:t>
      </w:r>
      <w:r w:rsidR="00F80663" w:rsidRPr="00670A03">
        <w:rPr>
          <w:rFonts w:ascii="Verdana" w:hAnsi="Verdana"/>
        </w:rPr>
        <w:t xml:space="preserve">23 895 </w:t>
      </w:r>
      <w:r w:rsidRPr="00670A03">
        <w:rPr>
          <w:rFonts w:ascii="Verdana" w:hAnsi="Verdana"/>
        </w:rPr>
        <w:t xml:space="preserve">eur sú najmä </w:t>
      </w:r>
      <w:r w:rsidRPr="004E55A0">
        <w:rPr>
          <w:rFonts w:ascii="Verdana" w:hAnsi="Verdana"/>
        </w:rPr>
        <w:t>–</w:t>
      </w:r>
      <w:r w:rsidR="00F80663" w:rsidRPr="004E55A0">
        <w:rPr>
          <w:rFonts w:ascii="Verdana" w:hAnsi="Verdana"/>
        </w:rPr>
        <w:t xml:space="preserve"> </w:t>
      </w:r>
      <w:r w:rsidRPr="004E55A0">
        <w:rPr>
          <w:rFonts w:ascii="Verdana" w:hAnsi="Verdana"/>
        </w:rPr>
        <w:t>rezerva na nevyčerpané dovolenky a</w:t>
      </w:r>
      <w:r w:rsidR="00B53F91" w:rsidRPr="004E55A0">
        <w:rPr>
          <w:rFonts w:ascii="Verdana" w:hAnsi="Verdana"/>
        </w:rPr>
        <w:t> s tým súvisiace sociálne a zdravotné poistenie</w:t>
      </w:r>
      <w:r w:rsidR="004E55A0">
        <w:rPr>
          <w:rFonts w:ascii="Verdana" w:hAnsi="Verdana"/>
        </w:rPr>
        <w:t>, overenie účtovnej závierky, servis zariadení.</w:t>
      </w:r>
    </w:p>
    <w:p w:rsidR="00DE302A" w:rsidRPr="00670A03" w:rsidRDefault="00DE302A" w:rsidP="00DE302A">
      <w:pPr>
        <w:spacing w:after="120"/>
        <w:ind w:left="0" w:firstLine="0"/>
        <w:jc w:val="both"/>
        <w:rPr>
          <w:rFonts w:ascii="Verdana" w:hAnsi="Verdana"/>
        </w:rPr>
      </w:pPr>
      <w:r w:rsidRPr="00670A03">
        <w:rPr>
          <w:rFonts w:ascii="Verdana" w:hAnsi="Verdana"/>
        </w:rPr>
        <w:t xml:space="preserve">Spoločnosť má </w:t>
      </w:r>
      <w:r w:rsidR="00F80663" w:rsidRPr="00670A03">
        <w:rPr>
          <w:rFonts w:ascii="Verdana" w:hAnsi="Verdana"/>
        </w:rPr>
        <w:t>kontokorentný</w:t>
      </w:r>
      <w:r w:rsidRPr="00670A03">
        <w:rPr>
          <w:rFonts w:ascii="Verdana" w:hAnsi="Verdana"/>
        </w:rPr>
        <w:t xml:space="preserve"> úver, </w:t>
      </w:r>
      <w:r w:rsidR="00F80663" w:rsidRPr="00670A03">
        <w:rPr>
          <w:rFonts w:ascii="Verdana" w:hAnsi="Verdana"/>
        </w:rPr>
        <w:t xml:space="preserve">a </w:t>
      </w:r>
      <w:r w:rsidRPr="004E55A0">
        <w:rPr>
          <w:rFonts w:ascii="Verdana" w:hAnsi="Verdana"/>
        </w:rPr>
        <w:t xml:space="preserve">má krátkodobé finančné výpomoci v sume </w:t>
      </w:r>
      <w:r w:rsidR="009B36FA" w:rsidRPr="004E55A0">
        <w:rPr>
          <w:rFonts w:ascii="Verdana" w:hAnsi="Verdana"/>
        </w:rPr>
        <w:t>319 901,91</w:t>
      </w:r>
      <w:r w:rsidRPr="004E55A0">
        <w:rPr>
          <w:rFonts w:ascii="Verdana" w:hAnsi="Verdana"/>
        </w:rPr>
        <w:t xml:space="preserve"> eur od svojich spoločníkov; t</w:t>
      </w:r>
      <w:r w:rsidRPr="00670A03">
        <w:rPr>
          <w:rFonts w:ascii="Verdana" w:hAnsi="Verdana"/>
        </w:rPr>
        <w:t>ieto sú úročené obvyklou úrokovou sadzbou na peňažnom trhu.</w:t>
      </w:r>
    </w:p>
    <w:p w:rsidR="00AB7350" w:rsidRPr="00670A03" w:rsidRDefault="00DE302A" w:rsidP="00DE302A">
      <w:pPr>
        <w:spacing w:after="120"/>
        <w:ind w:left="0" w:firstLine="0"/>
        <w:jc w:val="both"/>
        <w:rPr>
          <w:rFonts w:ascii="Verdana" w:hAnsi="Verdana"/>
        </w:rPr>
      </w:pPr>
      <w:r w:rsidRPr="004E55A0">
        <w:rPr>
          <w:rFonts w:ascii="Verdana" w:hAnsi="Verdana"/>
        </w:rPr>
        <w:t>Časové rozlíšenie pasív predstavujú výnosy budúcich období, a to najmä –</w:t>
      </w:r>
      <w:r w:rsidR="004E55A0">
        <w:rPr>
          <w:rFonts w:ascii="Verdana" w:hAnsi="Verdana"/>
        </w:rPr>
        <w:t xml:space="preserve"> prenájom prístrojov.</w:t>
      </w:r>
    </w:p>
    <w:p w:rsidR="009B36FA" w:rsidRPr="009D5242" w:rsidRDefault="009B36FA" w:rsidP="00DE302A">
      <w:pPr>
        <w:spacing w:after="120"/>
        <w:ind w:left="0" w:firstLine="0"/>
        <w:jc w:val="both"/>
        <w:rPr>
          <w:sz w:val="24"/>
          <w:szCs w:val="24"/>
        </w:rPr>
      </w:pPr>
    </w:p>
    <w:p w:rsidR="00DE302A" w:rsidRPr="009D5242" w:rsidRDefault="00DE302A" w:rsidP="00DE302A">
      <w:pPr>
        <w:ind w:left="0" w:firstLine="0"/>
        <w:jc w:val="both"/>
        <w:rPr>
          <w:sz w:val="24"/>
          <w:szCs w:val="24"/>
        </w:rPr>
      </w:pP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VÝKAZ ZISKOV A STRÁT</w:t>
      </w: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Vybrané ukazovatele o výsledku hospodárenia</w:t>
      </w:r>
    </w:p>
    <w:p w:rsidR="00DE302A" w:rsidRPr="009D5242" w:rsidRDefault="00DE302A" w:rsidP="00DE302A">
      <w:pPr>
        <w:ind w:left="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591"/>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sz w:val="24"/>
                <w:szCs w:val="24"/>
              </w:rPr>
              <w:t>(údaje v celých eurách)</w:t>
            </w:r>
          </w:p>
        </w:tc>
        <w:tc>
          <w:tcPr>
            <w:tcW w:w="170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9</w:t>
            </w:r>
          </w:p>
        </w:tc>
        <w:tc>
          <w:tcPr>
            <w:tcW w:w="159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8</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ČISTÝ OBRAT</w:t>
            </w:r>
          </w:p>
        </w:tc>
        <w:tc>
          <w:tcPr>
            <w:tcW w:w="1701" w:type="dxa"/>
            <w:shd w:val="clear" w:color="auto" w:fill="auto"/>
          </w:tcPr>
          <w:p w:rsidR="00DE302A" w:rsidRPr="009D5242" w:rsidRDefault="009B36FA" w:rsidP="009B36FA">
            <w:pPr>
              <w:ind w:left="0" w:firstLine="0"/>
              <w:jc w:val="right"/>
              <w:rPr>
                <w:sz w:val="24"/>
                <w:szCs w:val="24"/>
              </w:rPr>
            </w:pPr>
            <w:r>
              <w:rPr>
                <w:sz w:val="24"/>
                <w:szCs w:val="24"/>
              </w:rPr>
              <w:t>6 804 391</w:t>
            </w:r>
          </w:p>
        </w:tc>
        <w:tc>
          <w:tcPr>
            <w:tcW w:w="1591" w:type="dxa"/>
            <w:shd w:val="clear" w:color="auto" w:fill="auto"/>
          </w:tcPr>
          <w:p w:rsidR="00DE302A" w:rsidRPr="009D5242" w:rsidRDefault="009B36FA" w:rsidP="009B36FA">
            <w:pPr>
              <w:ind w:left="0" w:firstLine="0"/>
              <w:jc w:val="right"/>
              <w:rPr>
                <w:sz w:val="24"/>
                <w:szCs w:val="24"/>
              </w:rPr>
            </w:pPr>
            <w:r>
              <w:rPr>
                <w:sz w:val="24"/>
                <w:szCs w:val="24"/>
              </w:rPr>
              <w:t>6 835 250</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Výnosy z hospodárskej činnosti spolu</w:t>
            </w:r>
          </w:p>
        </w:tc>
        <w:tc>
          <w:tcPr>
            <w:tcW w:w="1701" w:type="dxa"/>
            <w:shd w:val="clear" w:color="auto" w:fill="auto"/>
          </w:tcPr>
          <w:p w:rsidR="00DE302A" w:rsidRPr="009D5242" w:rsidRDefault="009B36FA" w:rsidP="009B36FA">
            <w:pPr>
              <w:ind w:left="0" w:firstLine="0"/>
              <w:jc w:val="right"/>
              <w:rPr>
                <w:sz w:val="24"/>
                <w:szCs w:val="24"/>
              </w:rPr>
            </w:pPr>
            <w:r>
              <w:rPr>
                <w:sz w:val="24"/>
                <w:szCs w:val="24"/>
              </w:rPr>
              <w:t>7 010 800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6 872 726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 Tržby z predaja tovaru</w:t>
            </w:r>
          </w:p>
        </w:tc>
        <w:tc>
          <w:tcPr>
            <w:tcW w:w="1701" w:type="dxa"/>
            <w:shd w:val="clear" w:color="auto" w:fill="auto"/>
          </w:tcPr>
          <w:p w:rsidR="00DE302A" w:rsidRPr="009D5242" w:rsidRDefault="009B36FA" w:rsidP="009B36FA">
            <w:pPr>
              <w:ind w:left="0" w:firstLine="0"/>
              <w:jc w:val="right"/>
              <w:rPr>
                <w:sz w:val="24"/>
                <w:szCs w:val="24"/>
              </w:rPr>
            </w:pPr>
            <w:r>
              <w:rPr>
                <w:sz w:val="24"/>
                <w:szCs w:val="24"/>
              </w:rPr>
              <w:t>6 532 235</w:t>
            </w:r>
          </w:p>
        </w:tc>
        <w:tc>
          <w:tcPr>
            <w:tcW w:w="1591" w:type="dxa"/>
            <w:shd w:val="clear" w:color="auto" w:fill="auto"/>
          </w:tcPr>
          <w:p w:rsidR="00DE302A" w:rsidRPr="009D5242" w:rsidRDefault="009B36FA" w:rsidP="009B36FA">
            <w:pPr>
              <w:ind w:left="0" w:firstLine="0"/>
              <w:jc w:val="right"/>
              <w:rPr>
                <w:sz w:val="24"/>
                <w:szCs w:val="24"/>
              </w:rPr>
            </w:pPr>
            <w:r>
              <w:rPr>
                <w:sz w:val="24"/>
                <w:szCs w:val="24"/>
              </w:rPr>
              <w:t>6 531 072</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II. Tržby z predaja vlastných výrobkov</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III. Tržby z predaja služieb</w:t>
            </w:r>
          </w:p>
        </w:tc>
        <w:tc>
          <w:tcPr>
            <w:tcW w:w="1701" w:type="dxa"/>
            <w:shd w:val="clear" w:color="auto" w:fill="auto"/>
          </w:tcPr>
          <w:p w:rsidR="00DE302A" w:rsidRPr="009D5242" w:rsidRDefault="009B36FA" w:rsidP="009B36FA">
            <w:pPr>
              <w:ind w:left="0" w:firstLine="0"/>
              <w:jc w:val="right"/>
              <w:rPr>
                <w:sz w:val="24"/>
                <w:szCs w:val="24"/>
              </w:rPr>
            </w:pPr>
            <w:r>
              <w:rPr>
                <w:sz w:val="24"/>
                <w:szCs w:val="24"/>
              </w:rPr>
              <w:t>272 156</w:t>
            </w:r>
          </w:p>
        </w:tc>
        <w:tc>
          <w:tcPr>
            <w:tcW w:w="1591" w:type="dxa"/>
            <w:shd w:val="clear" w:color="auto" w:fill="auto"/>
          </w:tcPr>
          <w:p w:rsidR="00DE302A" w:rsidRPr="009D5242" w:rsidRDefault="009B36FA" w:rsidP="009B36FA">
            <w:pPr>
              <w:ind w:left="0" w:firstLine="0"/>
              <w:jc w:val="right"/>
              <w:rPr>
                <w:sz w:val="24"/>
                <w:szCs w:val="24"/>
              </w:rPr>
            </w:pPr>
            <w:r>
              <w:rPr>
                <w:sz w:val="24"/>
                <w:szCs w:val="24"/>
              </w:rPr>
              <w:t>304 178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IV. Zmena stavu zásob vlastnej výroby</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 Aktivácia</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VI. Tržby z predaja investičného majetku a zásob</w:t>
            </w:r>
          </w:p>
        </w:tc>
        <w:tc>
          <w:tcPr>
            <w:tcW w:w="1701" w:type="dxa"/>
            <w:shd w:val="clear" w:color="auto" w:fill="auto"/>
          </w:tcPr>
          <w:p w:rsidR="00DE302A" w:rsidRPr="009D5242" w:rsidRDefault="009B36FA" w:rsidP="009B36FA">
            <w:pPr>
              <w:ind w:left="0" w:firstLine="0"/>
              <w:jc w:val="right"/>
              <w:rPr>
                <w:sz w:val="24"/>
                <w:szCs w:val="24"/>
              </w:rPr>
            </w:pPr>
            <w:r>
              <w:rPr>
                <w:sz w:val="24"/>
                <w:szCs w:val="24"/>
              </w:rPr>
              <w:t>47 108</w:t>
            </w:r>
          </w:p>
        </w:tc>
        <w:tc>
          <w:tcPr>
            <w:tcW w:w="1591" w:type="dxa"/>
            <w:shd w:val="clear" w:color="auto" w:fill="auto"/>
          </w:tcPr>
          <w:p w:rsidR="009B36FA" w:rsidRPr="009D5242" w:rsidRDefault="009B36FA" w:rsidP="009B36FA">
            <w:pPr>
              <w:ind w:left="0" w:firstLine="0"/>
              <w:jc w:val="right"/>
              <w:rPr>
                <w:sz w:val="24"/>
                <w:szCs w:val="24"/>
              </w:rPr>
            </w:pPr>
            <w:r>
              <w:rPr>
                <w:sz w:val="24"/>
                <w:szCs w:val="24"/>
              </w:rPr>
              <w:t>12 005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lastRenderedPageBreak/>
              <w:t>VII. Ostatné výnosy z hospodárskej činnosti</w:t>
            </w:r>
          </w:p>
        </w:tc>
        <w:tc>
          <w:tcPr>
            <w:tcW w:w="1701" w:type="dxa"/>
            <w:shd w:val="clear" w:color="auto" w:fill="auto"/>
          </w:tcPr>
          <w:p w:rsidR="00DE302A" w:rsidRPr="009D5242" w:rsidRDefault="009B36FA" w:rsidP="009B36FA">
            <w:pPr>
              <w:ind w:left="0" w:firstLine="0"/>
              <w:jc w:val="right"/>
              <w:rPr>
                <w:sz w:val="24"/>
                <w:szCs w:val="24"/>
              </w:rPr>
            </w:pPr>
            <w:r>
              <w:rPr>
                <w:sz w:val="24"/>
                <w:szCs w:val="24"/>
              </w:rPr>
              <w:t>159 301</w:t>
            </w:r>
          </w:p>
        </w:tc>
        <w:tc>
          <w:tcPr>
            <w:tcW w:w="1591" w:type="dxa"/>
            <w:shd w:val="clear" w:color="auto" w:fill="auto"/>
          </w:tcPr>
          <w:p w:rsidR="00DE302A" w:rsidRPr="009D5242" w:rsidRDefault="009B36FA" w:rsidP="009B36FA">
            <w:pPr>
              <w:ind w:left="0" w:firstLine="0"/>
              <w:jc w:val="right"/>
              <w:rPr>
                <w:sz w:val="24"/>
                <w:szCs w:val="24"/>
              </w:rPr>
            </w:pPr>
            <w:r>
              <w:rPr>
                <w:sz w:val="24"/>
                <w:szCs w:val="24"/>
              </w:rPr>
              <w:t>25 471</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Náklady na hospodársku činnosť spolu</w:t>
            </w:r>
          </w:p>
        </w:tc>
        <w:tc>
          <w:tcPr>
            <w:tcW w:w="1701" w:type="dxa"/>
            <w:shd w:val="clear" w:color="auto" w:fill="auto"/>
          </w:tcPr>
          <w:p w:rsidR="00DE302A" w:rsidRPr="009D5242" w:rsidRDefault="009B36FA" w:rsidP="009B36FA">
            <w:pPr>
              <w:ind w:left="0" w:firstLine="0"/>
              <w:jc w:val="right"/>
              <w:rPr>
                <w:sz w:val="24"/>
                <w:szCs w:val="24"/>
              </w:rPr>
            </w:pPr>
            <w:r>
              <w:rPr>
                <w:sz w:val="24"/>
                <w:szCs w:val="24"/>
              </w:rPr>
              <w:t>6 918 670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6 691 325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Náklady na obstaranie predaného tovaru</w:t>
            </w:r>
          </w:p>
        </w:tc>
        <w:tc>
          <w:tcPr>
            <w:tcW w:w="1701" w:type="dxa"/>
            <w:shd w:val="clear" w:color="auto" w:fill="auto"/>
          </w:tcPr>
          <w:p w:rsidR="00DE302A" w:rsidRPr="009D5242" w:rsidRDefault="009B36FA" w:rsidP="009B36FA">
            <w:pPr>
              <w:ind w:left="0" w:firstLine="0"/>
              <w:jc w:val="right"/>
              <w:rPr>
                <w:sz w:val="24"/>
                <w:szCs w:val="24"/>
              </w:rPr>
            </w:pPr>
            <w:r>
              <w:rPr>
                <w:sz w:val="24"/>
                <w:szCs w:val="24"/>
              </w:rPr>
              <w:t>4 722 651</w:t>
            </w:r>
          </w:p>
        </w:tc>
        <w:tc>
          <w:tcPr>
            <w:tcW w:w="1591" w:type="dxa"/>
            <w:shd w:val="clear" w:color="auto" w:fill="auto"/>
          </w:tcPr>
          <w:p w:rsidR="00DE302A" w:rsidRPr="009D5242" w:rsidRDefault="009B36FA" w:rsidP="009B36FA">
            <w:pPr>
              <w:ind w:left="0" w:firstLine="0"/>
              <w:jc w:val="right"/>
              <w:rPr>
                <w:sz w:val="24"/>
                <w:szCs w:val="24"/>
              </w:rPr>
            </w:pPr>
            <w:r>
              <w:rPr>
                <w:sz w:val="24"/>
                <w:szCs w:val="24"/>
              </w:rPr>
              <w:t>4 543 156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Spotreba materiálu, energie a neskladovateľné dodávky</w:t>
            </w:r>
          </w:p>
        </w:tc>
        <w:tc>
          <w:tcPr>
            <w:tcW w:w="1701" w:type="dxa"/>
            <w:shd w:val="clear" w:color="auto" w:fill="auto"/>
          </w:tcPr>
          <w:p w:rsidR="00DE302A" w:rsidRPr="009D5242" w:rsidRDefault="009B36FA" w:rsidP="009B36FA">
            <w:pPr>
              <w:ind w:left="0" w:firstLine="0"/>
              <w:jc w:val="right"/>
              <w:rPr>
                <w:sz w:val="24"/>
                <w:szCs w:val="24"/>
              </w:rPr>
            </w:pPr>
            <w:r>
              <w:rPr>
                <w:sz w:val="24"/>
                <w:szCs w:val="24"/>
              </w:rPr>
              <w:t>168 737</w:t>
            </w:r>
          </w:p>
        </w:tc>
        <w:tc>
          <w:tcPr>
            <w:tcW w:w="1591" w:type="dxa"/>
            <w:shd w:val="clear" w:color="auto" w:fill="auto"/>
          </w:tcPr>
          <w:p w:rsidR="00DE302A" w:rsidRPr="009D5242" w:rsidRDefault="009B36FA" w:rsidP="009B36FA">
            <w:pPr>
              <w:ind w:left="0" w:firstLine="0"/>
              <w:jc w:val="right"/>
              <w:rPr>
                <w:sz w:val="24"/>
                <w:szCs w:val="24"/>
              </w:rPr>
            </w:pPr>
            <w:r>
              <w:rPr>
                <w:sz w:val="24"/>
                <w:szCs w:val="24"/>
              </w:rPr>
              <w:t>152 679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Opravné položky k zásobám</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 Služby</w:t>
            </w:r>
          </w:p>
        </w:tc>
        <w:tc>
          <w:tcPr>
            <w:tcW w:w="1701" w:type="dxa"/>
            <w:shd w:val="clear" w:color="auto" w:fill="auto"/>
          </w:tcPr>
          <w:p w:rsidR="00DE302A" w:rsidRPr="009D5242" w:rsidRDefault="009B36FA" w:rsidP="009B36FA">
            <w:pPr>
              <w:ind w:left="0" w:firstLine="0"/>
              <w:jc w:val="right"/>
              <w:rPr>
                <w:sz w:val="24"/>
                <w:szCs w:val="24"/>
              </w:rPr>
            </w:pPr>
            <w:r>
              <w:rPr>
                <w:sz w:val="24"/>
                <w:szCs w:val="24"/>
              </w:rPr>
              <w:t>393 794</w:t>
            </w:r>
          </w:p>
        </w:tc>
        <w:tc>
          <w:tcPr>
            <w:tcW w:w="1591" w:type="dxa"/>
            <w:shd w:val="clear" w:color="auto" w:fill="auto"/>
          </w:tcPr>
          <w:p w:rsidR="00DE302A" w:rsidRPr="009D5242" w:rsidRDefault="009B36FA" w:rsidP="009B36FA">
            <w:pPr>
              <w:ind w:left="0" w:firstLine="0"/>
              <w:jc w:val="right"/>
              <w:rPr>
                <w:sz w:val="24"/>
                <w:szCs w:val="24"/>
              </w:rPr>
            </w:pPr>
            <w:r>
              <w:rPr>
                <w:sz w:val="24"/>
                <w:szCs w:val="24"/>
              </w:rPr>
              <w:t>468 787</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E. Osobné náklady</w:t>
            </w:r>
          </w:p>
        </w:tc>
        <w:tc>
          <w:tcPr>
            <w:tcW w:w="1701" w:type="dxa"/>
            <w:shd w:val="clear" w:color="auto" w:fill="auto"/>
          </w:tcPr>
          <w:p w:rsidR="00DE302A" w:rsidRPr="009D5242" w:rsidRDefault="009B36FA" w:rsidP="009B36FA">
            <w:pPr>
              <w:ind w:left="0" w:firstLine="0"/>
              <w:jc w:val="right"/>
              <w:rPr>
                <w:sz w:val="24"/>
                <w:szCs w:val="24"/>
              </w:rPr>
            </w:pPr>
            <w:r>
              <w:rPr>
                <w:sz w:val="24"/>
                <w:szCs w:val="24"/>
              </w:rPr>
              <w:t>1 263 404</w:t>
            </w:r>
          </w:p>
        </w:tc>
        <w:tc>
          <w:tcPr>
            <w:tcW w:w="1591" w:type="dxa"/>
            <w:shd w:val="clear" w:color="auto" w:fill="auto"/>
          </w:tcPr>
          <w:p w:rsidR="00DE302A" w:rsidRPr="009D5242" w:rsidRDefault="009B36FA" w:rsidP="009B36FA">
            <w:pPr>
              <w:ind w:left="0" w:firstLine="0"/>
              <w:jc w:val="right"/>
              <w:rPr>
                <w:sz w:val="24"/>
                <w:szCs w:val="24"/>
              </w:rPr>
            </w:pPr>
            <w:r>
              <w:rPr>
                <w:sz w:val="24"/>
                <w:szCs w:val="24"/>
              </w:rPr>
              <w:t>1 183 573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G. Odpisy a opravné položky k dlhodobému majetku</w:t>
            </w:r>
          </w:p>
        </w:tc>
        <w:tc>
          <w:tcPr>
            <w:tcW w:w="1701" w:type="dxa"/>
            <w:shd w:val="clear" w:color="auto" w:fill="auto"/>
          </w:tcPr>
          <w:p w:rsidR="00DE302A" w:rsidRPr="009D5242" w:rsidRDefault="009B36FA" w:rsidP="009B36FA">
            <w:pPr>
              <w:ind w:left="0" w:firstLine="0"/>
              <w:jc w:val="right"/>
              <w:rPr>
                <w:sz w:val="24"/>
                <w:szCs w:val="24"/>
              </w:rPr>
            </w:pPr>
            <w:r>
              <w:rPr>
                <w:sz w:val="24"/>
                <w:szCs w:val="24"/>
              </w:rPr>
              <w:t>253 950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235 479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H. Zostatková cena predaného majetku a zásob</w:t>
            </w:r>
          </w:p>
        </w:tc>
        <w:tc>
          <w:tcPr>
            <w:tcW w:w="1701" w:type="dxa"/>
            <w:shd w:val="clear" w:color="auto" w:fill="auto"/>
          </w:tcPr>
          <w:p w:rsidR="00DE302A" w:rsidRPr="009D5242" w:rsidRDefault="009B36FA" w:rsidP="009B36FA">
            <w:pPr>
              <w:ind w:left="0" w:firstLine="0"/>
              <w:jc w:val="right"/>
              <w:rPr>
                <w:sz w:val="24"/>
                <w:szCs w:val="24"/>
              </w:rPr>
            </w:pPr>
            <w:r>
              <w:rPr>
                <w:sz w:val="24"/>
                <w:szCs w:val="24"/>
              </w:rPr>
              <w:t>17 054</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B53F91" w:rsidRPr="009D5242" w:rsidTr="00EA44AD">
        <w:tc>
          <w:tcPr>
            <w:tcW w:w="5920" w:type="dxa"/>
            <w:shd w:val="clear" w:color="auto" w:fill="auto"/>
          </w:tcPr>
          <w:p w:rsidR="00B53F91" w:rsidRPr="009D5242" w:rsidRDefault="00B53F91" w:rsidP="00EA44AD">
            <w:pPr>
              <w:ind w:left="0" w:firstLine="0"/>
              <w:jc w:val="both"/>
              <w:rPr>
                <w:sz w:val="24"/>
                <w:szCs w:val="24"/>
              </w:rPr>
            </w:pPr>
            <w:r>
              <w:rPr>
                <w:sz w:val="24"/>
                <w:szCs w:val="24"/>
              </w:rPr>
              <w:t>I. Opravné položky k pohľadávkam</w:t>
            </w:r>
          </w:p>
        </w:tc>
        <w:tc>
          <w:tcPr>
            <w:tcW w:w="1701" w:type="dxa"/>
            <w:shd w:val="clear" w:color="auto" w:fill="auto"/>
          </w:tcPr>
          <w:p w:rsidR="00B53F91" w:rsidRPr="009D5242" w:rsidRDefault="009B36FA" w:rsidP="009B36FA">
            <w:pPr>
              <w:ind w:left="0" w:firstLine="0"/>
              <w:jc w:val="right"/>
              <w:rPr>
                <w:sz w:val="24"/>
                <w:szCs w:val="24"/>
              </w:rPr>
            </w:pPr>
            <w:r>
              <w:rPr>
                <w:sz w:val="24"/>
                <w:szCs w:val="24"/>
              </w:rPr>
              <w:t>-106</w:t>
            </w:r>
          </w:p>
        </w:tc>
        <w:tc>
          <w:tcPr>
            <w:tcW w:w="1591" w:type="dxa"/>
            <w:shd w:val="clear" w:color="auto" w:fill="auto"/>
          </w:tcPr>
          <w:p w:rsidR="00B53F91" w:rsidRPr="009D5242" w:rsidRDefault="009B36FA" w:rsidP="009B36FA">
            <w:pPr>
              <w:ind w:left="0" w:firstLine="0"/>
              <w:jc w:val="right"/>
              <w:rPr>
                <w:sz w:val="24"/>
                <w:szCs w:val="24"/>
              </w:rPr>
            </w:pPr>
            <w:r>
              <w:rPr>
                <w:sz w:val="24"/>
                <w:szCs w:val="24"/>
              </w:rPr>
              <w:t>6 289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J. Ostatné náklady na hospodársku činnosť</w:t>
            </w:r>
          </w:p>
        </w:tc>
        <w:tc>
          <w:tcPr>
            <w:tcW w:w="1701" w:type="dxa"/>
            <w:shd w:val="clear" w:color="auto" w:fill="auto"/>
          </w:tcPr>
          <w:p w:rsidR="00DE302A" w:rsidRPr="009D5242" w:rsidRDefault="009B36FA" w:rsidP="009B36FA">
            <w:pPr>
              <w:ind w:left="0" w:firstLine="0"/>
              <w:jc w:val="right"/>
              <w:rPr>
                <w:sz w:val="24"/>
                <w:szCs w:val="24"/>
              </w:rPr>
            </w:pPr>
            <w:r>
              <w:rPr>
                <w:sz w:val="24"/>
                <w:szCs w:val="24"/>
              </w:rPr>
              <w:t>96 810</w:t>
            </w:r>
          </w:p>
        </w:tc>
        <w:tc>
          <w:tcPr>
            <w:tcW w:w="1591" w:type="dxa"/>
            <w:shd w:val="clear" w:color="auto" w:fill="auto"/>
          </w:tcPr>
          <w:p w:rsidR="009B36FA" w:rsidRPr="009D5242" w:rsidRDefault="009B36FA" w:rsidP="009B36FA">
            <w:pPr>
              <w:ind w:left="0" w:firstLine="0"/>
              <w:jc w:val="right"/>
              <w:rPr>
                <w:sz w:val="24"/>
                <w:szCs w:val="24"/>
              </w:rPr>
            </w:pPr>
            <w:r>
              <w:rPr>
                <w:sz w:val="24"/>
                <w:szCs w:val="24"/>
              </w:rPr>
              <w:t>98 849</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Výsledok hospodárenia z hospodárskej činnosti</w:t>
            </w:r>
          </w:p>
        </w:tc>
        <w:tc>
          <w:tcPr>
            <w:tcW w:w="1701" w:type="dxa"/>
            <w:shd w:val="clear" w:color="auto" w:fill="auto"/>
          </w:tcPr>
          <w:p w:rsidR="00DE302A" w:rsidRPr="009D5242" w:rsidRDefault="009B36FA" w:rsidP="009B36FA">
            <w:pPr>
              <w:ind w:left="0" w:firstLine="0"/>
              <w:jc w:val="right"/>
              <w:rPr>
                <w:sz w:val="24"/>
                <w:szCs w:val="24"/>
              </w:rPr>
            </w:pPr>
            <w:r>
              <w:rPr>
                <w:sz w:val="24"/>
                <w:szCs w:val="24"/>
              </w:rPr>
              <w:t>92 130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181 401</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Výnosy z finančnej činnosti</w:t>
            </w:r>
          </w:p>
        </w:tc>
        <w:tc>
          <w:tcPr>
            <w:tcW w:w="1701" w:type="dxa"/>
            <w:shd w:val="clear" w:color="auto" w:fill="auto"/>
          </w:tcPr>
          <w:p w:rsidR="00DE302A" w:rsidRPr="009D5242" w:rsidRDefault="009B36FA" w:rsidP="009B36FA">
            <w:pPr>
              <w:ind w:left="0" w:firstLine="0"/>
              <w:jc w:val="right"/>
              <w:rPr>
                <w:sz w:val="24"/>
                <w:szCs w:val="24"/>
              </w:rPr>
            </w:pPr>
            <w:r>
              <w:rPr>
                <w:sz w:val="24"/>
                <w:szCs w:val="24"/>
              </w:rPr>
              <w:t>157</w:t>
            </w:r>
          </w:p>
        </w:tc>
        <w:tc>
          <w:tcPr>
            <w:tcW w:w="1591" w:type="dxa"/>
            <w:shd w:val="clear" w:color="auto" w:fill="auto"/>
          </w:tcPr>
          <w:p w:rsidR="00DE302A" w:rsidRPr="009D5242" w:rsidRDefault="009B36FA" w:rsidP="009B36FA">
            <w:pPr>
              <w:ind w:left="0" w:firstLine="0"/>
              <w:jc w:val="right"/>
              <w:rPr>
                <w:sz w:val="24"/>
                <w:szCs w:val="24"/>
              </w:rPr>
            </w:pPr>
            <w:r>
              <w:rPr>
                <w:sz w:val="24"/>
                <w:szCs w:val="24"/>
              </w:rPr>
              <w:t>139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Náklady na finančnú činnosť</w:t>
            </w:r>
          </w:p>
        </w:tc>
        <w:tc>
          <w:tcPr>
            <w:tcW w:w="1701" w:type="dxa"/>
            <w:shd w:val="clear" w:color="auto" w:fill="auto"/>
          </w:tcPr>
          <w:p w:rsidR="00DE302A" w:rsidRPr="009D5242" w:rsidRDefault="009B36FA" w:rsidP="009B36FA">
            <w:pPr>
              <w:ind w:left="0" w:firstLine="0"/>
              <w:jc w:val="right"/>
              <w:rPr>
                <w:sz w:val="24"/>
                <w:szCs w:val="24"/>
              </w:rPr>
            </w:pPr>
            <w:r>
              <w:rPr>
                <w:sz w:val="24"/>
                <w:szCs w:val="24"/>
              </w:rPr>
              <w:t>29 534</w:t>
            </w:r>
          </w:p>
        </w:tc>
        <w:tc>
          <w:tcPr>
            <w:tcW w:w="1591" w:type="dxa"/>
            <w:shd w:val="clear" w:color="auto" w:fill="auto"/>
          </w:tcPr>
          <w:p w:rsidR="00DE302A" w:rsidRPr="009D5242" w:rsidRDefault="009B36FA" w:rsidP="009B36FA">
            <w:pPr>
              <w:ind w:left="0" w:firstLine="0"/>
              <w:jc w:val="right"/>
              <w:rPr>
                <w:sz w:val="24"/>
                <w:szCs w:val="24"/>
              </w:rPr>
            </w:pPr>
            <w:r>
              <w:rPr>
                <w:sz w:val="24"/>
                <w:szCs w:val="24"/>
              </w:rPr>
              <w:t>32 125</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Výsledok hospodárenia z finančnej činnosti</w:t>
            </w:r>
          </w:p>
        </w:tc>
        <w:tc>
          <w:tcPr>
            <w:tcW w:w="1701" w:type="dxa"/>
            <w:shd w:val="clear" w:color="auto" w:fill="auto"/>
          </w:tcPr>
          <w:p w:rsidR="00DE302A" w:rsidRPr="009D5242" w:rsidRDefault="009B36FA" w:rsidP="009B36FA">
            <w:pPr>
              <w:ind w:left="0" w:firstLine="0"/>
              <w:jc w:val="right"/>
              <w:rPr>
                <w:sz w:val="24"/>
                <w:szCs w:val="24"/>
              </w:rPr>
            </w:pPr>
            <w:r>
              <w:rPr>
                <w:sz w:val="24"/>
                <w:szCs w:val="24"/>
              </w:rPr>
              <w:t>-29 377</w:t>
            </w:r>
          </w:p>
        </w:tc>
        <w:tc>
          <w:tcPr>
            <w:tcW w:w="1591" w:type="dxa"/>
            <w:shd w:val="clear" w:color="auto" w:fill="auto"/>
          </w:tcPr>
          <w:p w:rsidR="00DE302A" w:rsidRPr="009D5242" w:rsidRDefault="009B36FA" w:rsidP="009B36FA">
            <w:pPr>
              <w:ind w:left="0" w:firstLine="0"/>
              <w:jc w:val="right"/>
              <w:rPr>
                <w:sz w:val="24"/>
                <w:szCs w:val="24"/>
              </w:rPr>
            </w:pPr>
            <w:r>
              <w:rPr>
                <w:sz w:val="24"/>
                <w:szCs w:val="24"/>
              </w:rPr>
              <w:t>-31 986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 xml:space="preserve">Celkový výsledok hospodárenia pred zdanením </w:t>
            </w:r>
          </w:p>
        </w:tc>
        <w:tc>
          <w:tcPr>
            <w:tcW w:w="1701" w:type="dxa"/>
            <w:shd w:val="clear" w:color="auto" w:fill="auto"/>
          </w:tcPr>
          <w:p w:rsidR="00DE302A" w:rsidRPr="009D5242" w:rsidRDefault="009B36FA" w:rsidP="009B36FA">
            <w:pPr>
              <w:ind w:left="0" w:firstLine="0"/>
              <w:jc w:val="right"/>
              <w:rPr>
                <w:sz w:val="24"/>
                <w:szCs w:val="24"/>
              </w:rPr>
            </w:pPr>
            <w:r>
              <w:rPr>
                <w:sz w:val="24"/>
                <w:szCs w:val="24"/>
              </w:rPr>
              <w:t>62 753</w:t>
            </w:r>
          </w:p>
        </w:tc>
        <w:tc>
          <w:tcPr>
            <w:tcW w:w="1591" w:type="dxa"/>
            <w:shd w:val="clear" w:color="auto" w:fill="auto"/>
          </w:tcPr>
          <w:p w:rsidR="00DE302A" w:rsidRPr="009D5242" w:rsidRDefault="009B36FA" w:rsidP="009B36FA">
            <w:pPr>
              <w:ind w:left="0" w:firstLine="0"/>
              <w:jc w:val="right"/>
              <w:rPr>
                <w:sz w:val="24"/>
                <w:szCs w:val="24"/>
              </w:rPr>
            </w:pPr>
            <w:r>
              <w:rPr>
                <w:sz w:val="24"/>
                <w:szCs w:val="24"/>
              </w:rPr>
              <w:t>149 415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Daň z príjmov splatná</w:t>
            </w:r>
          </w:p>
        </w:tc>
        <w:tc>
          <w:tcPr>
            <w:tcW w:w="1701" w:type="dxa"/>
            <w:shd w:val="clear" w:color="auto" w:fill="auto"/>
          </w:tcPr>
          <w:p w:rsidR="00DE302A" w:rsidRPr="009D5242" w:rsidRDefault="004E0D56" w:rsidP="009B36FA">
            <w:pPr>
              <w:ind w:left="0" w:firstLine="0"/>
              <w:jc w:val="right"/>
              <w:rPr>
                <w:sz w:val="24"/>
                <w:szCs w:val="24"/>
              </w:rPr>
            </w:pPr>
            <w:r>
              <w:rPr>
                <w:sz w:val="24"/>
                <w:szCs w:val="24"/>
              </w:rPr>
              <w:t>20 313</w:t>
            </w:r>
          </w:p>
        </w:tc>
        <w:tc>
          <w:tcPr>
            <w:tcW w:w="1591" w:type="dxa"/>
            <w:shd w:val="clear" w:color="auto" w:fill="auto"/>
          </w:tcPr>
          <w:p w:rsidR="00DE302A" w:rsidRPr="009D5242" w:rsidRDefault="004E0D56" w:rsidP="009B36FA">
            <w:pPr>
              <w:ind w:left="0" w:firstLine="0"/>
              <w:jc w:val="right"/>
              <w:rPr>
                <w:sz w:val="24"/>
                <w:szCs w:val="24"/>
              </w:rPr>
            </w:pPr>
            <w:r>
              <w:rPr>
                <w:sz w:val="24"/>
                <w:szCs w:val="24"/>
              </w:rPr>
              <w:t>33 585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Daň z príjmov odložená</w:t>
            </w:r>
          </w:p>
        </w:tc>
        <w:tc>
          <w:tcPr>
            <w:tcW w:w="1701" w:type="dxa"/>
            <w:shd w:val="clear" w:color="auto" w:fill="auto"/>
          </w:tcPr>
          <w:p w:rsidR="00DE302A" w:rsidRPr="009D5242" w:rsidRDefault="004E0D56" w:rsidP="009B36FA">
            <w:pPr>
              <w:ind w:left="0" w:firstLine="0"/>
              <w:jc w:val="right"/>
              <w:rPr>
                <w:sz w:val="24"/>
                <w:szCs w:val="24"/>
              </w:rPr>
            </w:pPr>
            <w:r>
              <w:rPr>
                <w:sz w:val="24"/>
                <w:szCs w:val="24"/>
              </w:rPr>
              <w:t>-4 849</w:t>
            </w:r>
          </w:p>
        </w:tc>
        <w:tc>
          <w:tcPr>
            <w:tcW w:w="1591" w:type="dxa"/>
            <w:shd w:val="clear" w:color="auto" w:fill="auto"/>
          </w:tcPr>
          <w:p w:rsidR="00DE302A" w:rsidRPr="009D5242" w:rsidRDefault="004E0D56" w:rsidP="009B36FA">
            <w:pPr>
              <w:ind w:left="0" w:firstLine="0"/>
              <w:jc w:val="right"/>
              <w:rPr>
                <w:sz w:val="24"/>
                <w:szCs w:val="24"/>
              </w:rPr>
            </w:pPr>
            <w:r>
              <w:rPr>
                <w:sz w:val="24"/>
                <w:szCs w:val="24"/>
              </w:rPr>
              <w:t>-926</w:t>
            </w:r>
          </w:p>
        </w:tc>
      </w:tr>
      <w:tr w:rsidR="00DE302A"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CELKOVÝ VÝSLEDOK HOSPODÁRENIA PO ZDANENÍ</w:t>
            </w:r>
          </w:p>
        </w:tc>
        <w:tc>
          <w:tcPr>
            <w:tcW w:w="1701" w:type="dxa"/>
            <w:shd w:val="clear" w:color="auto" w:fill="auto"/>
          </w:tcPr>
          <w:p w:rsidR="00DE302A" w:rsidRPr="009D5242" w:rsidRDefault="004E0D56" w:rsidP="009B36FA">
            <w:pPr>
              <w:ind w:left="0" w:firstLine="0"/>
              <w:jc w:val="right"/>
              <w:rPr>
                <w:sz w:val="24"/>
                <w:szCs w:val="24"/>
              </w:rPr>
            </w:pPr>
            <w:r>
              <w:rPr>
                <w:sz w:val="24"/>
                <w:szCs w:val="24"/>
              </w:rPr>
              <w:t>47 289</w:t>
            </w:r>
          </w:p>
        </w:tc>
        <w:tc>
          <w:tcPr>
            <w:tcW w:w="1591" w:type="dxa"/>
            <w:shd w:val="clear" w:color="auto" w:fill="auto"/>
          </w:tcPr>
          <w:p w:rsidR="00DE302A" w:rsidRPr="009D5242" w:rsidRDefault="004E0D56" w:rsidP="009B36FA">
            <w:pPr>
              <w:ind w:left="0" w:firstLine="0"/>
              <w:jc w:val="right"/>
              <w:rPr>
                <w:sz w:val="24"/>
                <w:szCs w:val="24"/>
              </w:rPr>
            </w:pPr>
            <w:r>
              <w:rPr>
                <w:sz w:val="24"/>
                <w:szCs w:val="24"/>
              </w:rPr>
              <w:t>116 756</w:t>
            </w:r>
          </w:p>
        </w:tc>
      </w:tr>
    </w:tbl>
    <w:p w:rsidR="00DE302A" w:rsidRPr="009D5242" w:rsidRDefault="00DE302A" w:rsidP="00DE302A">
      <w:pPr>
        <w:ind w:left="0" w:firstLine="0"/>
        <w:jc w:val="both"/>
        <w:rPr>
          <w:sz w:val="24"/>
          <w:szCs w:val="24"/>
        </w:rPr>
      </w:pPr>
    </w:p>
    <w:p w:rsidR="00DE302A" w:rsidRPr="00670A03" w:rsidRDefault="00EA0FE7" w:rsidP="00371192">
      <w:pPr>
        <w:spacing w:after="60"/>
        <w:ind w:left="0" w:firstLine="0"/>
        <w:jc w:val="both"/>
        <w:rPr>
          <w:rFonts w:ascii="Verdana" w:hAnsi="Verdana"/>
          <w:u w:val="single"/>
        </w:rPr>
      </w:pPr>
      <w:r>
        <w:rPr>
          <w:rFonts w:ascii="Verdana" w:hAnsi="Verdana"/>
          <w:u w:val="single"/>
        </w:rPr>
        <w:t xml:space="preserve">2.1.3. </w:t>
      </w:r>
      <w:r w:rsidR="00DE302A" w:rsidRPr="00670A03">
        <w:rPr>
          <w:rFonts w:ascii="Verdana" w:hAnsi="Verdana"/>
          <w:u w:val="single"/>
        </w:rPr>
        <w:t>Komentár k výkazu ziskov a strát (výsledovka):</w:t>
      </w:r>
    </w:p>
    <w:p w:rsidR="00DE302A" w:rsidRPr="00670A03" w:rsidRDefault="00DE302A" w:rsidP="00DE302A">
      <w:pPr>
        <w:spacing w:after="120"/>
        <w:ind w:left="0" w:firstLine="0"/>
        <w:jc w:val="both"/>
        <w:rPr>
          <w:rFonts w:ascii="Verdana" w:hAnsi="Verdana"/>
        </w:rPr>
      </w:pPr>
      <w:r w:rsidRPr="00670A03">
        <w:rPr>
          <w:rFonts w:ascii="Verdana" w:hAnsi="Verdana"/>
        </w:rPr>
        <w:t xml:space="preserve">Spoločnosť zaznamenala mierny </w:t>
      </w:r>
      <w:r w:rsidR="004E0D56" w:rsidRPr="00670A03">
        <w:rPr>
          <w:rFonts w:ascii="Verdana" w:hAnsi="Verdana"/>
        </w:rPr>
        <w:t>nárast</w:t>
      </w:r>
      <w:r w:rsidRPr="00670A03">
        <w:rPr>
          <w:rFonts w:ascii="Verdana" w:hAnsi="Verdana"/>
        </w:rPr>
        <w:t xml:space="preserve"> výnosov z hospodárskej činnosti. Celkový výsledok hospodárenia v sume </w:t>
      </w:r>
      <w:r w:rsidR="004E0D56" w:rsidRPr="00670A03">
        <w:rPr>
          <w:rFonts w:ascii="Verdana" w:hAnsi="Verdana"/>
        </w:rPr>
        <w:t>47 289</w:t>
      </w:r>
      <w:r w:rsidRPr="00670A03">
        <w:rPr>
          <w:rFonts w:ascii="Verdana" w:hAnsi="Verdana"/>
        </w:rPr>
        <w:t xml:space="preserve"> eur je tvorený najmä v hospodárskej oblasti. Vo finančnej oblasti spoločnosť dosiahla stratu spôsobenú najmä </w:t>
      </w:r>
      <w:r w:rsidR="003D1AB3" w:rsidRPr="00670A03">
        <w:rPr>
          <w:rFonts w:ascii="Verdana" w:hAnsi="Verdana"/>
        </w:rPr>
        <w:t>nákladovými úrokmi</w:t>
      </w:r>
      <w:r w:rsidRPr="00670A03">
        <w:rPr>
          <w:rFonts w:ascii="Verdana" w:hAnsi="Verdana"/>
        </w:rPr>
        <w:t>.</w:t>
      </w:r>
    </w:p>
    <w:p w:rsidR="00DE302A" w:rsidRPr="00670A03" w:rsidRDefault="00DE302A" w:rsidP="00DE302A">
      <w:pPr>
        <w:ind w:left="0" w:firstLine="0"/>
        <w:jc w:val="both"/>
        <w:rPr>
          <w:rStyle w:val="ra"/>
          <w:rFonts w:ascii="Verdana" w:hAnsi="Verdana"/>
        </w:rPr>
      </w:pPr>
      <w:r w:rsidRPr="00670A03">
        <w:rPr>
          <w:rStyle w:val="ra"/>
          <w:rFonts w:ascii="Verdana" w:hAnsi="Verdana"/>
        </w:rPr>
        <w:t>Spoločnosť sa snažila šetriť náklady, čo sa prejavilo najmä v poklese nákladov na služby</w:t>
      </w:r>
      <w:r w:rsidR="004E0D56" w:rsidRPr="00670A03">
        <w:rPr>
          <w:rStyle w:val="ra"/>
          <w:rFonts w:ascii="Verdana" w:hAnsi="Verdana"/>
        </w:rPr>
        <w:t>.</w:t>
      </w:r>
      <w:r w:rsidRPr="00670A03">
        <w:rPr>
          <w:rStyle w:val="ra"/>
          <w:rFonts w:ascii="Verdana" w:hAnsi="Verdana"/>
        </w:rPr>
        <w:t xml:space="preserve"> </w:t>
      </w:r>
    </w:p>
    <w:p w:rsidR="00DE302A" w:rsidRPr="00670A03" w:rsidRDefault="00DE302A" w:rsidP="00601822">
      <w:pPr>
        <w:ind w:left="0" w:firstLine="0"/>
        <w:jc w:val="both"/>
        <w:rPr>
          <w:rFonts w:ascii="Verdana" w:hAnsi="Verdana"/>
          <w:u w:val="single"/>
        </w:rPr>
      </w:pPr>
    </w:p>
    <w:p w:rsidR="00371192" w:rsidRDefault="00EA0FE7" w:rsidP="00371192">
      <w:pPr>
        <w:spacing w:after="60"/>
        <w:ind w:left="0" w:firstLine="0"/>
        <w:jc w:val="both"/>
        <w:rPr>
          <w:rFonts w:ascii="Verdana" w:hAnsi="Verdana"/>
          <w:u w:val="single"/>
        </w:rPr>
      </w:pPr>
      <w:r w:rsidRPr="00EA0FE7">
        <w:rPr>
          <w:rFonts w:ascii="Verdana" w:hAnsi="Verdana"/>
          <w:b/>
        </w:rPr>
        <w:t>2.2.</w:t>
      </w:r>
      <w:r w:rsidR="00E057CC" w:rsidRPr="00EA0FE7">
        <w:rPr>
          <w:rFonts w:ascii="Verdana" w:hAnsi="Verdana"/>
          <w:b/>
        </w:rPr>
        <w:t xml:space="preserve"> Informácie o udalostiach osobitného významu, ktoré nastali po skončení účtovného obdobia</w:t>
      </w:r>
    </w:p>
    <w:p w:rsidR="00E057CC" w:rsidRPr="00670A03" w:rsidRDefault="00371192" w:rsidP="00601822">
      <w:pPr>
        <w:ind w:left="0" w:firstLine="0"/>
        <w:jc w:val="both"/>
        <w:rPr>
          <w:rFonts w:ascii="Verdana" w:hAnsi="Verdana"/>
        </w:rPr>
      </w:pPr>
      <w:r>
        <w:rPr>
          <w:rFonts w:ascii="Verdana" w:hAnsi="Verdana"/>
        </w:rPr>
        <w:t>A</w:t>
      </w:r>
      <w:r w:rsidR="004E0D56" w:rsidRPr="00670A03">
        <w:rPr>
          <w:rFonts w:ascii="Verdana" w:hAnsi="Verdana"/>
        </w:rPr>
        <w:t>ko</w:t>
      </w:r>
      <w:r w:rsidR="0086020E" w:rsidRPr="00670A03">
        <w:rPr>
          <w:rFonts w:ascii="Verdana" w:hAnsi="Verdana"/>
        </w:rPr>
        <w:t xml:space="preserve"> významné následné udalosti</w:t>
      </w:r>
      <w:r w:rsidR="00777284" w:rsidRPr="00670A03">
        <w:rPr>
          <w:rFonts w:ascii="Verdana" w:hAnsi="Verdana"/>
        </w:rPr>
        <w:t xml:space="preserve"> (do dňa podpísania výkazov účtovnej závierky)</w:t>
      </w:r>
      <w:r w:rsidR="004E0D56" w:rsidRPr="00670A03">
        <w:rPr>
          <w:rFonts w:ascii="Verdana" w:hAnsi="Verdana"/>
        </w:rPr>
        <w:t xml:space="preserve"> môžeme označiť celosvetovú pandémiu chrípky SARS</w:t>
      </w:r>
      <w:r>
        <w:rPr>
          <w:rFonts w:ascii="Verdana" w:hAnsi="Verdana"/>
        </w:rPr>
        <w:t>-</w:t>
      </w:r>
      <w:r w:rsidR="004E0D56" w:rsidRPr="00670A03">
        <w:rPr>
          <w:rFonts w:ascii="Verdana" w:hAnsi="Verdana"/>
        </w:rPr>
        <w:t>CoV</w:t>
      </w:r>
      <w:r>
        <w:rPr>
          <w:rFonts w:ascii="Verdana" w:hAnsi="Verdana"/>
        </w:rPr>
        <w:t>-</w:t>
      </w:r>
      <w:r w:rsidR="004E0D56" w:rsidRPr="00670A03">
        <w:rPr>
          <w:rFonts w:ascii="Verdana" w:hAnsi="Verdana"/>
        </w:rPr>
        <w:t xml:space="preserve">2, v dôsledku ktorej bol aj </w:t>
      </w:r>
      <w:r w:rsidR="00E432A5" w:rsidRPr="00670A03">
        <w:rPr>
          <w:rFonts w:ascii="Verdana" w:hAnsi="Verdana"/>
        </w:rPr>
        <w:t>na Slovensku vyhlásený krízový stav. Tento krízový stav výrazne ovplyvňuje vývoj tržieb v spoločnosti,  poklesol počet objednávok na tovar a servisné služby sa využívajú zákazníkmi len v nevyhnutnom prípade. Celkový dopad tejto situácie na vývoj spoločnosti sa nedá v tomto čase odhadnúť.</w:t>
      </w:r>
    </w:p>
    <w:p w:rsidR="00E057CC" w:rsidRPr="00670A03" w:rsidRDefault="00E057CC" w:rsidP="00601822">
      <w:pPr>
        <w:ind w:left="0" w:firstLine="0"/>
        <w:jc w:val="both"/>
        <w:rPr>
          <w:rFonts w:ascii="Verdana" w:hAnsi="Verdana"/>
        </w:rPr>
      </w:pPr>
    </w:p>
    <w:p w:rsidR="00E057CC" w:rsidRDefault="00EA0FE7" w:rsidP="00371192">
      <w:pPr>
        <w:spacing w:after="60"/>
        <w:ind w:left="0" w:firstLine="0"/>
        <w:jc w:val="both"/>
        <w:rPr>
          <w:rFonts w:ascii="Verdana" w:hAnsi="Verdana"/>
          <w:b/>
        </w:rPr>
      </w:pPr>
      <w:r w:rsidRPr="00EA0FE7">
        <w:rPr>
          <w:rFonts w:ascii="Verdana" w:hAnsi="Verdana"/>
          <w:b/>
        </w:rPr>
        <w:t>2.3.</w:t>
      </w:r>
      <w:r w:rsidR="00E057CC" w:rsidRPr="00EA0FE7">
        <w:rPr>
          <w:rFonts w:ascii="Verdana" w:hAnsi="Verdana"/>
          <w:b/>
        </w:rPr>
        <w:t xml:space="preserve"> Informácie o predpokladanom budúcom vývoj</w:t>
      </w:r>
      <w:r w:rsidR="00371192">
        <w:rPr>
          <w:rFonts w:ascii="Verdana" w:hAnsi="Verdana"/>
          <w:b/>
        </w:rPr>
        <w:t>i účtovnej jednotky</w:t>
      </w:r>
    </w:p>
    <w:p w:rsidR="00E057CC" w:rsidRPr="00670A03" w:rsidRDefault="007A73D0" w:rsidP="00601822">
      <w:pPr>
        <w:ind w:left="0" w:firstLine="0"/>
        <w:jc w:val="both"/>
        <w:rPr>
          <w:rFonts w:ascii="Verdana" w:hAnsi="Verdana"/>
        </w:rPr>
      </w:pPr>
      <w:r w:rsidRPr="00670A03">
        <w:rPr>
          <w:rFonts w:ascii="Verdana" w:hAnsi="Verdana"/>
        </w:rPr>
        <w:t xml:space="preserve">Budúci vývoj spoločnosti bude ovplyvnený požiadavkami trhu, </w:t>
      </w:r>
      <w:r w:rsidR="00E432A5" w:rsidRPr="00670A03">
        <w:rPr>
          <w:rFonts w:ascii="Verdana" w:hAnsi="Verdana"/>
        </w:rPr>
        <w:t xml:space="preserve">po skončení krízového stavu a požiadavkami, </w:t>
      </w:r>
      <w:r w:rsidRPr="00670A03">
        <w:rPr>
          <w:rFonts w:ascii="Verdana" w:hAnsi="Verdana"/>
        </w:rPr>
        <w:t>na ktoré musíme pružne reagovať. Očakávan</w:t>
      </w:r>
      <w:r w:rsidR="0086020E" w:rsidRPr="00670A03">
        <w:rPr>
          <w:rFonts w:ascii="Verdana" w:hAnsi="Verdana"/>
        </w:rPr>
        <w:t>é</w:t>
      </w:r>
      <w:r w:rsidRPr="00670A03">
        <w:rPr>
          <w:rFonts w:ascii="Verdana" w:hAnsi="Verdana"/>
        </w:rPr>
        <w:t xml:space="preserve"> </w:t>
      </w:r>
      <w:r w:rsidR="00E432A5" w:rsidRPr="00670A03">
        <w:rPr>
          <w:rFonts w:ascii="Verdana" w:hAnsi="Verdana"/>
        </w:rPr>
        <w:t>postupné uvoľňovanie obmedzení vydaných v súvislosti s</w:t>
      </w:r>
      <w:r w:rsidR="007E55A0" w:rsidRPr="00670A03">
        <w:rPr>
          <w:rFonts w:ascii="Verdana" w:hAnsi="Verdana"/>
        </w:rPr>
        <w:t xml:space="preserve"> chrípkovou pandémiou, </w:t>
      </w:r>
      <w:r w:rsidRPr="00670A03">
        <w:rPr>
          <w:rFonts w:ascii="Verdana" w:hAnsi="Verdana"/>
        </w:rPr>
        <w:t>ovplyvn</w:t>
      </w:r>
      <w:r w:rsidR="007E55A0" w:rsidRPr="00670A03">
        <w:rPr>
          <w:rFonts w:ascii="Verdana" w:hAnsi="Verdana"/>
        </w:rPr>
        <w:t xml:space="preserve">í </w:t>
      </w:r>
      <w:r w:rsidR="004E55A0">
        <w:rPr>
          <w:rFonts w:ascii="Verdana" w:hAnsi="Verdana"/>
        </w:rPr>
        <w:t xml:space="preserve">početnosť </w:t>
      </w:r>
      <w:r w:rsidR="007E55A0" w:rsidRPr="00670A03">
        <w:rPr>
          <w:rFonts w:ascii="Verdana" w:hAnsi="Verdana"/>
        </w:rPr>
        <w:t>návštev lekárov</w:t>
      </w:r>
      <w:r w:rsidR="00371192">
        <w:rPr>
          <w:rFonts w:ascii="Verdana" w:hAnsi="Verdana"/>
        </w:rPr>
        <w:t xml:space="preserve"> pacientami</w:t>
      </w:r>
      <w:r w:rsidR="007E55A0" w:rsidRPr="00670A03">
        <w:rPr>
          <w:rFonts w:ascii="Verdana" w:hAnsi="Verdana"/>
        </w:rPr>
        <w:t xml:space="preserve"> a hospitalizácie a s tým súvisiac</w:t>
      </w:r>
      <w:r w:rsidR="004E55A0">
        <w:rPr>
          <w:rFonts w:ascii="Verdana" w:hAnsi="Verdana"/>
        </w:rPr>
        <w:t>i</w:t>
      </w:r>
      <w:r w:rsidR="007E55A0" w:rsidRPr="00670A03">
        <w:rPr>
          <w:rFonts w:ascii="Verdana" w:hAnsi="Verdana"/>
        </w:rPr>
        <w:t xml:space="preserve"> zvýšen</w:t>
      </w:r>
      <w:r w:rsidR="004E55A0">
        <w:rPr>
          <w:rFonts w:ascii="Verdana" w:hAnsi="Verdana"/>
        </w:rPr>
        <w:t>ý</w:t>
      </w:r>
      <w:r w:rsidR="007E55A0" w:rsidRPr="00670A03">
        <w:rPr>
          <w:rFonts w:ascii="Verdana" w:hAnsi="Verdana"/>
        </w:rPr>
        <w:t xml:space="preserve"> </w:t>
      </w:r>
      <w:r w:rsidRPr="00670A03">
        <w:rPr>
          <w:rFonts w:ascii="Verdana" w:hAnsi="Verdana"/>
        </w:rPr>
        <w:t xml:space="preserve">odbyt v našom segmente </w:t>
      </w:r>
      <w:r w:rsidR="0086020E" w:rsidRPr="00670A03">
        <w:rPr>
          <w:rFonts w:ascii="Verdana" w:hAnsi="Verdana"/>
        </w:rPr>
        <w:t>obchodu.</w:t>
      </w:r>
    </w:p>
    <w:p w:rsidR="007A73D0" w:rsidRPr="00670A03" w:rsidRDefault="007A73D0" w:rsidP="00601822">
      <w:pPr>
        <w:ind w:left="0" w:firstLine="0"/>
        <w:jc w:val="both"/>
        <w:rPr>
          <w:rFonts w:ascii="Verdana" w:hAnsi="Verdana"/>
        </w:rPr>
      </w:pPr>
    </w:p>
    <w:p w:rsidR="00E057CC" w:rsidRPr="00EA0FE7" w:rsidRDefault="00EA0FE7" w:rsidP="00601822">
      <w:pPr>
        <w:ind w:left="0" w:firstLine="0"/>
        <w:jc w:val="both"/>
        <w:rPr>
          <w:rFonts w:ascii="Verdana" w:hAnsi="Verdana"/>
        </w:rPr>
      </w:pPr>
      <w:r>
        <w:rPr>
          <w:rFonts w:ascii="Verdana" w:hAnsi="Verdana"/>
          <w:b/>
        </w:rPr>
        <w:t>2.4.</w:t>
      </w:r>
      <w:r w:rsidR="00E057CC" w:rsidRPr="00EA0FE7">
        <w:rPr>
          <w:rFonts w:ascii="Verdana" w:hAnsi="Verdana"/>
          <w:b/>
        </w:rPr>
        <w:t xml:space="preserve"> Informácie o nákladoch na činnosť v oblasti výskumu a vývoja – </w:t>
      </w:r>
      <w:r w:rsidR="00E057CC" w:rsidRPr="00EA0FE7">
        <w:rPr>
          <w:rFonts w:ascii="Verdana" w:hAnsi="Verdana"/>
        </w:rPr>
        <w:t>bez náplne.</w:t>
      </w:r>
    </w:p>
    <w:p w:rsidR="00E057CC" w:rsidRPr="00670A03" w:rsidRDefault="00E057CC" w:rsidP="00601822">
      <w:pPr>
        <w:ind w:left="0" w:firstLine="0"/>
        <w:jc w:val="both"/>
        <w:rPr>
          <w:rFonts w:ascii="Verdana" w:hAnsi="Verdana"/>
        </w:rPr>
      </w:pPr>
    </w:p>
    <w:p w:rsidR="00E057CC" w:rsidRPr="00EA0FE7" w:rsidRDefault="00EA0FE7" w:rsidP="00601822">
      <w:pPr>
        <w:ind w:left="0" w:firstLine="0"/>
        <w:jc w:val="both"/>
        <w:rPr>
          <w:rFonts w:ascii="Verdana" w:hAnsi="Verdana"/>
          <w:b/>
          <w:i/>
        </w:rPr>
      </w:pPr>
      <w:r w:rsidRPr="00EA0FE7">
        <w:rPr>
          <w:rFonts w:ascii="Verdana" w:hAnsi="Verdana"/>
          <w:b/>
        </w:rPr>
        <w:lastRenderedPageBreak/>
        <w:t>2.5.</w:t>
      </w:r>
      <w:r w:rsidR="00E057CC" w:rsidRPr="00EA0FE7">
        <w:rPr>
          <w:rFonts w:ascii="Verdana" w:hAnsi="Verdana"/>
          <w:b/>
        </w:rPr>
        <w:t xml:space="preserve"> Info</w:t>
      </w:r>
      <w:r w:rsidR="00A61B1D" w:rsidRPr="00EA0FE7">
        <w:rPr>
          <w:rFonts w:ascii="Verdana" w:hAnsi="Verdana"/>
          <w:b/>
        </w:rPr>
        <w:t>r</w:t>
      </w:r>
      <w:r w:rsidR="00E057CC" w:rsidRPr="00EA0FE7">
        <w:rPr>
          <w:rFonts w:ascii="Verdana" w:hAnsi="Verdana"/>
          <w:b/>
        </w:rPr>
        <w:t>mácie o nadobúdaní vlastných akcií, dočasných listov, obchodných podielov a a</w:t>
      </w:r>
      <w:r w:rsidR="00A61B1D" w:rsidRPr="00EA0FE7">
        <w:rPr>
          <w:rFonts w:ascii="Verdana" w:hAnsi="Verdana"/>
          <w:b/>
        </w:rPr>
        <w:t>k</w:t>
      </w:r>
      <w:r w:rsidR="00E057CC" w:rsidRPr="00EA0FE7">
        <w:rPr>
          <w:rFonts w:ascii="Verdana" w:hAnsi="Verdana"/>
          <w:b/>
        </w:rPr>
        <w:t>cií, dočasných listov a obchodných podielov</w:t>
      </w:r>
      <w:r w:rsidR="00A61B1D" w:rsidRPr="00EA0FE7">
        <w:rPr>
          <w:rFonts w:ascii="Verdana" w:hAnsi="Verdana"/>
          <w:b/>
        </w:rPr>
        <w:t xml:space="preserve"> materskej účtovnej jednotky – </w:t>
      </w:r>
      <w:r w:rsidR="00A61B1D" w:rsidRPr="00EA0FE7">
        <w:rPr>
          <w:rFonts w:ascii="Verdana" w:hAnsi="Verdana"/>
        </w:rPr>
        <w:t>bez náplne</w:t>
      </w:r>
      <w:r w:rsidR="00A61B1D" w:rsidRPr="00EA0FE7">
        <w:rPr>
          <w:rFonts w:ascii="Verdana" w:hAnsi="Verdana"/>
          <w:b/>
          <w:i/>
        </w:rPr>
        <w:t>.</w:t>
      </w:r>
    </w:p>
    <w:p w:rsidR="00A61B1D" w:rsidRPr="00670A03" w:rsidRDefault="00A61B1D" w:rsidP="00601822">
      <w:pPr>
        <w:ind w:left="0" w:firstLine="0"/>
        <w:jc w:val="both"/>
        <w:rPr>
          <w:rFonts w:ascii="Verdana" w:hAnsi="Verdana"/>
        </w:rPr>
      </w:pPr>
    </w:p>
    <w:p w:rsidR="00A61B1D" w:rsidRPr="00EA0FE7" w:rsidRDefault="00EA0FE7" w:rsidP="00371192">
      <w:pPr>
        <w:spacing w:after="60"/>
        <w:ind w:left="0" w:firstLine="0"/>
        <w:jc w:val="both"/>
        <w:rPr>
          <w:rFonts w:ascii="Verdana" w:hAnsi="Verdana"/>
          <w:b/>
        </w:rPr>
      </w:pPr>
      <w:r w:rsidRPr="00EA0FE7">
        <w:rPr>
          <w:rFonts w:ascii="Verdana" w:hAnsi="Verdana"/>
          <w:b/>
        </w:rPr>
        <w:t>2.6.</w:t>
      </w:r>
      <w:r w:rsidR="00A61B1D" w:rsidRPr="00EA0FE7">
        <w:rPr>
          <w:rFonts w:ascii="Verdana" w:hAnsi="Verdana"/>
          <w:b/>
        </w:rPr>
        <w:t xml:space="preserve"> Informácie o návrhu na rozdelenie zisku alebo vyrovnanie straty.</w:t>
      </w:r>
    </w:p>
    <w:p w:rsidR="00A61B1D" w:rsidRPr="00670A03" w:rsidRDefault="00A61B1D" w:rsidP="00601822">
      <w:pPr>
        <w:ind w:left="0" w:firstLine="0"/>
        <w:jc w:val="both"/>
        <w:rPr>
          <w:rFonts w:ascii="Verdana" w:hAnsi="Verdana"/>
          <w:i/>
        </w:rPr>
      </w:pPr>
      <w:r w:rsidRPr="00670A03">
        <w:rPr>
          <w:rFonts w:ascii="Verdana" w:hAnsi="Verdana"/>
        </w:rPr>
        <w:t>Spoločnosť vytvorila za rok 201</w:t>
      </w:r>
      <w:r w:rsidR="00F148C2" w:rsidRPr="00670A03">
        <w:rPr>
          <w:rFonts w:ascii="Verdana" w:hAnsi="Verdana"/>
        </w:rPr>
        <w:t>9</w:t>
      </w:r>
      <w:r w:rsidRPr="00670A03">
        <w:rPr>
          <w:rFonts w:ascii="Verdana" w:hAnsi="Verdana"/>
        </w:rPr>
        <w:t xml:space="preserve"> účtovný zisk po zdanení vo výške </w:t>
      </w:r>
      <w:r w:rsidR="007E55A0" w:rsidRPr="00670A03">
        <w:rPr>
          <w:rFonts w:ascii="Verdana" w:hAnsi="Verdana"/>
        </w:rPr>
        <w:t>47 289</w:t>
      </w:r>
      <w:r w:rsidRPr="00670A03">
        <w:rPr>
          <w:rFonts w:ascii="Verdana" w:hAnsi="Verdana"/>
        </w:rPr>
        <w:t xml:space="preserve"> eur. Rezervný fond je už vytvorený v maximálnej výške podľa Stanov spoločnosti. Preto na valné zhromaždenie bude predložený návrh na nasledovné použitie zisku – preúčtovanie na </w:t>
      </w:r>
      <w:r w:rsidRPr="00670A03">
        <w:rPr>
          <w:rFonts w:ascii="Verdana" w:hAnsi="Verdana"/>
          <w:i/>
        </w:rPr>
        <w:t xml:space="preserve">účet 428-Nerozdelený zisk minulých rokov. </w:t>
      </w:r>
    </w:p>
    <w:p w:rsidR="00A61B1D" w:rsidRPr="00670A03" w:rsidRDefault="00A61B1D" w:rsidP="00601822">
      <w:pPr>
        <w:ind w:left="0" w:firstLine="0"/>
        <w:jc w:val="both"/>
        <w:rPr>
          <w:rFonts w:ascii="Verdana" w:hAnsi="Verdana"/>
        </w:rPr>
      </w:pPr>
    </w:p>
    <w:p w:rsidR="00A61B1D" w:rsidRPr="00371192" w:rsidRDefault="00371192" w:rsidP="00601822">
      <w:pPr>
        <w:ind w:left="0" w:firstLine="0"/>
        <w:jc w:val="both"/>
        <w:rPr>
          <w:rFonts w:ascii="Verdana" w:hAnsi="Verdana"/>
        </w:rPr>
      </w:pPr>
      <w:r w:rsidRPr="00371192">
        <w:rPr>
          <w:rFonts w:ascii="Verdana" w:hAnsi="Verdana"/>
          <w:b/>
        </w:rPr>
        <w:t>2.7.</w:t>
      </w:r>
      <w:r w:rsidR="00A61B1D" w:rsidRPr="00371192">
        <w:rPr>
          <w:rFonts w:ascii="Verdana" w:hAnsi="Verdana"/>
          <w:b/>
        </w:rPr>
        <w:t xml:space="preserve"> Informácie o údajoch požadovaných podľa osobitných predpisov – </w:t>
      </w:r>
      <w:r w:rsidR="00A61B1D" w:rsidRPr="00371192">
        <w:rPr>
          <w:rFonts w:ascii="Verdana" w:hAnsi="Verdana"/>
        </w:rPr>
        <w:t>bez náplne.</w:t>
      </w:r>
    </w:p>
    <w:p w:rsidR="00A61B1D" w:rsidRPr="00670A03" w:rsidRDefault="00A61B1D" w:rsidP="00601822">
      <w:pPr>
        <w:ind w:left="0" w:firstLine="0"/>
        <w:jc w:val="both"/>
        <w:rPr>
          <w:rFonts w:ascii="Verdana" w:hAnsi="Verdana"/>
        </w:rPr>
      </w:pPr>
    </w:p>
    <w:p w:rsidR="00A61B1D" w:rsidRDefault="00371192" w:rsidP="004270F7">
      <w:pPr>
        <w:spacing w:after="60"/>
        <w:ind w:left="0" w:firstLine="0"/>
        <w:jc w:val="both"/>
        <w:rPr>
          <w:rFonts w:ascii="Verdana" w:hAnsi="Verdana"/>
          <w:b/>
        </w:rPr>
      </w:pPr>
      <w:r w:rsidRPr="00371192">
        <w:rPr>
          <w:rFonts w:ascii="Verdana" w:hAnsi="Verdana"/>
          <w:b/>
        </w:rPr>
        <w:t>2.8.</w:t>
      </w:r>
      <w:r w:rsidR="00A61B1D" w:rsidRPr="00371192">
        <w:rPr>
          <w:rFonts w:ascii="Verdana" w:hAnsi="Verdana"/>
          <w:b/>
        </w:rPr>
        <w:t xml:space="preserve"> Informácie o tom, či účtovná jednotka má</w:t>
      </w:r>
      <w:r>
        <w:rPr>
          <w:rFonts w:ascii="Verdana" w:hAnsi="Verdana"/>
          <w:b/>
        </w:rPr>
        <w:t xml:space="preserve"> organizačnú zložku v zahraničí</w:t>
      </w:r>
    </w:p>
    <w:p w:rsidR="00A61B1D" w:rsidRPr="00670A03" w:rsidRDefault="00A61B1D" w:rsidP="00601822">
      <w:pPr>
        <w:ind w:left="0" w:firstLine="0"/>
        <w:jc w:val="both"/>
        <w:rPr>
          <w:rFonts w:ascii="Verdana" w:hAnsi="Verdana"/>
        </w:rPr>
      </w:pPr>
      <w:r w:rsidRPr="00670A03">
        <w:rPr>
          <w:rFonts w:ascii="Verdana" w:hAnsi="Verdana"/>
        </w:rPr>
        <w:t>Spoločnosť nemá organizačnú zložku v zahraničí.</w:t>
      </w:r>
    </w:p>
    <w:p w:rsidR="00627AF7" w:rsidRPr="00670A03" w:rsidRDefault="00627AF7" w:rsidP="00601822">
      <w:pPr>
        <w:ind w:left="0" w:firstLine="0"/>
        <w:jc w:val="both"/>
        <w:rPr>
          <w:rFonts w:ascii="Verdana" w:hAnsi="Verdana"/>
        </w:rPr>
      </w:pPr>
    </w:p>
    <w:p w:rsidR="00627AF7" w:rsidRPr="00371192" w:rsidRDefault="00371192" w:rsidP="00627AF7">
      <w:pPr>
        <w:ind w:left="0" w:firstLine="0"/>
        <w:jc w:val="both"/>
        <w:rPr>
          <w:rFonts w:ascii="Verdana" w:hAnsi="Verdana"/>
          <w:b/>
        </w:rPr>
      </w:pPr>
      <w:r w:rsidRPr="00371192">
        <w:rPr>
          <w:rFonts w:ascii="Verdana" w:hAnsi="Verdana"/>
          <w:b/>
        </w:rPr>
        <w:t>2.9.</w:t>
      </w:r>
      <w:r w:rsidR="00627AF7" w:rsidRPr="00371192">
        <w:rPr>
          <w:rFonts w:ascii="Verdana" w:hAnsi="Verdana"/>
          <w:b/>
        </w:rPr>
        <w:t xml:space="preserve"> Informácie o ročnej správe o platbách orgánom verejnej moci (§ 20 ods. 2 zákona o účtovníctve) </w:t>
      </w:r>
      <w:r w:rsidR="00627AF7" w:rsidRPr="00371192">
        <w:rPr>
          <w:rFonts w:ascii="Verdana" w:hAnsi="Verdana"/>
        </w:rPr>
        <w:t>– bez náplne</w:t>
      </w:r>
    </w:p>
    <w:p w:rsidR="0086020E" w:rsidRPr="00670A03" w:rsidRDefault="0086020E" w:rsidP="00601822">
      <w:pPr>
        <w:ind w:left="0" w:firstLine="0"/>
        <w:jc w:val="both"/>
        <w:rPr>
          <w:rFonts w:ascii="Verdana" w:hAnsi="Verdana"/>
        </w:rPr>
      </w:pPr>
    </w:p>
    <w:p w:rsidR="0086020E" w:rsidRDefault="00371192" w:rsidP="004270F7">
      <w:pPr>
        <w:spacing w:after="60"/>
        <w:ind w:left="0" w:firstLine="0"/>
        <w:jc w:val="both"/>
        <w:rPr>
          <w:rFonts w:ascii="Verdana" w:hAnsi="Verdana"/>
          <w:b/>
        </w:rPr>
      </w:pPr>
      <w:r w:rsidRPr="00371192">
        <w:rPr>
          <w:rFonts w:ascii="Verdana" w:hAnsi="Verdana"/>
          <w:b/>
        </w:rPr>
        <w:t>2.10.</w:t>
      </w:r>
      <w:r w:rsidR="0086020E" w:rsidRPr="00371192">
        <w:rPr>
          <w:rFonts w:ascii="Verdana" w:hAnsi="Verdana"/>
          <w:b/>
        </w:rPr>
        <w:t xml:space="preserve"> Finančné nástroje (§</w:t>
      </w:r>
      <w:r w:rsidR="005A3D4E" w:rsidRPr="00371192">
        <w:rPr>
          <w:rFonts w:ascii="Verdana" w:hAnsi="Verdana"/>
          <w:b/>
        </w:rPr>
        <w:t xml:space="preserve"> 20 ods. 5 zákona o účtovníctve)</w:t>
      </w:r>
    </w:p>
    <w:p w:rsidR="0050189F" w:rsidRPr="00371192" w:rsidRDefault="005A3D4E" w:rsidP="00601822">
      <w:pPr>
        <w:ind w:left="0" w:firstLine="0"/>
        <w:jc w:val="both"/>
        <w:rPr>
          <w:rFonts w:ascii="Verdana" w:hAnsi="Verdana"/>
        </w:rPr>
      </w:pPr>
      <w:r w:rsidRPr="00670A03">
        <w:rPr>
          <w:rFonts w:ascii="Verdana" w:hAnsi="Verdana"/>
        </w:rPr>
        <w:t xml:space="preserve">Spoločnosť nepoužíva finančné nástroje (napr. prevoditeľné cenné papiere, finančné rozdielové zmluvy, deriváty) podľa zákona č.566/2001 Z.z. o cenných papieroch v znení neskorších predpisov – preto nemá povinnosť uviesť špecifické </w:t>
      </w:r>
      <w:r w:rsidRPr="00371192">
        <w:rPr>
          <w:rFonts w:ascii="Verdana" w:hAnsi="Verdana"/>
        </w:rPr>
        <w:t>informácie o</w:t>
      </w:r>
      <w:r w:rsidR="00627AF7" w:rsidRPr="00371192">
        <w:rPr>
          <w:rFonts w:ascii="Verdana" w:hAnsi="Verdana"/>
        </w:rPr>
        <w:t xml:space="preserve"> cieľoch a </w:t>
      </w:r>
      <w:r w:rsidR="00371192">
        <w:rPr>
          <w:rFonts w:ascii="Verdana" w:hAnsi="Verdana"/>
        </w:rPr>
        <w:t>metódach riadenia rizík.</w:t>
      </w:r>
    </w:p>
    <w:p w:rsidR="005A3D4E" w:rsidRPr="00670A03" w:rsidRDefault="005A3D4E" w:rsidP="00601822">
      <w:pPr>
        <w:ind w:left="0" w:firstLine="0"/>
        <w:jc w:val="both"/>
        <w:rPr>
          <w:rFonts w:ascii="Verdana" w:hAnsi="Verdana"/>
        </w:rPr>
      </w:pPr>
    </w:p>
    <w:p w:rsidR="0050189F" w:rsidRDefault="00371192" w:rsidP="004270F7">
      <w:pPr>
        <w:spacing w:after="60"/>
        <w:ind w:left="0" w:firstLine="0"/>
        <w:jc w:val="both"/>
        <w:rPr>
          <w:rFonts w:ascii="Verdana" w:hAnsi="Verdana"/>
          <w:b/>
        </w:rPr>
      </w:pPr>
      <w:r w:rsidRPr="00371192">
        <w:rPr>
          <w:rFonts w:ascii="Verdana" w:hAnsi="Verdana"/>
          <w:b/>
        </w:rPr>
        <w:t>2.11.</w:t>
      </w:r>
      <w:r w:rsidR="0050189F" w:rsidRPr="00371192">
        <w:rPr>
          <w:rFonts w:ascii="Verdana" w:hAnsi="Verdana"/>
          <w:b/>
        </w:rPr>
        <w:t xml:space="preserve"> Cenné papiere obchodované na regulovanom trhu</w:t>
      </w:r>
      <w:r w:rsidR="0086020E" w:rsidRPr="00371192">
        <w:rPr>
          <w:rFonts w:ascii="Verdana" w:hAnsi="Verdana"/>
          <w:b/>
        </w:rPr>
        <w:t xml:space="preserve"> (§ 20 ods. </w:t>
      </w:r>
      <w:r w:rsidR="005A3D4E" w:rsidRPr="00371192">
        <w:rPr>
          <w:rFonts w:ascii="Verdana" w:hAnsi="Verdana"/>
          <w:b/>
        </w:rPr>
        <w:t xml:space="preserve">6 a 7 </w:t>
      </w:r>
      <w:r w:rsidR="0086020E" w:rsidRPr="00371192">
        <w:rPr>
          <w:rFonts w:ascii="Verdana" w:hAnsi="Verdana"/>
          <w:b/>
        </w:rPr>
        <w:t>zákona o účtovníctve)</w:t>
      </w:r>
    </w:p>
    <w:p w:rsidR="00E057CC" w:rsidRPr="00670A03" w:rsidRDefault="0050189F" w:rsidP="00601822">
      <w:pPr>
        <w:ind w:left="0" w:firstLine="0"/>
        <w:jc w:val="both"/>
        <w:rPr>
          <w:rFonts w:ascii="Verdana" w:hAnsi="Verdana"/>
        </w:rPr>
      </w:pPr>
      <w:r w:rsidRPr="00670A03">
        <w:rPr>
          <w:rFonts w:ascii="Verdana" w:hAnsi="Verdana"/>
        </w:rPr>
        <w:t>Spoločnosť neemitovala cenné papiere (akcie), ktoré by boli prijaté na obchodovanie na regulovanom trhu (napr. Burza cenných papierov Bratislava). Preto spoločnosť nemá povinnosť  vo výročnej správe uvádzať</w:t>
      </w:r>
      <w:r w:rsidR="00627AF7" w:rsidRPr="00670A03">
        <w:rPr>
          <w:rFonts w:ascii="Verdana" w:hAnsi="Verdana"/>
        </w:rPr>
        <w:t xml:space="preserve">  </w:t>
      </w:r>
      <w:r w:rsidRPr="00670A03">
        <w:rPr>
          <w:rFonts w:ascii="Verdana" w:hAnsi="Verdana"/>
        </w:rPr>
        <w:t xml:space="preserve">štruktúrované informácie podľa § 20 ods. 6 a 7 zákona o účtovníctve, napríklad – </w:t>
      </w:r>
      <w:r w:rsidRPr="00371192">
        <w:rPr>
          <w:rFonts w:ascii="Verdana" w:hAnsi="Verdana"/>
        </w:rPr>
        <w:t>vyhlásenie o správe a riadení</w:t>
      </w:r>
      <w:r w:rsidRPr="00670A03">
        <w:rPr>
          <w:rFonts w:ascii="Verdana" w:hAnsi="Verdana"/>
          <w:b/>
        </w:rPr>
        <w:t>.</w:t>
      </w:r>
      <w:r w:rsidRPr="00670A03">
        <w:rPr>
          <w:rFonts w:ascii="Verdana" w:hAnsi="Verdana"/>
        </w:rPr>
        <w:t xml:space="preserve"> </w:t>
      </w:r>
    </w:p>
    <w:p w:rsidR="00602D3F" w:rsidRPr="00670A03" w:rsidRDefault="00602D3F" w:rsidP="00CD6F01">
      <w:pPr>
        <w:ind w:left="0" w:firstLine="0"/>
        <w:jc w:val="both"/>
        <w:rPr>
          <w:rStyle w:val="ra"/>
          <w:rFonts w:ascii="Verdana" w:hAnsi="Verdana"/>
        </w:rPr>
      </w:pPr>
    </w:p>
    <w:p w:rsidR="004270F7" w:rsidRDefault="004270F7" w:rsidP="004270F7">
      <w:pPr>
        <w:spacing w:after="60"/>
        <w:ind w:left="0" w:firstLine="0"/>
        <w:jc w:val="both"/>
        <w:rPr>
          <w:rFonts w:ascii="Verdana" w:hAnsi="Verdana"/>
          <w:b/>
        </w:rPr>
      </w:pPr>
      <w:r w:rsidRPr="004270F7">
        <w:rPr>
          <w:rFonts w:ascii="Verdana" w:hAnsi="Verdana"/>
          <w:b/>
        </w:rPr>
        <w:t>2.12.</w:t>
      </w:r>
      <w:r w:rsidR="00D90936" w:rsidRPr="004270F7">
        <w:rPr>
          <w:rFonts w:ascii="Verdana" w:hAnsi="Verdana"/>
          <w:b/>
        </w:rPr>
        <w:t xml:space="preserve"> Subjekt verejného záujmu (§ 20 ods</w:t>
      </w:r>
      <w:r>
        <w:rPr>
          <w:rFonts w:ascii="Verdana" w:hAnsi="Verdana"/>
          <w:b/>
        </w:rPr>
        <w:t xml:space="preserve">. 9 až 14 zákona o účtovníctve) </w:t>
      </w:r>
    </w:p>
    <w:p w:rsidR="00602D3F" w:rsidRPr="00670A03" w:rsidRDefault="00D90936" w:rsidP="004270F7">
      <w:pPr>
        <w:spacing w:after="240"/>
        <w:ind w:left="0" w:firstLine="0"/>
        <w:jc w:val="both"/>
        <w:rPr>
          <w:rStyle w:val="ra"/>
          <w:rFonts w:ascii="Verdana" w:hAnsi="Verdana"/>
        </w:rPr>
      </w:pPr>
      <w:r w:rsidRPr="00670A03">
        <w:rPr>
          <w:rFonts w:ascii="Verdana" w:hAnsi="Verdana"/>
        </w:rPr>
        <w:t xml:space="preserve">Spoločnosť </w:t>
      </w:r>
      <w:r w:rsidRPr="00670A03">
        <w:rPr>
          <w:rFonts w:ascii="Verdana" w:hAnsi="Verdana"/>
          <w:b/>
        </w:rPr>
        <w:t>nie je subjektom verejného záujmu</w:t>
      </w:r>
      <w:r w:rsidRPr="00670A03">
        <w:rPr>
          <w:rFonts w:ascii="Verdana" w:hAnsi="Verdana"/>
        </w:rPr>
        <w:t xml:space="preserve"> tak, ako ho definuje § 2 ods. 14 zákona o účtovníctve (napr. emitent cenných papierov na regulovanom trhu, banka, poisťovňa, obchodník s cennými papiermi, subjekt kolektívneho investovania).</w:t>
      </w:r>
    </w:p>
    <w:p w:rsidR="004E55A0" w:rsidRDefault="004E55A0" w:rsidP="00602D3F">
      <w:pPr>
        <w:ind w:left="0" w:firstLine="0"/>
        <w:jc w:val="both"/>
        <w:rPr>
          <w:rFonts w:ascii="Verdana" w:hAnsi="Verdana"/>
          <w:b/>
        </w:rPr>
      </w:pPr>
    </w:p>
    <w:p w:rsidR="006B1A93" w:rsidRPr="004270F7" w:rsidRDefault="00602D3F" w:rsidP="00602D3F">
      <w:pPr>
        <w:ind w:left="0" w:firstLine="0"/>
        <w:jc w:val="both"/>
        <w:rPr>
          <w:rFonts w:ascii="Verdana" w:hAnsi="Verdana"/>
          <w:b/>
          <w:sz w:val="24"/>
          <w:szCs w:val="24"/>
        </w:rPr>
      </w:pPr>
      <w:r w:rsidRPr="004270F7">
        <w:rPr>
          <w:rFonts w:ascii="Verdana" w:hAnsi="Verdana"/>
          <w:b/>
          <w:sz w:val="24"/>
          <w:szCs w:val="24"/>
        </w:rPr>
        <w:t>3</w:t>
      </w:r>
      <w:r w:rsidR="004270F7">
        <w:rPr>
          <w:rFonts w:ascii="Verdana" w:hAnsi="Verdana"/>
          <w:b/>
          <w:sz w:val="24"/>
          <w:szCs w:val="24"/>
        </w:rPr>
        <w:t>.</w:t>
      </w:r>
      <w:r w:rsidRPr="004270F7">
        <w:rPr>
          <w:rFonts w:ascii="Verdana" w:hAnsi="Verdana"/>
          <w:b/>
          <w:sz w:val="24"/>
          <w:szCs w:val="24"/>
        </w:rPr>
        <w:t xml:space="preserve"> Ďalšie informácie</w:t>
      </w:r>
    </w:p>
    <w:p w:rsidR="005E58D5" w:rsidRPr="00670A03" w:rsidRDefault="005E58D5" w:rsidP="00602D3F">
      <w:pPr>
        <w:ind w:left="0" w:firstLine="0"/>
        <w:jc w:val="both"/>
        <w:rPr>
          <w:rFonts w:ascii="Verdana" w:hAnsi="Verdana"/>
          <w:b/>
        </w:rPr>
      </w:pPr>
    </w:p>
    <w:p w:rsidR="009F34C8" w:rsidRDefault="004270F7" w:rsidP="009F34C8">
      <w:pPr>
        <w:spacing w:after="60"/>
        <w:ind w:left="0" w:firstLine="0"/>
        <w:jc w:val="both"/>
        <w:rPr>
          <w:rStyle w:val="ra"/>
          <w:rFonts w:ascii="Verdana" w:hAnsi="Verdana"/>
        </w:rPr>
      </w:pPr>
      <w:r>
        <w:rPr>
          <w:rStyle w:val="ra"/>
          <w:rFonts w:ascii="Verdana" w:hAnsi="Verdana"/>
          <w:b/>
        </w:rPr>
        <w:t xml:space="preserve">3.1. </w:t>
      </w:r>
      <w:r w:rsidR="00670A03" w:rsidRPr="004E55A0">
        <w:rPr>
          <w:rStyle w:val="ra"/>
          <w:rFonts w:ascii="Verdana" w:hAnsi="Verdana"/>
          <w:b/>
        </w:rPr>
        <w:t>S</w:t>
      </w:r>
      <w:r w:rsidR="00602D3F" w:rsidRPr="004E55A0">
        <w:rPr>
          <w:rStyle w:val="ra"/>
          <w:rFonts w:ascii="Verdana" w:hAnsi="Verdana"/>
          <w:b/>
        </w:rPr>
        <w:t>ociálna politika</w:t>
      </w:r>
      <w:r w:rsidR="00602D3F" w:rsidRPr="004E55A0">
        <w:rPr>
          <w:rStyle w:val="ra"/>
          <w:rFonts w:ascii="Verdana" w:hAnsi="Verdana"/>
        </w:rPr>
        <w:t xml:space="preserve"> </w:t>
      </w:r>
    </w:p>
    <w:p w:rsidR="004E55A0" w:rsidRDefault="009F34C8" w:rsidP="004270F7">
      <w:pPr>
        <w:spacing w:after="120"/>
        <w:ind w:left="0" w:firstLine="0"/>
        <w:jc w:val="both"/>
        <w:rPr>
          <w:rStyle w:val="ra"/>
          <w:rFonts w:ascii="Verdana" w:hAnsi="Verdana"/>
        </w:rPr>
      </w:pPr>
      <w:r>
        <w:rPr>
          <w:rStyle w:val="ra"/>
          <w:rFonts w:ascii="Verdana" w:hAnsi="Verdana"/>
        </w:rPr>
        <w:t xml:space="preserve"> S</w:t>
      </w:r>
      <w:r w:rsidR="00670A03" w:rsidRPr="004E55A0">
        <w:rPr>
          <w:rStyle w:val="ra"/>
          <w:rFonts w:ascii="Verdana" w:hAnsi="Verdana"/>
        </w:rPr>
        <w:t xml:space="preserve">poločnosť poskytuje zamestnancom príspevky na stravovanie. Na príspevky na stravu je využívaný aj sociálny fond. </w:t>
      </w:r>
    </w:p>
    <w:p w:rsidR="009F34C8" w:rsidRDefault="004270F7" w:rsidP="009F34C8">
      <w:pPr>
        <w:spacing w:after="60"/>
        <w:ind w:left="0" w:firstLine="0"/>
        <w:jc w:val="both"/>
        <w:rPr>
          <w:rStyle w:val="ra"/>
          <w:rFonts w:ascii="Verdana" w:hAnsi="Verdana"/>
        </w:rPr>
      </w:pPr>
      <w:r>
        <w:rPr>
          <w:rStyle w:val="ra"/>
          <w:rFonts w:ascii="Verdana" w:hAnsi="Verdana"/>
          <w:b/>
        </w:rPr>
        <w:t xml:space="preserve">3.2. </w:t>
      </w:r>
      <w:r w:rsidR="00DE302A" w:rsidRPr="004E55A0">
        <w:rPr>
          <w:rStyle w:val="ra"/>
          <w:rFonts w:ascii="Verdana" w:hAnsi="Verdana"/>
          <w:b/>
        </w:rPr>
        <w:t>Ľudské zdroje</w:t>
      </w:r>
      <w:r w:rsidR="00DE302A" w:rsidRPr="004E55A0">
        <w:rPr>
          <w:rStyle w:val="ra"/>
          <w:rFonts w:ascii="Verdana" w:hAnsi="Verdana"/>
        </w:rPr>
        <w:t xml:space="preserve"> </w:t>
      </w:r>
      <w:r w:rsidR="009F34C8">
        <w:rPr>
          <w:rStyle w:val="ra"/>
          <w:rFonts w:ascii="Verdana" w:hAnsi="Verdana"/>
        </w:rPr>
        <w:t xml:space="preserve"> </w:t>
      </w:r>
    </w:p>
    <w:p w:rsidR="00BE32CE" w:rsidRPr="00B87019" w:rsidRDefault="00670A03" w:rsidP="009F34C8">
      <w:pPr>
        <w:ind w:left="0" w:firstLine="0"/>
        <w:jc w:val="both"/>
        <w:rPr>
          <w:rFonts w:ascii="Verdana" w:hAnsi="Verdana"/>
        </w:rPr>
      </w:pPr>
      <w:r w:rsidRPr="004E55A0">
        <w:rPr>
          <w:rFonts w:ascii="Verdana" w:hAnsi="Verdana" w:cs="Arial"/>
          <w:bCs/>
        </w:rPr>
        <w:t>Priemerný evidenčný počet zamestnancov v spoločnosti vo fyzických osobách v roku 201</w:t>
      </w:r>
      <w:r w:rsidR="00BE32CE" w:rsidRPr="004E55A0">
        <w:rPr>
          <w:rFonts w:ascii="Verdana" w:hAnsi="Verdana" w:cs="Arial"/>
          <w:bCs/>
        </w:rPr>
        <w:t>9</w:t>
      </w:r>
      <w:r w:rsidRPr="004E55A0">
        <w:rPr>
          <w:rFonts w:ascii="Verdana" w:hAnsi="Verdana" w:cs="Arial"/>
          <w:bCs/>
        </w:rPr>
        <w:t xml:space="preserve"> bolo 2</w:t>
      </w:r>
      <w:r w:rsidR="00BE32CE" w:rsidRPr="004E55A0">
        <w:rPr>
          <w:rFonts w:ascii="Verdana" w:hAnsi="Verdana" w:cs="Arial"/>
          <w:bCs/>
        </w:rPr>
        <w:t>7</w:t>
      </w:r>
      <w:r w:rsidRPr="004E55A0">
        <w:rPr>
          <w:rFonts w:ascii="Verdana" w:hAnsi="Verdana" w:cs="Arial"/>
          <w:bCs/>
        </w:rPr>
        <w:t xml:space="preserve">. Počet zamestnancov k poslednému dňu roka bol 29. Zamestnanosť je približne na rovnakej úrovni ako v roku </w:t>
      </w:r>
      <w:r w:rsidR="00BE32CE" w:rsidRPr="004E55A0">
        <w:rPr>
          <w:rFonts w:ascii="Verdana" w:hAnsi="Verdana" w:cs="Arial"/>
          <w:bCs/>
        </w:rPr>
        <w:t>2018</w:t>
      </w:r>
      <w:r w:rsidRPr="004E55A0">
        <w:rPr>
          <w:rFonts w:ascii="Verdana" w:hAnsi="Verdana" w:cs="Arial"/>
          <w:bCs/>
        </w:rPr>
        <w:t xml:space="preserve"> Z celkového počtu zamestnancov traja zamestnanci tvoria vedenie spoločnosti.</w:t>
      </w:r>
      <w:r w:rsidRPr="004E55A0">
        <w:rPr>
          <w:rFonts w:ascii="Verdana" w:hAnsi="Verdana"/>
          <w:lang w:val="pl-PL"/>
        </w:rPr>
        <w:t xml:space="preserve"> Jedna pracovníčka je od 15.1.2017 na MD. </w:t>
      </w:r>
      <w:r w:rsidR="004A4279">
        <w:rPr>
          <w:rStyle w:val="ra"/>
          <w:rFonts w:ascii="Verdana" w:hAnsi="Verdana"/>
        </w:rPr>
        <w:t>Jeden zamestnanec má preukaz ZŤP. V spoločnosti pracuje 16 žien a 13 mužov. V spoločnosti je 50% zamestnancov nad 50 rokov</w:t>
      </w:r>
      <w:r w:rsidR="006B1A93">
        <w:rPr>
          <w:rStyle w:val="ra"/>
          <w:rFonts w:ascii="Verdana" w:hAnsi="Verdana"/>
        </w:rPr>
        <w:t xml:space="preserve">, z toho aktívni spolumajitelia sú </w:t>
      </w:r>
      <w:r w:rsidR="006B1A93">
        <w:rPr>
          <w:rStyle w:val="ra"/>
          <w:rFonts w:ascii="Verdana" w:hAnsi="Verdana"/>
        </w:rPr>
        <w:lastRenderedPageBreak/>
        <w:t>v dôchodkovom veku</w:t>
      </w:r>
      <w:r w:rsidR="004A4279">
        <w:rPr>
          <w:rStyle w:val="ra"/>
          <w:rFonts w:ascii="Verdana" w:hAnsi="Verdana"/>
        </w:rPr>
        <w:t xml:space="preserve">. </w:t>
      </w:r>
      <w:r w:rsidR="006B1A93">
        <w:rPr>
          <w:rStyle w:val="ra"/>
          <w:rFonts w:ascii="Verdana" w:hAnsi="Verdana"/>
        </w:rPr>
        <w:t xml:space="preserve">Spoločnosť plánuje do budúcna prijať do pracovného pomeru finančného manažéra a prevádzkového riaditeľa. </w:t>
      </w:r>
    </w:p>
    <w:p w:rsidR="00B87019" w:rsidRDefault="00B87019" w:rsidP="009F34C8">
      <w:pPr>
        <w:spacing w:after="120"/>
        <w:ind w:left="0" w:firstLine="0"/>
        <w:jc w:val="both"/>
        <w:rPr>
          <w:rStyle w:val="ra"/>
          <w:rFonts w:ascii="Verdana" w:hAnsi="Verdana"/>
        </w:rPr>
      </w:pPr>
      <w:r w:rsidRPr="00B87019">
        <w:rPr>
          <w:rStyle w:val="ra"/>
          <w:rFonts w:ascii="Verdana" w:hAnsi="Verdana"/>
        </w:rPr>
        <w:t>V </w:t>
      </w:r>
      <w:r w:rsidR="006B1A93">
        <w:rPr>
          <w:rStyle w:val="ra"/>
          <w:rFonts w:ascii="Verdana" w:hAnsi="Verdana"/>
        </w:rPr>
        <w:t>r</w:t>
      </w:r>
      <w:r w:rsidRPr="00B87019">
        <w:rPr>
          <w:rStyle w:val="ra"/>
          <w:rFonts w:ascii="Verdana" w:hAnsi="Verdana"/>
        </w:rPr>
        <w:t xml:space="preserve">oku </w:t>
      </w:r>
      <w:r>
        <w:rPr>
          <w:rStyle w:val="ra"/>
          <w:rFonts w:ascii="Verdana" w:hAnsi="Verdana"/>
        </w:rPr>
        <w:t xml:space="preserve">2019 ukončili pracovný pomer v spoločnosti štyria zamestnanci. Dvaja zamestnanci odišli na vlastnú žiadosť.  S dvomi pracovníkmi bol ukončený pracovný pomer z dôvodu neuspokojivých pracovných výsledkov. Spoločnosť zamestnala dvoch pracovníkov na pozíciu skladník/vodič. </w:t>
      </w:r>
    </w:p>
    <w:p w:rsidR="00B87019" w:rsidRDefault="00B87019" w:rsidP="00B87019">
      <w:pPr>
        <w:spacing w:after="120"/>
        <w:ind w:left="357" w:firstLine="0"/>
        <w:jc w:val="both"/>
        <w:rPr>
          <w:rStyle w:val="ra"/>
          <w:rFonts w:ascii="Verdana" w:hAnsi="Verdana"/>
        </w:rPr>
      </w:pPr>
    </w:p>
    <w:p w:rsidR="004270F7" w:rsidRDefault="004270F7" w:rsidP="00B87019">
      <w:pPr>
        <w:spacing w:after="120"/>
        <w:ind w:left="357" w:firstLine="0"/>
        <w:jc w:val="both"/>
        <w:rPr>
          <w:rStyle w:val="ra"/>
          <w:rFonts w:ascii="Verdana" w:hAnsi="Verdana"/>
        </w:rPr>
      </w:pPr>
    </w:p>
    <w:p w:rsidR="00B87019" w:rsidRDefault="00B87019" w:rsidP="00B87019">
      <w:pPr>
        <w:spacing w:after="120"/>
        <w:ind w:left="714" w:firstLine="351"/>
        <w:jc w:val="both"/>
        <w:rPr>
          <w:rFonts w:ascii="Verdana" w:hAnsi="Verdana"/>
        </w:rPr>
      </w:pPr>
      <w:r>
        <w:rPr>
          <w:noProof/>
          <w:lang w:eastAsia="sk-SK"/>
        </w:rPr>
        <w:drawing>
          <wp:inline distT="0" distB="0" distL="0" distR="0" wp14:anchorId="047078D7" wp14:editId="3028F4BA">
            <wp:extent cx="4524375" cy="2667000"/>
            <wp:effectExtent l="0" t="0" r="9525" b="1905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7019" w:rsidRDefault="00B87019" w:rsidP="00B87019">
      <w:pPr>
        <w:ind w:left="1065" w:firstLine="0"/>
        <w:jc w:val="both"/>
        <w:rPr>
          <w:rFonts w:ascii="Verdana" w:hAnsi="Verdana"/>
          <w:lang w:val="pl-PL"/>
        </w:rPr>
      </w:pPr>
    </w:p>
    <w:p w:rsidR="004270F7" w:rsidRDefault="004270F7" w:rsidP="00B87019">
      <w:pPr>
        <w:ind w:left="1065" w:firstLine="0"/>
        <w:jc w:val="both"/>
        <w:rPr>
          <w:rFonts w:ascii="Verdana" w:hAnsi="Verdana"/>
          <w:lang w:val="pl-PL"/>
        </w:rPr>
      </w:pPr>
    </w:p>
    <w:p w:rsidR="004270F7" w:rsidRDefault="004270F7" w:rsidP="00B87019">
      <w:pPr>
        <w:ind w:left="1065" w:firstLine="0"/>
        <w:jc w:val="both"/>
        <w:rPr>
          <w:rFonts w:ascii="Verdana" w:hAnsi="Verdana"/>
          <w:lang w:val="pl-PL"/>
        </w:rPr>
      </w:pPr>
    </w:p>
    <w:p w:rsidR="004270F7" w:rsidRDefault="004270F7" w:rsidP="00B87019">
      <w:pPr>
        <w:ind w:left="1065" w:firstLine="0"/>
        <w:jc w:val="both"/>
        <w:rPr>
          <w:rFonts w:ascii="Verdana" w:hAnsi="Verdana"/>
          <w:lang w:val="pl-PL"/>
        </w:rPr>
      </w:pPr>
    </w:p>
    <w:p w:rsidR="00B87019" w:rsidRDefault="006B1A93" w:rsidP="00B87019">
      <w:pPr>
        <w:ind w:left="1065" w:firstLine="0"/>
        <w:jc w:val="both"/>
        <w:rPr>
          <w:rFonts w:ascii="Verdana" w:hAnsi="Verdana"/>
          <w:lang w:val="pl-PL"/>
        </w:rPr>
      </w:pPr>
      <w:r>
        <w:rPr>
          <w:noProof/>
          <w:lang w:eastAsia="sk-SK"/>
        </w:rPr>
        <w:drawing>
          <wp:inline distT="0" distB="0" distL="0" distR="0" wp14:anchorId="0E3C4F8E" wp14:editId="258D368A">
            <wp:extent cx="4540624" cy="2564130"/>
            <wp:effectExtent l="0" t="0" r="12700" b="2667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29CA" w:rsidRDefault="008629CA" w:rsidP="00B87019">
      <w:pPr>
        <w:ind w:left="1065" w:firstLine="0"/>
        <w:jc w:val="both"/>
        <w:rPr>
          <w:rFonts w:ascii="Verdana" w:hAnsi="Verdana"/>
          <w:lang w:val="pl-PL"/>
        </w:rPr>
      </w:pPr>
    </w:p>
    <w:p w:rsidR="008629CA" w:rsidRDefault="008629CA" w:rsidP="00B87019">
      <w:pPr>
        <w:ind w:left="1065" w:firstLine="0"/>
        <w:jc w:val="both"/>
        <w:rPr>
          <w:rFonts w:ascii="Verdana" w:hAnsi="Verdana"/>
          <w:lang w:val="pl-PL"/>
        </w:rPr>
      </w:pPr>
    </w:p>
    <w:p w:rsidR="00670A03" w:rsidRPr="00BE32CE" w:rsidRDefault="00B87019" w:rsidP="00B87019">
      <w:pPr>
        <w:ind w:left="1065" w:firstLine="0"/>
        <w:jc w:val="both"/>
        <w:rPr>
          <w:rFonts w:ascii="Verdana" w:hAnsi="Verdana"/>
          <w:lang w:val="pl-PL"/>
        </w:rPr>
      </w:pPr>
      <w:r>
        <w:rPr>
          <w:noProof/>
          <w:lang w:eastAsia="sk-SK"/>
        </w:rPr>
        <w:lastRenderedPageBreak/>
        <w:drawing>
          <wp:inline distT="0" distB="0" distL="0" distR="0" wp14:anchorId="7AB9F26E" wp14:editId="4A9650CF">
            <wp:extent cx="4543425" cy="2724150"/>
            <wp:effectExtent l="0" t="0" r="9525"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0A03" w:rsidRPr="00670A03" w:rsidRDefault="00670A03" w:rsidP="004A4279">
      <w:pPr>
        <w:spacing w:after="120"/>
        <w:ind w:left="357" w:firstLine="0"/>
        <w:jc w:val="both"/>
        <w:rPr>
          <w:rStyle w:val="ra"/>
          <w:rFonts w:ascii="Verdana" w:hAnsi="Verdana"/>
        </w:rPr>
      </w:pPr>
    </w:p>
    <w:p w:rsidR="00670A03" w:rsidRPr="00670A03" w:rsidRDefault="00670A03" w:rsidP="006B1A93">
      <w:pPr>
        <w:spacing w:after="120"/>
        <w:ind w:left="357" w:firstLine="0"/>
        <w:jc w:val="both"/>
        <w:rPr>
          <w:rStyle w:val="ra"/>
          <w:rFonts w:ascii="Verdana" w:hAnsi="Verdana"/>
        </w:rPr>
      </w:pPr>
    </w:p>
    <w:p w:rsidR="009F34C8" w:rsidRPr="009F34C8" w:rsidRDefault="009F34C8" w:rsidP="009F34C8">
      <w:pPr>
        <w:spacing w:after="60"/>
        <w:ind w:left="357" w:firstLine="0"/>
        <w:jc w:val="both"/>
        <w:rPr>
          <w:rStyle w:val="ra"/>
          <w:rFonts w:ascii="Verdana" w:hAnsi="Verdana"/>
          <w:u w:val="single"/>
        </w:rPr>
      </w:pPr>
      <w:r w:rsidRPr="009F34C8">
        <w:rPr>
          <w:rStyle w:val="ra"/>
          <w:rFonts w:ascii="Verdana" w:hAnsi="Verdana"/>
          <w:u w:val="single"/>
        </w:rPr>
        <w:t>3.2.1. Vzdelávanie zamestnancov</w:t>
      </w:r>
    </w:p>
    <w:p w:rsidR="00602D3F" w:rsidRPr="00692097" w:rsidRDefault="006B1A93" w:rsidP="009F34C8">
      <w:pPr>
        <w:ind w:left="357" w:firstLine="0"/>
        <w:jc w:val="both"/>
        <w:rPr>
          <w:rFonts w:ascii="Verdana" w:hAnsi="Verdana"/>
        </w:rPr>
      </w:pPr>
      <w:r w:rsidRPr="00692097">
        <w:rPr>
          <w:rStyle w:val="ra"/>
          <w:rFonts w:ascii="Verdana" w:hAnsi="Verdana"/>
        </w:rPr>
        <w:t>Zamestnanci sa pravidelne školia u našich dodávateľov na produkty, ktoré spoločnosť obchoduje. Školenia sú zamerané na predaj</w:t>
      </w:r>
      <w:r w:rsidR="00692097">
        <w:rPr>
          <w:rStyle w:val="ra"/>
          <w:rFonts w:ascii="Verdana" w:hAnsi="Verdana"/>
        </w:rPr>
        <w:t xml:space="preserve"> pre obchodníkov</w:t>
      </w:r>
      <w:r w:rsidRPr="00692097">
        <w:rPr>
          <w:rStyle w:val="ra"/>
          <w:rFonts w:ascii="Verdana" w:hAnsi="Verdana"/>
        </w:rPr>
        <w:t xml:space="preserve">, pre servisných inžinierov na technickú stránku </w:t>
      </w:r>
      <w:r w:rsidR="00692097">
        <w:rPr>
          <w:rStyle w:val="ra"/>
          <w:rFonts w:ascii="Verdana" w:hAnsi="Verdana"/>
        </w:rPr>
        <w:t>analyzátorov</w:t>
      </w:r>
      <w:r w:rsidRPr="00692097">
        <w:rPr>
          <w:rStyle w:val="ra"/>
          <w:rFonts w:ascii="Verdana" w:hAnsi="Verdana"/>
        </w:rPr>
        <w:t>, a pre aplikačných špecialistov na obsluhu analyzátorov</w:t>
      </w:r>
      <w:r w:rsidR="00692097" w:rsidRPr="00692097">
        <w:rPr>
          <w:rStyle w:val="ra"/>
          <w:rFonts w:ascii="Verdana" w:hAnsi="Verdana"/>
        </w:rPr>
        <w:t>.</w:t>
      </w:r>
      <w:r w:rsidR="00692097">
        <w:rPr>
          <w:rStyle w:val="ra"/>
          <w:rFonts w:ascii="Verdana" w:hAnsi="Verdana"/>
        </w:rPr>
        <w:t xml:space="preserve"> </w:t>
      </w:r>
      <w:r w:rsidR="004E55A0" w:rsidRPr="00692097">
        <w:rPr>
          <w:rFonts w:ascii="Verdana" w:hAnsi="Verdana"/>
          <w:lang w:val="pl-PL"/>
        </w:rPr>
        <w:t>Naši zamestnanci sa zúčastňujú na</w:t>
      </w:r>
      <w:r w:rsidR="00692097" w:rsidRPr="00692097">
        <w:rPr>
          <w:rFonts w:ascii="Verdana" w:hAnsi="Verdana"/>
          <w:lang w:val="pl-PL"/>
        </w:rPr>
        <w:t xml:space="preserve"> odborných</w:t>
      </w:r>
      <w:r w:rsidR="004E55A0" w:rsidRPr="00692097">
        <w:rPr>
          <w:rFonts w:ascii="Verdana" w:hAnsi="Verdana"/>
          <w:lang w:val="pl-PL"/>
        </w:rPr>
        <w:t xml:space="preserve"> seminároch, sympóziach a vedeckých konferenciách, kde získavajú nové</w:t>
      </w:r>
      <w:r w:rsidR="00692097" w:rsidRPr="00692097">
        <w:rPr>
          <w:rFonts w:ascii="Verdana" w:hAnsi="Verdana"/>
          <w:lang w:val="pl-PL"/>
        </w:rPr>
        <w:t xml:space="preserve"> vedecké</w:t>
      </w:r>
      <w:r w:rsidR="004E55A0" w:rsidRPr="00692097">
        <w:rPr>
          <w:rFonts w:ascii="Verdana" w:hAnsi="Verdana"/>
          <w:lang w:val="pl-PL"/>
        </w:rPr>
        <w:t xml:space="preserve"> poznatky. </w:t>
      </w:r>
    </w:p>
    <w:p w:rsidR="00692097" w:rsidRPr="00692097" w:rsidRDefault="00692097" w:rsidP="004270F7">
      <w:pPr>
        <w:spacing w:after="120"/>
        <w:ind w:left="357" w:firstLine="0"/>
        <w:jc w:val="both"/>
        <w:rPr>
          <w:rStyle w:val="ra"/>
          <w:rFonts w:ascii="Verdana" w:hAnsi="Verdana"/>
        </w:rPr>
      </w:pPr>
      <w:r>
        <w:rPr>
          <w:rFonts w:ascii="Verdana" w:hAnsi="Verdana"/>
          <w:lang w:val="pl-PL"/>
        </w:rPr>
        <w:t>Pravidelne v dvojročných cykloch sú zamestnanci školení v bezpečnosti práce a požiarnej ochrane. V rovnakých cykloch, nakoľko používajú služobné autá, sú školení aj ako vodiči referenti.</w:t>
      </w:r>
    </w:p>
    <w:p w:rsidR="006851E5" w:rsidRPr="006851E5" w:rsidRDefault="006851E5" w:rsidP="006851E5">
      <w:pPr>
        <w:spacing w:after="60"/>
        <w:ind w:left="357" w:firstLine="0"/>
        <w:jc w:val="both"/>
        <w:rPr>
          <w:rFonts w:ascii="Verdana" w:hAnsi="Verdana" w:cs="Arial"/>
          <w:b/>
          <w:shd w:val="clear" w:color="auto" w:fill="FFFFFF"/>
        </w:rPr>
      </w:pPr>
      <w:r w:rsidRPr="006851E5">
        <w:rPr>
          <w:rFonts w:ascii="Verdana" w:hAnsi="Verdana" w:cs="Arial"/>
          <w:b/>
          <w:shd w:val="clear" w:color="auto" w:fill="FFFFFF"/>
        </w:rPr>
        <w:t>3.3. ISO normy</w:t>
      </w:r>
      <w:r>
        <w:rPr>
          <w:rFonts w:ascii="Verdana" w:hAnsi="Verdana" w:cs="Arial"/>
          <w:b/>
          <w:shd w:val="clear" w:color="auto" w:fill="FFFFFF"/>
        </w:rPr>
        <w:t xml:space="preserve"> kvality</w:t>
      </w:r>
    </w:p>
    <w:p w:rsidR="005D0DE3" w:rsidRPr="005D0DE3" w:rsidRDefault="005D0DE3" w:rsidP="004270F7">
      <w:pPr>
        <w:spacing w:after="120"/>
        <w:ind w:left="357" w:firstLine="0"/>
        <w:jc w:val="both"/>
        <w:rPr>
          <w:rFonts w:ascii="Verdana" w:hAnsi="Verdana"/>
        </w:rPr>
      </w:pPr>
      <w:r w:rsidRPr="005D0DE3">
        <w:rPr>
          <w:rFonts w:ascii="Verdana" w:hAnsi="Verdana" w:cs="Arial"/>
          <w:shd w:val="clear" w:color="auto" w:fill="FFFFFF"/>
        </w:rPr>
        <w:t xml:space="preserve">V roku 2008 sme zaviedli </w:t>
      </w:r>
      <w:r>
        <w:rPr>
          <w:rFonts w:ascii="Verdana" w:hAnsi="Verdana" w:cs="Arial"/>
          <w:shd w:val="clear" w:color="auto" w:fill="FFFFFF"/>
        </w:rPr>
        <w:t xml:space="preserve">v spoločnosti </w:t>
      </w:r>
      <w:r w:rsidRPr="005D0DE3">
        <w:rPr>
          <w:rFonts w:ascii="Verdana" w:hAnsi="Verdana" w:cs="Arial"/>
          <w:shd w:val="clear" w:color="auto" w:fill="FFFFFF"/>
        </w:rPr>
        <w:t>systém riadenia kvality v zmysle normy ISO 9001:2000, na ktorý sme získali certifikát. V zmysle aktualizácií normy ISO 9001 máme v súčasnosti platný certifikát podľa normy 9001:2008</w:t>
      </w:r>
      <w:r>
        <w:rPr>
          <w:rFonts w:ascii="Verdana" w:hAnsi="Verdana" w:cs="Arial"/>
          <w:shd w:val="clear" w:color="auto" w:fill="FFFFFF"/>
        </w:rPr>
        <w:t xml:space="preserve">. Každoročne  sa podrobujeme </w:t>
      </w:r>
      <w:r w:rsidRPr="005D0DE3">
        <w:rPr>
          <w:rFonts w:ascii="Verdana" w:hAnsi="Verdana" w:cs="Arial"/>
          <w:shd w:val="clear" w:color="auto" w:fill="FFFFFF"/>
        </w:rPr>
        <w:t xml:space="preserve"> </w:t>
      </w:r>
      <w:r>
        <w:rPr>
          <w:rFonts w:ascii="Verdana" w:hAnsi="Verdana" w:cs="Arial"/>
          <w:shd w:val="clear" w:color="auto" w:fill="FFFFFF"/>
        </w:rPr>
        <w:t>recertifikácii</w:t>
      </w:r>
      <w:r w:rsidRPr="005D0DE3">
        <w:rPr>
          <w:rFonts w:ascii="Verdana" w:hAnsi="Verdana" w:cs="Arial"/>
          <w:shd w:val="clear" w:color="auto" w:fill="FFFFFF"/>
        </w:rPr>
        <w:t>.</w:t>
      </w:r>
    </w:p>
    <w:p w:rsidR="006851E5" w:rsidRPr="006851E5" w:rsidRDefault="006851E5" w:rsidP="006851E5">
      <w:pPr>
        <w:spacing w:after="60"/>
        <w:ind w:left="357" w:firstLine="0"/>
        <w:jc w:val="both"/>
        <w:rPr>
          <w:rStyle w:val="ra"/>
          <w:rFonts w:ascii="Verdana" w:hAnsi="Verdana"/>
          <w:b/>
        </w:rPr>
      </w:pPr>
      <w:r w:rsidRPr="006851E5">
        <w:rPr>
          <w:rStyle w:val="ra"/>
          <w:rFonts w:ascii="Verdana" w:hAnsi="Verdana"/>
          <w:b/>
        </w:rPr>
        <w:t>3.4. Plnenie záväzkov voči štátu</w:t>
      </w:r>
    </w:p>
    <w:p w:rsidR="00777284" w:rsidRPr="00670A03" w:rsidRDefault="005D0DE3" w:rsidP="004270F7">
      <w:pPr>
        <w:spacing w:after="120"/>
        <w:ind w:left="357" w:firstLine="0"/>
        <w:jc w:val="both"/>
        <w:rPr>
          <w:rStyle w:val="ra"/>
          <w:rFonts w:ascii="Verdana" w:hAnsi="Verdana"/>
        </w:rPr>
      </w:pPr>
      <w:r>
        <w:rPr>
          <w:rStyle w:val="ra"/>
          <w:rFonts w:ascii="Verdana" w:hAnsi="Verdana"/>
        </w:rPr>
        <w:t>S</w:t>
      </w:r>
      <w:r w:rsidR="00777284" w:rsidRPr="00670A03">
        <w:rPr>
          <w:rStyle w:val="ra"/>
          <w:rFonts w:ascii="Verdana" w:hAnsi="Verdana"/>
        </w:rPr>
        <w:t xml:space="preserve">poločnosť si včas plní </w:t>
      </w:r>
      <w:r>
        <w:rPr>
          <w:rStyle w:val="ra"/>
          <w:rFonts w:ascii="Verdana" w:hAnsi="Verdana"/>
        </w:rPr>
        <w:t xml:space="preserve">všetky </w:t>
      </w:r>
      <w:r w:rsidR="00777284" w:rsidRPr="00670A03">
        <w:rPr>
          <w:rStyle w:val="ra"/>
          <w:rFonts w:ascii="Verdana" w:hAnsi="Verdana"/>
        </w:rPr>
        <w:t xml:space="preserve">svoje </w:t>
      </w:r>
      <w:r w:rsidRPr="00670A03">
        <w:rPr>
          <w:rStyle w:val="ra"/>
          <w:rFonts w:ascii="Verdana" w:hAnsi="Verdana"/>
        </w:rPr>
        <w:t xml:space="preserve">záväzky </w:t>
      </w:r>
      <w:r w:rsidR="00777284" w:rsidRPr="00670A03">
        <w:rPr>
          <w:rStyle w:val="ra"/>
          <w:rFonts w:ascii="Verdana" w:hAnsi="Verdana"/>
        </w:rPr>
        <w:t>voči štátu</w:t>
      </w:r>
      <w:r>
        <w:rPr>
          <w:rStyle w:val="ra"/>
          <w:rFonts w:ascii="Verdana" w:hAnsi="Verdana"/>
        </w:rPr>
        <w:t xml:space="preserve"> - </w:t>
      </w:r>
      <w:r w:rsidRPr="00670A03">
        <w:rPr>
          <w:rStyle w:val="ra"/>
          <w:rFonts w:ascii="Verdana" w:hAnsi="Verdana"/>
        </w:rPr>
        <w:t xml:space="preserve">daňové </w:t>
      </w:r>
      <w:r>
        <w:rPr>
          <w:rStyle w:val="ra"/>
          <w:rFonts w:ascii="Verdana" w:hAnsi="Verdana"/>
        </w:rPr>
        <w:t>záväzky,</w:t>
      </w:r>
      <w:r w:rsidR="00777284" w:rsidRPr="00670A03">
        <w:rPr>
          <w:rStyle w:val="ra"/>
          <w:rFonts w:ascii="Verdana" w:hAnsi="Verdana"/>
        </w:rPr>
        <w:t xml:space="preserve"> záväzky voči sociálnej </w:t>
      </w:r>
      <w:r w:rsidR="005C7B91" w:rsidRPr="00670A03">
        <w:rPr>
          <w:rStyle w:val="ra"/>
          <w:rFonts w:ascii="Verdana" w:hAnsi="Verdana"/>
        </w:rPr>
        <w:t xml:space="preserve">poisťovni </w:t>
      </w:r>
      <w:r w:rsidR="00777284" w:rsidRPr="00670A03">
        <w:rPr>
          <w:rStyle w:val="ra"/>
          <w:rFonts w:ascii="Verdana" w:hAnsi="Verdana"/>
        </w:rPr>
        <w:t>a zdravotnej poisťovni</w:t>
      </w:r>
      <w:r>
        <w:rPr>
          <w:rStyle w:val="ra"/>
          <w:rFonts w:ascii="Verdana" w:hAnsi="Verdana"/>
        </w:rPr>
        <w:t>.</w:t>
      </w:r>
      <w:r w:rsidR="00777284" w:rsidRPr="00670A03">
        <w:rPr>
          <w:rStyle w:val="ra"/>
          <w:rFonts w:ascii="Verdana" w:hAnsi="Verdana"/>
        </w:rPr>
        <w:t xml:space="preserve"> </w:t>
      </w:r>
    </w:p>
    <w:p w:rsidR="006851E5" w:rsidRPr="006851E5" w:rsidRDefault="006851E5" w:rsidP="006851E5">
      <w:pPr>
        <w:spacing w:after="60"/>
        <w:ind w:left="357" w:firstLine="0"/>
        <w:jc w:val="both"/>
        <w:rPr>
          <w:rStyle w:val="ra"/>
          <w:rFonts w:ascii="Verdana" w:hAnsi="Verdana"/>
          <w:b/>
        </w:rPr>
      </w:pPr>
      <w:r w:rsidRPr="006851E5">
        <w:rPr>
          <w:rStyle w:val="ra"/>
          <w:rFonts w:ascii="Verdana" w:hAnsi="Verdana"/>
          <w:b/>
        </w:rPr>
        <w:t>3.5. Spoločnosť v kríze</w:t>
      </w:r>
    </w:p>
    <w:p w:rsidR="00423714" w:rsidRDefault="00423714" w:rsidP="004270F7">
      <w:pPr>
        <w:spacing w:after="120"/>
        <w:ind w:left="357" w:firstLine="0"/>
        <w:jc w:val="both"/>
        <w:rPr>
          <w:rStyle w:val="ra"/>
          <w:rFonts w:ascii="Verdana" w:hAnsi="Verdana"/>
        </w:rPr>
      </w:pPr>
      <w:r w:rsidRPr="00423714">
        <w:rPr>
          <w:rStyle w:val="ra"/>
          <w:rFonts w:ascii="Verdana" w:hAnsi="Verdana"/>
        </w:rPr>
        <w:t>S</w:t>
      </w:r>
      <w:r w:rsidR="00806401" w:rsidRPr="00423714">
        <w:rPr>
          <w:rStyle w:val="ra"/>
          <w:rFonts w:ascii="Verdana" w:hAnsi="Verdana"/>
        </w:rPr>
        <w:t>poločnos</w:t>
      </w:r>
      <w:r w:rsidRPr="00423714">
        <w:rPr>
          <w:rStyle w:val="ra"/>
          <w:rFonts w:ascii="Verdana" w:hAnsi="Verdana"/>
        </w:rPr>
        <w:t xml:space="preserve">ť sa podľa Obchodného zákonníka § 67a nenachádza v kríze, pomer vlastného imania a záväzkov spoločnosti </w:t>
      </w:r>
      <w:r>
        <w:rPr>
          <w:rStyle w:val="ra"/>
          <w:rFonts w:ascii="Verdana" w:hAnsi="Verdana"/>
        </w:rPr>
        <w:t xml:space="preserve">je </w:t>
      </w:r>
      <w:r w:rsidRPr="00423714">
        <w:rPr>
          <w:rStyle w:val="ra"/>
          <w:rFonts w:ascii="Verdana" w:hAnsi="Verdana"/>
        </w:rPr>
        <w:t>&gt; ako 8 ku 100.</w:t>
      </w:r>
    </w:p>
    <w:p w:rsidR="006851E5" w:rsidRPr="006851E5" w:rsidRDefault="006851E5" w:rsidP="006851E5">
      <w:pPr>
        <w:spacing w:after="60"/>
        <w:ind w:left="357" w:firstLine="0"/>
        <w:jc w:val="both"/>
        <w:rPr>
          <w:rStyle w:val="ra"/>
          <w:rFonts w:ascii="Verdana" w:hAnsi="Verdana"/>
          <w:b/>
        </w:rPr>
      </w:pPr>
      <w:r w:rsidRPr="006851E5">
        <w:rPr>
          <w:rStyle w:val="ra"/>
          <w:rFonts w:ascii="Verdana" w:hAnsi="Verdana"/>
          <w:b/>
        </w:rPr>
        <w:t>3.6. Transferová dokumentácia</w:t>
      </w:r>
    </w:p>
    <w:p w:rsidR="00806401" w:rsidRPr="00DB02BA" w:rsidRDefault="00DB02BA" w:rsidP="006851E5">
      <w:pPr>
        <w:spacing w:after="120"/>
        <w:ind w:left="357" w:firstLine="0"/>
        <w:jc w:val="both"/>
        <w:rPr>
          <w:rStyle w:val="ra"/>
          <w:rFonts w:ascii="Verdana" w:hAnsi="Verdana"/>
        </w:rPr>
      </w:pPr>
      <w:r>
        <w:rPr>
          <w:rStyle w:val="ra"/>
          <w:rFonts w:ascii="Verdana" w:hAnsi="Verdana"/>
        </w:rPr>
        <w:t xml:space="preserve"> Spoločnosť má spracovanú transferovú dokumentáciu</w:t>
      </w:r>
      <w:r w:rsidR="00806401" w:rsidRPr="00423714">
        <w:rPr>
          <w:rStyle w:val="ra"/>
          <w:rFonts w:ascii="Verdana" w:hAnsi="Verdana"/>
        </w:rPr>
        <w:t xml:space="preserve"> podľa § 18/1 ZDP</w:t>
      </w:r>
      <w:r>
        <w:rPr>
          <w:rStyle w:val="ra"/>
          <w:rFonts w:ascii="Verdana" w:hAnsi="Verdana"/>
        </w:rPr>
        <w:t xml:space="preserve">. Podľa testovania veľkostných kritérií spoločnosť zostavuje </w:t>
      </w:r>
      <w:r w:rsidRPr="00DB02BA">
        <w:rPr>
          <w:rStyle w:val="ra"/>
          <w:rFonts w:ascii="Verdana" w:hAnsi="Verdana"/>
          <w:b/>
        </w:rPr>
        <w:t>skrátenú transferovú dokumentáciu</w:t>
      </w:r>
      <w:r>
        <w:rPr>
          <w:rStyle w:val="ra"/>
          <w:rFonts w:ascii="Verdana" w:hAnsi="Verdana"/>
          <w:b/>
        </w:rPr>
        <w:t xml:space="preserve">. </w:t>
      </w:r>
      <w:r w:rsidRPr="00DB02BA">
        <w:rPr>
          <w:rStyle w:val="ra"/>
          <w:rFonts w:ascii="Verdana" w:hAnsi="Verdana"/>
        </w:rPr>
        <w:t>Spoločnosť Bio G</w:t>
      </w:r>
      <w:r>
        <w:rPr>
          <w:rStyle w:val="ra"/>
          <w:rFonts w:ascii="Verdana" w:hAnsi="Verdana"/>
        </w:rPr>
        <w:t xml:space="preserve"> spol.s r.o. je subjekt, ktorý zostavuje transferovú dokumentáciu voči skupinám závislých osôb v  spoločnostiach AnalytX s r.o., BEMEDI s r.o., BGM s r.o.,</w:t>
      </w:r>
    </w:p>
    <w:p w:rsidR="00DB02BA" w:rsidRDefault="00DB02BA" w:rsidP="00CD6F01">
      <w:pPr>
        <w:ind w:left="0" w:firstLine="0"/>
        <w:jc w:val="both"/>
        <w:rPr>
          <w:rStyle w:val="ra"/>
          <w:rFonts w:ascii="Verdana" w:hAnsi="Verdana"/>
        </w:rPr>
      </w:pPr>
    </w:p>
    <w:p w:rsidR="006851E5" w:rsidRPr="00670A03" w:rsidRDefault="006851E5" w:rsidP="00CD6F01">
      <w:pPr>
        <w:ind w:left="0" w:firstLine="0"/>
        <w:jc w:val="both"/>
        <w:rPr>
          <w:rStyle w:val="ra"/>
          <w:rFonts w:ascii="Verdana" w:hAnsi="Verdana"/>
        </w:rPr>
      </w:pPr>
    </w:p>
    <w:p w:rsidR="00602D3F" w:rsidRPr="006851E5" w:rsidRDefault="006851E5" w:rsidP="00602D3F">
      <w:pPr>
        <w:ind w:left="0" w:firstLine="0"/>
        <w:jc w:val="both"/>
        <w:rPr>
          <w:rFonts w:ascii="Verdana" w:hAnsi="Verdana"/>
          <w:b/>
          <w:sz w:val="24"/>
          <w:szCs w:val="24"/>
        </w:rPr>
      </w:pPr>
      <w:r>
        <w:rPr>
          <w:rFonts w:ascii="Verdana" w:hAnsi="Verdana"/>
          <w:b/>
          <w:sz w:val="24"/>
          <w:szCs w:val="24"/>
        </w:rPr>
        <w:lastRenderedPageBreak/>
        <w:t>4.</w:t>
      </w:r>
      <w:r w:rsidR="00602D3F" w:rsidRPr="006851E5">
        <w:rPr>
          <w:rFonts w:ascii="Verdana" w:hAnsi="Verdana"/>
          <w:b/>
          <w:sz w:val="24"/>
          <w:szCs w:val="24"/>
        </w:rPr>
        <w:t xml:space="preserve"> Povinné prílohy</w:t>
      </w:r>
    </w:p>
    <w:p w:rsidR="005E58D5" w:rsidRPr="00670A03" w:rsidRDefault="005E58D5" w:rsidP="00602D3F">
      <w:pPr>
        <w:ind w:left="0" w:firstLine="0"/>
        <w:jc w:val="both"/>
        <w:rPr>
          <w:rFonts w:ascii="Verdana" w:hAnsi="Verdana"/>
          <w:b/>
        </w:rPr>
      </w:pPr>
    </w:p>
    <w:p w:rsidR="00602D3F" w:rsidRDefault="00D40DC7" w:rsidP="00CD6F01">
      <w:pPr>
        <w:ind w:left="0" w:firstLine="0"/>
        <w:jc w:val="both"/>
        <w:rPr>
          <w:rStyle w:val="ra"/>
          <w:rFonts w:ascii="Verdana" w:hAnsi="Verdana"/>
        </w:rPr>
      </w:pPr>
      <w:r w:rsidRPr="00670A03">
        <w:rPr>
          <w:rStyle w:val="ra"/>
          <w:rFonts w:ascii="Verdana" w:hAnsi="Verdana"/>
        </w:rPr>
        <w:t>Prílohou tejto výročnej správy sú:</w:t>
      </w:r>
    </w:p>
    <w:p w:rsidR="005E58D5" w:rsidRPr="00670A03" w:rsidRDefault="005E58D5" w:rsidP="00CD6F01">
      <w:pPr>
        <w:ind w:left="0" w:firstLine="0"/>
        <w:jc w:val="both"/>
        <w:rPr>
          <w:rStyle w:val="ra"/>
          <w:rFonts w:ascii="Verdana" w:hAnsi="Verdana"/>
        </w:rPr>
      </w:pPr>
    </w:p>
    <w:p w:rsidR="00D40DC7" w:rsidRDefault="00D40DC7" w:rsidP="00CD6F01">
      <w:pPr>
        <w:ind w:left="0" w:firstLine="0"/>
        <w:jc w:val="both"/>
        <w:rPr>
          <w:rStyle w:val="ra"/>
          <w:rFonts w:ascii="Verdana" w:hAnsi="Verdana"/>
          <w:b/>
        </w:rPr>
      </w:pPr>
      <w:r w:rsidRPr="00670A03">
        <w:rPr>
          <w:rStyle w:val="ra"/>
          <w:rFonts w:ascii="Verdana" w:hAnsi="Verdana"/>
          <w:b/>
        </w:rPr>
        <w:t>Účtovná závierka spoločnosti za rok 201</w:t>
      </w:r>
      <w:r w:rsidR="00F148C2" w:rsidRPr="00670A03">
        <w:rPr>
          <w:rStyle w:val="ra"/>
          <w:rFonts w:ascii="Verdana" w:hAnsi="Verdana"/>
          <w:b/>
        </w:rPr>
        <w:t>9</w:t>
      </w:r>
      <w:r w:rsidRPr="00670A03">
        <w:rPr>
          <w:rStyle w:val="ra"/>
          <w:rFonts w:ascii="Verdana" w:hAnsi="Verdana"/>
          <w:b/>
        </w:rPr>
        <w:t xml:space="preserve"> (Súvaha, Výkaz ziskov a strát a Poznámky)</w:t>
      </w:r>
    </w:p>
    <w:p w:rsidR="005E58D5" w:rsidRPr="00670A03" w:rsidRDefault="005E58D5" w:rsidP="00CD6F01">
      <w:pPr>
        <w:ind w:left="0" w:firstLine="0"/>
        <w:jc w:val="both"/>
        <w:rPr>
          <w:rStyle w:val="ra"/>
          <w:rFonts w:ascii="Verdana" w:hAnsi="Verdana"/>
          <w:b/>
        </w:rPr>
      </w:pPr>
    </w:p>
    <w:p w:rsidR="00D40DC7" w:rsidRPr="00670A03" w:rsidRDefault="00D40DC7" w:rsidP="00CD6F01">
      <w:pPr>
        <w:ind w:left="0" w:firstLine="0"/>
        <w:jc w:val="both"/>
        <w:rPr>
          <w:rStyle w:val="ra"/>
          <w:rFonts w:ascii="Verdana" w:hAnsi="Verdana"/>
          <w:b/>
        </w:rPr>
      </w:pPr>
      <w:r w:rsidRPr="00670A03">
        <w:rPr>
          <w:rStyle w:val="ra"/>
          <w:rFonts w:ascii="Verdana" w:hAnsi="Verdana"/>
          <w:b/>
        </w:rPr>
        <w:t>Správa audítora z overenia účtovnej závierky za rok 201</w:t>
      </w:r>
      <w:r w:rsidR="00F148C2" w:rsidRPr="00670A03">
        <w:rPr>
          <w:rStyle w:val="ra"/>
          <w:rFonts w:ascii="Verdana" w:hAnsi="Verdana"/>
          <w:b/>
        </w:rPr>
        <w:t>9</w:t>
      </w:r>
    </w:p>
    <w:p w:rsidR="00D40DC7" w:rsidRDefault="00D40DC7" w:rsidP="00CD6F01">
      <w:pPr>
        <w:ind w:left="0" w:firstLine="0"/>
        <w:jc w:val="both"/>
        <w:rPr>
          <w:rStyle w:val="ra"/>
          <w:rFonts w:ascii="Verdana" w:hAnsi="Verdana"/>
        </w:rPr>
      </w:pPr>
    </w:p>
    <w:p w:rsidR="006851E5" w:rsidRPr="00670A03" w:rsidRDefault="006851E5" w:rsidP="00CD6F01">
      <w:pPr>
        <w:ind w:left="0" w:firstLine="0"/>
        <w:jc w:val="both"/>
        <w:rPr>
          <w:rStyle w:val="ra"/>
          <w:rFonts w:ascii="Verdana" w:hAnsi="Verdana"/>
        </w:rPr>
      </w:pPr>
    </w:p>
    <w:p w:rsidR="00602D3F" w:rsidRPr="006851E5" w:rsidRDefault="006851E5" w:rsidP="00602D3F">
      <w:pPr>
        <w:ind w:left="0" w:firstLine="0"/>
        <w:jc w:val="both"/>
        <w:rPr>
          <w:rFonts w:ascii="Verdana" w:hAnsi="Verdana"/>
          <w:b/>
          <w:sz w:val="24"/>
          <w:szCs w:val="24"/>
        </w:rPr>
      </w:pPr>
      <w:r w:rsidRPr="006851E5">
        <w:rPr>
          <w:rFonts w:ascii="Verdana" w:hAnsi="Verdana"/>
          <w:b/>
          <w:sz w:val="24"/>
          <w:szCs w:val="24"/>
        </w:rPr>
        <w:t>5.</w:t>
      </w:r>
      <w:r w:rsidR="00602D3F" w:rsidRPr="006851E5">
        <w:rPr>
          <w:rFonts w:ascii="Verdana" w:hAnsi="Verdana"/>
          <w:b/>
          <w:sz w:val="24"/>
          <w:szCs w:val="24"/>
        </w:rPr>
        <w:t xml:space="preserve"> </w:t>
      </w:r>
      <w:r w:rsidR="005E084C" w:rsidRPr="006851E5">
        <w:rPr>
          <w:rFonts w:ascii="Verdana" w:hAnsi="Verdana"/>
          <w:b/>
          <w:sz w:val="24"/>
          <w:szCs w:val="24"/>
        </w:rPr>
        <w:t>Finančno-ekonomická analýza spoločnosti</w:t>
      </w:r>
    </w:p>
    <w:p w:rsidR="005E58D5" w:rsidRPr="00670A03" w:rsidRDefault="005E58D5" w:rsidP="00602D3F">
      <w:pPr>
        <w:ind w:left="0" w:firstLine="0"/>
        <w:jc w:val="both"/>
        <w:rPr>
          <w:rFonts w:ascii="Verdana" w:hAnsi="Verdana"/>
          <w:b/>
        </w:rPr>
      </w:pPr>
    </w:p>
    <w:p w:rsidR="005E084C" w:rsidRPr="005E084C" w:rsidRDefault="00634F1A" w:rsidP="00634F1A">
      <w:pPr>
        <w:spacing w:after="120"/>
        <w:ind w:left="0" w:firstLine="0"/>
        <w:jc w:val="both"/>
        <w:rPr>
          <w:rStyle w:val="ra"/>
          <w:rFonts w:ascii="Verdana" w:hAnsi="Verdana"/>
          <w:b/>
        </w:rPr>
      </w:pPr>
      <w:r>
        <w:rPr>
          <w:rStyle w:val="ra"/>
          <w:rFonts w:ascii="Verdana" w:hAnsi="Verdana"/>
          <w:b/>
        </w:rPr>
        <w:t>5.1.</w:t>
      </w:r>
      <w:r w:rsidR="005E084C" w:rsidRPr="005E084C">
        <w:rPr>
          <w:rStyle w:val="ra"/>
          <w:rFonts w:ascii="Verdana" w:hAnsi="Verdana"/>
          <w:b/>
        </w:rPr>
        <w:t>Produktivita práce</w:t>
      </w:r>
      <w:r w:rsidR="005E084C">
        <w:rPr>
          <w:rStyle w:val="ra"/>
          <w:rFonts w:ascii="Verdana" w:hAnsi="Verdana"/>
        </w:rPr>
        <w:t xml:space="preserve"> –ukazovatele produktivity práce </w:t>
      </w:r>
    </w:p>
    <w:p w:rsidR="005E084C" w:rsidRDefault="006851E5" w:rsidP="00634F1A">
      <w:pPr>
        <w:spacing w:after="120"/>
        <w:ind w:left="0" w:firstLine="0"/>
        <w:jc w:val="both"/>
        <w:rPr>
          <w:rStyle w:val="ra"/>
          <w:rFonts w:ascii="Verdana" w:hAnsi="Verdana"/>
        </w:rPr>
      </w:pPr>
      <w:r>
        <w:rPr>
          <w:rStyle w:val="ra"/>
          <w:rFonts w:ascii="Verdana" w:hAnsi="Verdana"/>
          <w:b/>
        </w:rPr>
        <w:t>M</w:t>
      </w:r>
      <w:r w:rsidR="005E084C" w:rsidRPr="005E084C">
        <w:rPr>
          <w:rStyle w:val="ra"/>
          <w:rFonts w:ascii="Verdana" w:hAnsi="Verdana"/>
          <w:b/>
        </w:rPr>
        <w:t>zdov</w:t>
      </w:r>
      <w:r>
        <w:rPr>
          <w:rStyle w:val="ra"/>
          <w:rFonts w:ascii="Verdana" w:hAnsi="Verdana"/>
          <w:b/>
        </w:rPr>
        <w:t>á</w:t>
      </w:r>
      <w:r w:rsidR="005E084C" w:rsidRPr="005E084C">
        <w:rPr>
          <w:rStyle w:val="ra"/>
          <w:rFonts w:ascii="Verdana" w:hAnsi="Verdana"/>
          <w:b/>
        </w:rPr>
        <w:t xml:space="preserve"> produktivit</w:t>
      </w:r>
      <w:r>
        <w:rPr>
          <w:rStyle w:val="ra"/>
          <w:rFonts w:ascii="Verdana" w:hAnsi="Verdana"/>
          <w:b/>
        </w:rPr>
        <w:t>a</w:t>
      </w:r>
      <w:r w:rsidR="005E084C" w:rsidRPr="005E084C">
        <w:rPr>
          <w:rStyle w:val="ra"/>
          <w:rFonts w:ascii="Verdana" w:hAnsi="Verdana"/>
          <w:b/>
        </w:rPr>
        <w:t>,</w:t>
      </w:r>
      <w:r w:rsidR="005E084C">
        <w:rPr>
          <w:rStyle w:val="ra"/>
          <w:rFonts w:ascii="Verdana" w:hAnsi="Verdana"/>
        </w:rPr>
        <w:t xml:space="preserve"> ktorá vyjadruje aký vysoký podiel tržieb pripadá na 1€ mzdových nákladov</w:t>
      </w:r>
      <w:r w:rsidR="00FF4E1B">
        <w:rPr>
          <w:rStyle w:val="ra"/>
          <w:rFonts w:ascii="Verdana" w:hAnsi="Verdana"/>
        </w:rPr>
        <w:t>. Porovnaním roku 2018 a 2019, vidíme, že jedno € vynaložené na mzdové náklady  vyprodukovalo nižšie tržby. Čo nie pozitívne vývoj v produktivite práce.</w:t>
      </w:r>
    </w:p>
    <w:p w:rsidR="00FF4E1B" w:rsidRDefault="00FF4E1B" w:rsidP="005E084C">
      <w:pPr>
        <w:spacing w:after="120"/>
        <w:ind w:left="360" w:firstLine="0"/>
        <w:jc w:val="both"/>
        <w:rPr>
          <w:rStyle w:val="ra"/>
          <w:rFonts w:ascii="Verdana" w:hAnsi="Verdana"/>
        </w:rPr>
      </w:pPr>
    </w:p>
    <w:tbl>
      <w:tblPr>
        <w:tblW w:w="4180" w:type="dxa"/>
        <w:tblInd w:w="930" w:type="dxa"/>
        <w:tblCellMar>
          <w:left w:w="70" w:type="dxa"/>
          <w:right w:w="70" w:type="dxa"/>
        </w:tblCellMar>
        <w:tblLook w:val="04A0" w:firstRow="1" w:lastRow="0" w:firstColumn="1" w:lastColumn="0" w:noHBand="0" w:noVBand="1"/>
      </w:tblPr>
      <w:tblGrid>
        <w:gridCol w:w="1740"/>
        <w:gridCol w:w="1220"/>
        <w:gridCol w:w="1220"/>
      </w:tblGrid>
      <w:tr w:rsidR="00FF4E1B" w:rsidRPr="00FF4E1B" w:rsidTr="00FF4E1B">
        <w:trPr>
          <w:trHeight w:val="330"/>
        </w:trPr>
        <w:tc>
          <w:tcPr>
            <w:tcW w:w="174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FF4E1B" w:rsidRPr="00FF4E1B" w:rsidRDefault="00FF4E1B" w:rsidP="00FF4E1B">
            <w:pPr>
              <w:ind w:left="0" w:firstLine="0"/>
              <w:jc w:val="center"/>
              <w:rPr>
                <w:rFonts w:eastAsia="Times New Roman" w:cs="Calibri"/>
                <w:color w:val="000000"/>
                <w:lang w:eastAsia="sk-SK"/>
              </w:rPr>
            </w:pPr>
            <w:r w:rsidRPr="00FF4E1B">
              <w:rPr>
                <w:rFonts w:eastAsia="Times New Roman" w:cs="Calibri"/>
                <w:color w:val="000000"/>
                <w:lang w:eastAsia="sk-SK"/>
              </w:rPr>
              <w:t>rok</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2018</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2019</w:t>
            </w:r>
          </w:p>
        </w:tc>
      </w:tr>
      <w:tr w:rsidR="00FF4E1B" w:rsidRPr="00FF4E1B" w:rsidTr="00FF4E1B">
        <w:trPr>
          <w:trHeight w:val="615"/>
        </w:trPr>
        <w:tc>
          <w:tcPr>
            <w:tcW w:w="1740" w:type="dxa"/>
            <w:tcBorders>
              <w:top w:val="nil"/>
              <w:left w:val="single" w:sz="4" w:space="0" w:color="auto"/>
              <w:bottom w:val="single" w:sz="4" w:space="0" w:color="auto"/>
              <w:right w:val="single" w:sz="4" w:space="0" w:color="auto"/>
            </w:tcBorders>
            <w:shd w:val="clear" w:color="auto" w:fill="auto"/>
            <w:vAlign w:val="bottom"/>
            <w:hideMark/>
          </w:tcPr>
          <w:p w:rsidR="00FF4E1B" w:rsidRPr="00FF4E1B" w:rsidRDefault="00FF4E1B" w:rsidP="00FF4E1B">
            <w:pPr>
              <w:ind w:left="0" w:firstLine="0"/>
              <w:jc w:val="center"/>
              <w:rPr>
                <w:rFonts w:eastAsia="Times New Roman" w:cs="Calibri"/>
                <w:color w:val="000000"/>
                <w:lang w:eastAsia="sk-SK"/>
              </w:rPr>
            </w:pPr>
            <w:r w:rsidRPr="00FF4E1B">
              <w:rPr>
                <w:rFonts w:eastAsia="Times New Roman" w:cs="Calibri"/>
                <w:color w:val="000000"/>
                <w:lang w:eastAsia="sk-SK"/>
              </w:rPr>
              <w:t>podiel tržieb na 1€ mzd. nákl.</w:t>
            </w:r>
          </w:p>
        </w:tc>
        <w:tc>
          <w:tcPr>
            <w:tcW w:w="1220" w:type="dxa"/>
            <w:tcBorders>
              <w:top w:val="nil"/>
              <w:left w:val="nil"/>
              <w:bottom w:val="single" w:sz="4"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5,807</w:t>
            </w:r>
          </w:p>
        </w:tc>
        <w:tc>
          <w:tcPr>
            <w:tcW w:w="1220" w:type="dxa"/>
            <w:tcBorders>
              <w:top w:val="nil"/>
              <w:left w:val="nil"/>
              <w:bottom w:val="single" w:sz="4"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5,549</w:t>
            </w:r>
          </w:p>
        </w:tc>
      </w:tr>
    </w:tbl>
    <w:p w:rsidR="004D7936" w:rsidRDefault="004D7936" w:rsidP="005E084C">
      <w:pPr>
        <w:spacing w:after="120"/>
        <w:ind w:left="360" w:firstLine="0"/>
        <w:jc w:val="both"/>
        <w:rPr>
          <w:rStyle w:val="ra"/>
          <w:rFonts w:ascii="Verdana" w:hAnsi="Verdana"/>
        </w:rPr>
      </w:pPr>
    </w:p>
    <w:p w:rsidR="005E084C" w:rsidRDefault="006851E5" w:rsidP="00634F1A">
      <w:pPr>
        <w:spacing w:after="120"/>
        <w:ind w:left="0" w:firstLine="0"/>
        <w:jc w:val="both"/>
        <w:rPr>
          <w:rStyle w:val="ra"/>
          <w:rFonts w:ascii="Verdana" w:hAnsi="Verdana"/>
        </w:rPr>
      </w:pPr>
      <w:r>
        <w:rPr>
          <w:rStyle w:val="ra"/>
          <w:rFonts w:ascii="Verdana" w:hAnsi="Verdana"/>
          <w:b/>
        </w:rPr>
        <w:t>P</w:t>
      </w:r>
      <w:r w:rsidR="005E084C" w:rsidRPr="005E084C">
        <w:rPr>
          <w:rStyle w:val="ra"/>
          <w:rFonts w:ascii="Verdana" w:hAnsi="Verdana"/>
          <w:b/>
        </w:rPr>
        <w:t>roduktivit</w:t>
      </w:r>
      <w:r>
        <w:rPr>
          <w:rStyle w:val="ra"/>
          <w:rFonts w:ascii="Verdana" w:hAnsi="Verdana"/>
          <w:b/>
        </w:rPr>
        <w:t>a</w:t>
      </w:r>
      <w:r w:rsidR="005E084C" w:rsidRPr="005E084C">
        <w:rPr>
          <w:rStyle w:val="ra"/>
          <w:rFonts w:ascii="Verdana" w:hAnsi="Verdana"/>
          <w:b/>
        </w:rPr>
        <w:t xml:space="preserve"> práce na zamestnanca z tržieb</w:t>
      </w:r>
      <w:r w:rsidR="005E084C">
        <w:rPr>
          <w:rStyle w:val="ra"/>
          <w:rFonts w:ascii="Verdana" w:hAnsi="Verdana"/>
          <w:b/>
        </w:rPr>
        <w:t xml:space="preserve"> – </w:t>
      </w:r>
      <w:r w:rsidR="005E084C">
        <w:rPr>
          <w:rStyle w:val="ra"/>
          <w:rFonts w:ascii="Verdana" w:hAnsi="Verdana"/>
        </w:rPr>
        <w:t xml:space="preserve">ukazovateľ </w:t>
      </w:r>
      <w:r w:rsidR="009A0649">
        <w:rPr>
          <w:rStyle w:val="ra"/>
          <w:rFonts w:ascii="Verdana" w:hAnsi="Verdana"/>
        </w:rPr>
        <w:t>vyjadruje aké vysoké boli tržby na zamestnanca</w:t>
      </w:r>
      <w:r w:rsidR="00FF4E1B">
        <w:rPr>
          <w:rStyle w:val="ra"/>
          <w:rFonts w:ascii="Verdana" w:hAnsi="Verdana"/>
        </w:rPr>
        <w:t>. Kedže počet zamestnancov sa medziročne nezmenil a tržby boli v roku 2019 vyššie ako v roku 2018, aj výška podielu tržieb</w:t>
      </w:r>
      <w:r w:rsidR="00F72440">
        <w:rPr>
          <w:rStyle w:val="ra"/>
          <w:rFonts w:ascii="Verdana" w:hAnsi="Verdana"/>
        </w:rPr>
        <w:t xml:space="preserve"> na zamestnanca vykazuje nárast ale veľmi minimálny.</w:t>
      </w:r>
    </w:p>
    <w:p w:rsidR="00FF4E1B" w:rsidRDefault="00FF4E1B" w:rsidP="00FF4E1B">
      <w:pPr>
        <w:spacing w:after="120"/>
        <w:ind w:left="0" w:firstLine="0"/>
        <w:jc w:val="both"/>
        <w:rPr>
          <w:rStyle w:val="ra"/>
          <w:rFonts w:ascii="Verdana" w:hAnsi="Verdana"/>
        </w:rPr>
      </w:pPr>
    </w:p>
    <w:tbl>
      <w:tblPr>
        <w:tblW w:w="4180" w:type="dxa"/>
        <w:tblInd w:w="825" w:type="dxa"/>
        <w:tblCellMar>
          <w:left w:w="70" w:type="dxa"/>
          <w:right w:w="70" w:type="dxa"/>
        </w:tblCellMar>
        <w:tblLook w:val="04A0" w:firstRow="1" w:lastRow="0" w:firstColumn="1" w:lastColumn="0" w:noHBand="0" w:noVBand="1"/>
      </w:tblPr>
      <w:tblGrid>
        <w:gridCol w:w="1740"/>
        <w:gridCol w:w="1220"/>
        <w:gridCol w:w="1220"/>
      </w:tblGrid>
      <w:tr w:rsidR="00FF4E1B" w:rsidRPr="00FF4E1B" w:rsidTr="00FF4E1B">
        <w:trPr>
          <w:trHeight w:val="330"/>
        </w:trPr>
        <w:tc>
          <w:tcPr>
            <w:tcW w:w="174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FF4E1B" w:rsidRPr="00FF4E1B" w:rsidRDefault="00FF4E1B" w:rsidP="00FF4E1B">
            <w:pPr>
              <w:ind w:left="0" w:firstLine="0"/>
              <w:jc w:val="center"/>
              <w:rPr>
                <w:rFonts w:eastAsia="Times New Roman" w:cs="Calibri"/>
                <w:color w:val="000000"/>
                <w:lang w:eastAsia="sk-SK"/>
              </w:rPr>
            </w:pPr>
            <w:r w:rsidRPr="00FF4E1B">
              <w:rPr>
                <w:rFonts w:eastAsia="Times New Roman" w:cs="Calibri"/>
                <w:color w:val="000000"/>
                <w:lang w:eastAsia="sk-SK"/>
              </w:rPr>
              <w:t>rok</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2018</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2019</w:t>
            </w:r>
          </w:p>
        </w:tc>
      </w:tr>
      <w:tr w:rsidR="00FF4E1B" w:rsidRPr="00FF4E1B" w:rsidTr="00FF4E1B">
        <w:trPr>
          <w:trHeight w:val="615"/>
        </w:trPr>
        <w:tc>
          <w:tcPr>
            <w:tcW w:w="1740" w:type="dxa"/>
            <w:tcBorders>
              <w:top w:val="nil"/>
              <w:left w:val="single" w:sz="4" w:space="0" w:color="auto"/>
              <w:bottom w:val="single" w:sz="4" w:space="0" w:color="auto"/>
              <w:right w:val="single" w:sz="4" w:space="0" w:color="auto"/>
            </w:tcBorders>
            <w:shd w:val="clear" w:color="auto" w:fill="auto"/>
            <w:vAlign w:val="bottom"/>
            <w:hideMark/>
          </w:tcPr>
          <w:p w:rsidR="00FF4E1B" w:rsidRPr="00FF4E1B" w:rsidRDefault="00FF4E1B" w:rsidP="00FF4E1B">
            <w:pPr>
              <w:ind w:left="0" w:firstLine="0"/>
              <w:jc w:val="center"/>
              <w:rPr>
                <w:rFonts w:eastAsia="Times New Roman" w:cs="Calibri"/>
                <w:color w:val="000000"/>
                <w:lang w:eastAsia="sk-SK"/>
              </w:rPr>
            </w:pPr>
            <w:r w:rsidRPr="00FF4E1B">
              <w:rPr>
                <w:rFonts w:eastAsia="Times New Roman" w:cs="Calibri"/>
                <w:color w:val="000000"/>
                <w:lang w:eastAsia="sk-SK"/>
              </w:rPr>
              <w:t>tržby na zamestnanca.</w:t>
            </w:r>
          </w:p>
        </w:tc>
        <w:tc>
          <w:tcPr>
            <w:tcW w:w="1220" w:type="dxa"/>
            <w:tcBorders>
              <w:top w:val="nil"/>
              <w:left w:val="nil"/>
              <w:bottom w:val="single" w:sz="4"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254 545,41</w:t>
            </w:r>
          </w:p>
        </w:tc>
        <w:tc>
          <w:tcPr>
            <w:tcW w:w="1220" w:type="dxa"/>
            <w:tcBorders>
              <w:top w:val="nil"/>
              <w:left w:val="nil"/>
              <w:bottom w:val="single" w:sz="4" w:space="0" w:color="auto"/>
              <w:right w:val="single" w:sz="4" w:space="0" w:color="auto"/>
            </w:tcBorders>
            <w:shd w:val="clear" w:color="auto" w:fill="auto"/>
            <w:noWrap/>
            <w:vAlign w:val="bottom"/>
            <w:hideMark/>
          </w:tcPr>
          <w:p w:rsidR="00FF4E1B" w:rsidRPr="00FF4E1B" w:rsidRDefault="00FF4E1B" w:rsidP="00FF4E1B">
            <w:pPr>
              <w:ind w:left="0" w:firstLine="0"/>
              <w:jc w:val="right"/>
              <w:rPr>
                <w:rFonts w:eastAsia="Times New Roman" w:cs="Calibri"/>
                <w:color w:val="000000"/>
                <w:lang w:eastAsia="sk-SK"/>
              </w:rPr>
            </w:pPr>
            <w:r w:rsidRPr="00FF4E1B">
              <w:rPr>
                <w:rFonts w:eastAsia="Times New Roman" w:cs="Calibri"/>
                <w:color w:val="000000"/>
                <w:lang w:eastAsia="sk-SK"/>
              </w:rPr>
              <w:t>259 659,26</w:t>
            </w:r>
          </w:p>
        </w:tc>
      </w:tr>
    </w:tbl>
    <w:p w:rsidR="00FF4E1B" w:rsidRDefault="00FF4E1B" w:rsidP="005E084C">
      <w:pPr>
        <w:spacing w:after="120"/>
        <w:ind w:left="360" w:firstLine="0"/>
        <w:jc w:val="both"/>
        <w:rPr>
          <w:rStyle w:val="ra"/>
          <w:rFonts w:ascii="Verdana" w:hAnsi="Verdana"/>
        </w:rPr>
      </w:pPr>
    </w:p>
    <w:p w:rsidR="009A0649" w:rsidRDefault="006851E5" w:rsidP="00634F1A">
      <w:pPr>
        <w:spacing w:after="120"/>
        <w:ind w:left="0" w:firstLine="0"/>
        <w:jc w:val="both"/>
        <w:rPr>
          <w:rStyle w:val="ra"/>
          <w:rFonts w:ascii="Verdana" w:hAnsi="Verdana"/>
        </w:rPr>
      </w:pPr>
      <w:r>
        <w:rPr>
          <w:rStyle w:val="ra"/>
          <w:rFonts w:ascii="Verdana" w:hAnsi="Verdana"/>
          <w:b/>
        </w:rPr>
        <w:t>P</w:t>
      </w:r>
      <w:r w:rsidR="009A0649">
        <w:rPr>
          <w:rStyle w:val="ra"/>
          <w:rFonts w:ascii="Verdana" w:hAnsi="Verdana"/>
          <w:b/>
        </w:rPr>
        <w:t xml:space="preserve">rodukcia pridanej hodnoty </w:t>
      </w:r>
      <w:r w:rsidR="009A0649" w:rsidRPr="009A0649">
        <w:rPr>
          <w:rStyle w:val="ra"/>
          <w:rFonts w:ascii="Verdana" w:hAnsi="Verdana"/>
        </w:rPr>
        <w:t>– koľko €</w:t>
      </w:r>
      <w:r w:rsidR="009A0649">
        <w:rPr>
          <w:rStyle w:val="ra"/>
          <w:rFonts w:ascii="Verdana" w:hAnsi="Verdana"/>
          <w:b/>
        </w:rPr>
        <w:t xml:space="preserve"> </w:t>
      </w:r>
      <w:r w:rsidR="009A0649">
        <w:rPr>
          <w:rStyle w:val="ra"/>
          <w:rFonts w:ascii="Verdana" w:hAnsi="Verdana"/>
        </w:rPr>
        <w:t>prinesie do podniku 1€ vynaložené na mzdy</w:t>
      </w:r>
      <w:r w:rsidR="00FF4E1B">
        <w:rPr>
          <w:rStyle w:val="ra"/>
          <w:rFonts w:ascii="Verdana" w:hAnsi="Verdana"/>
        </w:rPr>
        <w:t xml:space="preserve">. Pri medziročnom porovnaní,  ukazovateľ produkcie pridanej hodnoty klesá, čo znamená, že klesá </w:t>
      </w:r>
      <w:r w:rsidR="00F72440">
        <w:rPr>
          <w:rStyle w:val="ra"/>
          <w:rFonts w:ascii="Verdana" w:hAnsi="Verdana"/>
        </w:rPr>
        <w:t>produktivita práce.</w:t>
      </w:r>
    </w:p>
    <w:p w:rsidR="00FF4E1B" w:rsidRPr="009A0649" w:rsidRDefault="00FF4E1B" w:rsidP="005E084C">
      <w:pPr>
        <w:spacing w:after="120"/>
        <w:ind w:left="360" w:firstLine="0"/>
        <w:jc w:val="both"/>
        <w:rPr>
          <w:rStyle w:val="ra"/>
          <w:rFonts w:ascii="Verdana" w:hAnsi="Verdana"/>
        </w:rPr>
      </w:pPr>
    </w:p>
    <w:tbl>
      <w:tblPr>
        <w:tblW w:w="11680" w:type="dxa"/>
        <w:tblInd w:w="55" w:type="dxa"/>
        <w:tblCellMar>
          <w:left w:w="70" w:type="dxa"/>
          <w:right w:w="70" w:type="dxa"/>
        </w:tblCellMar>
        <w:tblLook w:val="04A0" w:firstRow="1" w:lastRow="0" w:firstColumn="1" w:lastColumn="0" w:noHBand="0" w:noVBand="1"/>
      </w:tblPr>
      <w:tblGrid>
        <w:gridCol w:w="4910"/>
        <w:gridCol w:w="6770"/>
      </w:tblGrid>
      <w:tr w:rsidR="005E084C" w:rsidRPr="005E084C" w:rsidTr="000B5CCD">
        <w:trPr>
          <w:trHeight w:val="300"/>
        </w:trPr>
        <w:tc>
          <w:tcPr>
            <w:tcW w:w="11680" w:type="dxa"/>
            <w:gridSpan w:val="2"/>
            <w:tcBorders>
              <w:top w:val="nil"/>
              <w:left w:val="nil"/>
              <w:bottom w:val="nil"/>
              <w:right w:val="nil"/>
            </w:tcBorders>
            <w:shd w:val="clear" w:color="auto" w:fill="auto"/>
            <w:noWrap/>
            <w:vAlign w:val="bottom"/>
          </w:tcPr>
          <w:tbl>
            <w:tblPr>
              <w:tblpPr w:leftFromText="141" w:rightFromText="141" w:vertAnchor="text" w:horzAnchor="page" w:tblpX="1006" w:tblpY="-133"/>
              <w:tblOverlap w:val="never"/>
              <w:tblW w:w="4760" w:type="dxa"/>
              <w:tblCellMar>
                <w:left w:w="70" w:type="dxa"/>
                <w:right w:w="70" w:type="dxa"/>
              </w:tblCellMar>
              <w:tblLook w:val="04A0" w:firstRow="1" w:lastRow="0" w:firstColumn="1" w:lastColumn="0" w:noHBand="0" w:noVBand="1"/>
            </w:tblPr>
            <w:tblGrid>
              <w:gridCol w:w="2320"/>
              <w:gridCol w:w="1220"/>
              <w:gridCol w:w="1220"/>
            </w:tblGrid>
            <w:tr w:rsidR="006851E5" w:rsidRPr="00FF4E1B" w:rsidTr="006851E5">
              <w:trPr>
                <w:trHeight w:val="330"/>
              </w:trPr>
              <w:tc>
                <w:tcPr>
                  <w:tcW w:w="232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6851E5" w:rsidRPr="00FF4E1B" w:rsidRDefault="006851E5" w:rsidP="004D5083">
                  <w:pPr>
                    <w:ind w:left="0" w:firstLine="0"/>
                    <w:jc w:val="center"/>
                    <w:rPr>
                      <w:rFonts w:eastAsia="Times New Roman" w:cs="Calibri"/>
                      <w:color w:val="000000"/>
                      <w:lang w:eastAsia="sk-SK"/>
                    </w:rPr>
                  </w:pPr>
                  <w:r w:rsidRPr="00FF4E1B">
                    <w:rPr>
                      <w:rFonts w:eastAsia="Times New Roman" w:cs="Calibri"/>
                      <w:color w:val="000000"/>
                      <w:lang w:eastAsia="sk-SK"/>
                    </w:rPr>
                    <w:t>rok</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6851E5" w:rsidRPr="00FF4E1B" w:rsidRDefault="006851E5" w:rsidP="004D5083">
                  <w:pPr>
                    <w:ind w:left="0" w:firstLine="0"/>
                    <w:jc w:val="right"/>
                    <w:rPr>
                      <w:rFonts w:eastAsia="Times New Roman" w:cs="Calibri"/>
                      <w:color w:val="000000"/>
                      <w:lang w:eastAsia="sk-SK"/>
                    </w:rPr>
                  </w:pPr>
                  <w:r w:rsidRPr="00FF4E1B">
                    <w:rPr>
                      <w:rFonts w:eastAsia="Times New Roman" w:cs="Calibri"/>
                      <w:color w:val="000000"/>
                      <w:lang w:eastAsia="sk-SK"/>
                    </w:rPr>
                    <w:t>2018</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6851E5" w:rsidRPr="00FF4E1B" w:rsidRDefault="006851E5" w:rsidP="004D5083">
                  <w:pPr>
                    <w:ind w:left="0" w:firstLine="0"/>
                    <w:jc w:val="right"/>
                    <w:rPr>
                      <w:rFonts w:eastAsia="Times New Roman" w:cs="Calibri"/>
                      <w:color w:val="000000"/>
                      <w:lang w:eastAsia="sk-SK"/>
                    </w:rPr>
                  </w:pPr>
                  <w:r w:rsidRPr="00FF4E1B">
                    <w:rPr>
                      <w:rFonts w:eastAsia="Times New Roman" w:cs="Calibri"/>
                      <w:color w:val="000000"/>
                      <w:lang w:eastAsia="sk-SK"/>
                    </w:rPr>
                    <w:t>2019</w:t>
                  </w:r>
                </w:p>
              </w:tc>
            </w:tr>
            <w:tr w:rsidR="006851E5" w:rsidRPr="00FF4E1B" w:rsidTr="006851E5">
              <w:trPr>
                <w:trHeight w:val="915"/>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6851E5" w:rsidRPr="00FF4E1B" w:rsidRDefault="006851E5" w:rsidP="004D5083">
                  <w:pPr>
                    <w:ind w:left="0" w:firstLine="0"/>
                    <w:jc w:val="center"/>
                    <w:rPr>
                      <w:rFonts w:eastAsia="Times New Roman" w:cs="Calibri"/>
                      <w:color w:val="000000"/>
                      <w:lang w:eastAsia="sk-SK"/>
                    </w:rPr>
                  </w:pPr>
                  <w:r w:rsidRPr="00FF4E1B">
                    <w:rPr>
                      <w:rFonts w:eastAsia="Times New Roman" w:cs="Calibri"/>
                      <w:color w:val="000000"/>
                      <w:lang w:eastAsia="sk-SK"/>
                    </w:rPr>
                    <w:t>koľko € prinesie do fi</w:t>
                  </w:r>
                  <w:r>
                    <w:rPr>
                      <w:rFonts w:eastAsia="Times New Roman" w:cs="Calibri"/>
                      <w:color w:val="000000"/>
                      <w:lang w:eastAsia="sk-SK"/>
                    </w:rPr>
                    <w:t>r</w:t>
                  </w:r>
                  <w:r w:rsidRPr="00FF4E1B">
                    <w:rPr>
                      <w:rFonts w:eastAsia="Times New Roman" w:cs="Calibri"/>
                      <w:color w:val="000000"/>
                      <w:lang w:eastAsia="sk-SK"/>
                    </w:rPr>
                    <w:t>my 1€ vynaložené na mzdy</w:t>
                  </w:r>
                </w:p>
              </w:tc>
              <w:tc>
                <w:tcPr>
                  <w:tcW w:w="1220" w:type="dxa"/>
                  <w:tcBorders>
                    <w:top w:val="nil"/>
                    <w:left w:val="nil"/>
                    <w:bottom w:val="single" w:sz="4" w:space="0" w:color="auto"/>
                    <w:right w:val="single" w:sz="4" w:space="0" w:color="auto"/>
                  </w:tcBorders>
                  <w:shd w:val="clear" w:color="auto" w:fill="auto"/>
                  <w:noWrap/>
                  <w:vAlign w:val="bottom"/>
                  <w:hideMark/>
                </w:tcPr>
                <w:p w:rsidR="006851E5" w:rsidRPr="00FF4E1B" w:rsidRDefault="006851E5" w:rsidP="004D5083">
                  <w:pPr>
                    <w:ind w:left="0" w:firstLine="0"/>
                    <w:jc w:val="right"/>
                    <w:rPr>
                      <w:rFonts w:eastAsia="Times New Roman" w:cs="Calibri"/>
                      <w:color w:val="000000"/>
                      <w:lang w:eastAsia="sk-SK"/>
                    </w:rPr>
                  </w:pPr>
                  <w:r w:rsidRPr="00FF4E1B">
                    <w:rPr>
                      <w:rFonts w:eastAsia="Times New Roman" w:cs="Calibri"/>
                      <w:color w:val="000000"/>
                      <w:lang w:eastAsia="sk-SK"/>
                    </w:rPr>
                    <w:t>1,41</w:t>
                  </w:r>
                </w:p>
              </w:tc>
              <w:tc>
                <w:tcPr>
                  <w:tcW w:w="1220" w:type="dxa"/>
                  <w:tcBorders>
                    <w:top w:val="nil"/>
                    <w:left w:val="nil"/>
                    <w:bottom w:val="single" w:sz="4" w:space="0" w:color="auto"/>
                    <w:right w:val="single" w:sz="4" w:space="0" w:color="auto"/>
                  </w:tcBorders>
                  <w:shd w:val="clear" w:color="auto" w:fill="auto"/>
                  <w:noWrap/>
                  <w:vAlign w:val="bottom"/>
                  <w:hideMark/>
                </w:tcPr>
                <w:p w:rsidR="006851E5" w:rsidRPr="00FF4E1B" w:rsidRDefault="006851E5" w:rsidP="004D5083">
                  <w:pPr>
                    <w:ind w:left="0" w:firstLine="0"/>
                    <w:jc w:val="right"/>
                    <w:rPr>
                      <w:rFonts w:eastAsia="Times New Roman" w:cs="Calibri"/>
                      <w:color w:val="000000"/>
                      <w:lang w:eastAsia="sk-SK"/>
                    </w:rPr>
                  </w:pPr>
                  <w:r w:rsidRPr="00FF4E1B">
                    <w:rPr>
                      <w:rFonts w:eastAsia="Times New Roman" w:cs="Calibri"/>
                      <w:color w:val="000000"/>
                      <w:lang w:eastAsia="sk-SK"/>
                    </w:rPr>
                    <w:t>1,20</w:t>
                  </w:r>
                </w:p>
              </w:tc>
            </w:tr>
          </w:tbl>
          <w:p w:rsidR="005E084C" w:rsidRPr="005E084C" w:rsidRDefault="005E084C" w:rsidP="005E084C">
            <w:pPr>
              <w:ind w:left="0" w:firstLine="0"/>
              <w:rPr>
                <w:rFonts w:eastAsia="Times New Roman" w:cs="Calibri"/>
                <w:b/>
                <w:bCs/>
                <w:color w:val="000000"/>
                <w:lang w:eastAsia="sk-SK"/>
              </w:rPr>
            </w:pPr>
          </w:p>
        </w:tc>
      </w:tr>
      <w:tr w:rsidR="000B5CCD" w:rsidRPr="005E084C" w:rsidTr="000B5CCD">
        <w:trPr>
          <w:gridAfter w:val="1"/>
          <w:wAfter w:w="6770" w:type="dxa"/>
          <w:trHeight w:val="300"/>
        </w:trPr>
        <w:tc>
          <w:tcPr>
            <w:tcW w:w="4910" w:type="dxa"/>
            <w:tcBorders>
              <w:top w:val="nil"/>
              <w:left w:val="nil"/>
              <w:bottom w:val="nil"/>
              <w:right w:val="nil"/>
            </w:tcBorders>
            <w:shd w:val="clear" w:color="auto" w:fill="auto"/>
            <w:noWrap/>
            <w:vAlign w:val="bottom"/>
          </w:tcPr>
          <w:p w:rsidR="000B5CCD" w:rsidRDefault="000B5CCD" w:rsidP="005E084C">
            <w:pPr>
              <w:ind w:left="0" w:firstLine="0"/>
              <w:rPr>
                <w:rFonts w:eastAsia="Times New Roman" w:cs="Calibri"/>
                <w:color w:val="000000"/>
                <w:lang w:eastAsia="sk-SK"/>
              </w:rPr>
            </w:pPr>
          </w:p>
          <w:p w:rsidR="006851E5" w:rsidRDefault="006851E5" w:rsidP="005E084C">
            <w:pPr>
              <w:ind w:left="0" w:firstLine="0"/>
              <w:rPr>
                <w:rFonts w:eastAsia="Times New Roman" w:cs="Calibri"/>
                <w:color w:val="000000"/>
                <w:lang w:eastAsia="sk-SK"/>
              </w:rPr>
            </w:pPr>
          </w:p>
          <w:p w:rsidR="006851E5" w:rsidRDefault="006851E5" w:rsidP="005E084C">
            <w:pPr>
              <w:ind w:left="0" w:firstLine="0"/>
              <w:rPr>
                <w:rFonts w:eastAsia="Times New Roman" w:cs="Calibri"/>
                <w:color w:val="000000"/>
                <w:lang w:eastAsia="sk-SK"/>
              </w:rPr>
            </w:pPr>
          </w:p>
          <w:p w:rsidR="006851E5" w:rsidRPr="005E084C" w:rsidRDefault="006851E5" w:rsidP="005E084C">
            <w:pPr>
              <w:ind w:left="0" w:firstLine="0"/>
              <w:rPr>
                <w:rFonts w:eastAsia="Times New Roman" w:cs="Calibri"/>
                <w:color w:val="000000"/>
                <w:lang w:eastAsia="sk-SK"/>
              </w:rPr>
            </w:pPr>
          </w:p>
        </w:tc>
      </w:tr>
    </w:tbl>
    <w:p w:rsidR="000B5CCD" w:rsidRDefault="000B5CCD" w:rsidP="000B5CCD">
      <w:pPr>
        <w:spacing w:after="120"/>
        <w:ind w:left="360" w:firstLine="0"/>
        <w:jc w:val="both"/>
        <w:rPr>
          <w:rStyle w:val="ra"/>
          <w:rFonts w:ascii="Verdana" w:hAnsi="Verdana"/>
          <w:b/>
        </w:rPr>
      </w:pPr>
    </w:p>
    <w:p w:rsidR="00F9497C" w:rsidRPr="00F9497C" w:rsidRDefault="00060B3D" w:rsidP="006851E5">
      <w:pPr>
        <w:spacing w:after="60"/>
        <w:ind w:left="0" w:firstLine="0"/>
        <w:jc w:val="both"/>
        <w:rPr>
          <w:rStyle w:val="ra"/>
          <w:rFonts w:ascii="Verdana" w:hAnsi="Verdana"/>
          <w:b/>
        </w:rPr>
      </w:pPr>
      <w:r>
        <w:rPr>
          <w:rStyle w:val="ra"/>
          <w:rFonts w:ascii="Verdana" w:hAnsi="Verdana"/>
          <w:b/>
        </w:rPr>
        <w:lastRenderedPageBreak/>
        <w:t>5.2.</w:t>
      </w:r>
      <w:r w:rsidR="000B5CCD" w:rsidRPr="000B5CCD">
        <w:rPr>
          <w:rStyle w:val="ra"/>
          <w:rFonts w:ascii="Verdana" w:hAnsi="Verdana"/>
          <w:b/>
        </w:rPr>
        <w:t>Ukazovatele zadĺženosti</w:t>
      </w:r>
      <w:r w:rsidR="000B5CCD" w:rsidRPr="000B5CCD">
        <w:rPr>
          <w:rStyle w:val="ra"/>
          <w:rFonts w:ascii="Verdana" w:hAnsi="Verdana"/>
        </w:rPr>
        <w:t xml:space="preserve"> –</w:t>
      </w:r>
    </w:p>
    <w:p w:rsidR="000B5CCD" w:rsidRDefault="000B5CCD" w:rsidP="00060B3D">
      <w:pPr>
        <w:spacing w:after="120"/>
        <w:ind w:left="0" w:firstLine="0"/>
        <w:jc w:val="both"/>
        <w:rPr>
          <w:rFonts w:ascii="Verdana" w:hAnsi="Verdana"/>
          <w:b/>
        </w:rPr>
      </w:pPr>
      <w:r w:rsidRPr="000B5CCD">
        <w:rPr>
          <w:rStyle w:val="ra"/>
          <w:rFonts w:ascii="Verdana" w:hAnsi="Verdana"/>
        </w:rPr>
        <w:t>s</w:t>
      </w:r>
      <w:r w:rsidRPr="000B5CCD">
        <w:rPr>
          <w:rFonts w:ascii="Verdana" w:hAnsi="Verdana" w:cs="Arial"/>
        </w:rPr>
        <w:t>lúžia na monitorovanie štruktúry finančných zdrojov firmy – vlastných a cudzích. Vysokým podielom vlastných zdrojov firma zabezpečuje svoju stabilitu, nezávislosť, naopak pri ich nízkom podiele je firma nestabilná</w:t>
      </w:r>
      <w:r w:rsidR="00F9497C" w:rsidRPr="00F9497C">
        <w:rPr>
          <w:rFonts w:ascii="Verdana" w:hAnsi="Verdana"/>
          <w:b/>
        </w:rPr>
        <w:t>.</w:t>
      </w:r>
    </w:p>
    <w:p w:rsidR="00F9497C" w:rsidRPr="000B5CCD" w:rsidRDefault="00F9497C" w:rsidP="006851E5">
      <w:pPr>
        <w:spacing w:after="120"/>
        <w:ind w:left="360" w:firstLine="0"/>
        <w:jc w:val="both"/>
        <w:rPr>
          <w:rFonts w:ascii="Verdana" w:hAnsi="Verdana"/>
          <w:b/>
        </w:rPr>
      </w:pPr>
    </w:p>
    <w:p w:rsidR="000B5CCD" w:rsidRDefault="000B5CCD" w:rsidP="006851E5">
      <w:pPr>
        <w:ind w:left="0" w:firstLine="0"/>
        <w:rPr>
          <w:rFonts w:ascii="Verdana" w:hAnsi="Verdana"/>
          <w:sz w:val="20"/>
          <w:szCs w:val="20"/>
        </w:rPr>
      </w:pPr>
      <w:r w:rsidRPr="006851E5">
        <w:rPr>
          <w:rFonts w:ascii="Verdana" w:hAnsi="Verdana"/>
          <w:sz w:val="20"/>
          <w:szCs w:val="20"/>
        </w:rPr>
        <w:t>Tabuľka: Vývoj ukazovateľov zadlženosti v rokoch 2017 – 2019</w:t>
      </w:r>
    </w:p>
    <w:p w:rsidR="006851E5" w:rsidRPr="006851E5" w:rsidRDefault="006851E5" w:rsidP="006851E5">
      <w:pPr>
        <w:ind w:left="0" w:firstLine="0"/>
        <w:rPr>
          <w:rFonts w:ascii="Verdana" w:hAnsi="Verdana"/>
          <w:sz w:val="20"/>
          <w:szCs w:val="20"/>
        </w:rPr>
      </w:pPr>
    </w:p>
    <w:tbl>
      <w:tblPr>
        <w:tblW w:w="8379" w:type="dxa"/>
        <w:tblInd w:w="55" w:type="dxa"/>
        <w:tblCellMar>
          <w:left w:w="70" w:type="dxa"/>
          <w:right w:w="70" w:type="dxa"/>
        </w:tblCellMar>
        <w:tblLook w:val="04A0" w:firstRow="1" w:lastRow="0" w:firstColumn="1" w:lastColumn="0" w:noHBand="0" w:noVBand="1"/>
      </w:tblPr>
      <w:tblGrid>
        <w:gridCol w:w="4260"/>
        <w:gridCol w:w="1284"/>
        <w:gridCol w:w="1417"/>
        <w:gridCol w:w="1418"/>
      </w:tblGrid>
      <w:tr w:rsidR="000B5CCD" w:rsidRPr="000B5CCD" w:rsidTr="006851E5">
        <w:trPr>
          <w:trHeight w:val="300"/>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5CCD" w:rsidRPr="000B5CCD" w:rsidRDefault="000B5CCD" w:rsidP="000B5CCD">
            <w:pPr>
              <w:ind w:left="0" w:firstLine="0"/>
              <w:rPr>
                <w:rFonts w:eastAsia="Times New Roman" w:cs="Calibri"/>
                <w:b/>
                <w:bCs/>
                <w:color w:val="000000"/>
                <w:lang w:eastAsia="sk-SK"/>
              </w:rPr>
            </w:pPr>
            <w:r w:rsidRPr="000B5CCD">
              <w:rPr>
                <w:rFonts w:eastAsia="Times New Roman" w:cs="Calibri"/>
                <w:b/>
                <w:bCs/>
                <w:color w:val="000000"/>
                <w:lang w:eastAsia="sk-SK"/>
              </w:rPr>
              <w:t>CELKOVÁ ZADLŽENOSŤ</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center"/>
              <w:rPr>
                <w:rFonts w:eastAsia="Times New Roman" w:cs="Calibri"/>
                <w:b/>
                <w:bCs/>
                <w:color w:val="000000"/>
                <w:lang w:eastAsia="sk-SK"/>
              </w:rPr>
            </w:pPr>
            <w:r w:rsidRPr="000B5CCD">
              <w:rPr>
                <w:rFonts w:eastAsia="Times New Roman" w:cs="Calibri"/>
                <w:b/>
                <w:bCs/>
                <w:color w:val="000000"/>
                <w:lang w:eastAsia="sk-SK"/>
              </w:rPr>
              <w:t>ROK 2019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center"/>
              <w:rPr>
                <w:rFonts w:eastAsia="Times New Roman" w:cs="Calibri"/>
                <w:b/>
                <w:bCs/>
                <w:color w:val="000000"/>
                <w:lang w:eastAsia="sk-SK"/>
              </w:rPr>
            </w:pPr>
            <w:r w:rsidRPr="000B5CCD">
              <w:rPr>
                <w:rFonts w:eastAsia="Times New Roman" w:cs="Calibri"/>
                <w:b/>
                <w:bCs/>
                <w:color w:val="000000"/>
                <w:lang w:eastAsia="sk-SK"/>
              </w:rPr>
              <w:t>ROK 2018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center"/>
              <w:rPr>
                <w:rFonts w:eastAsia="Times New Roman" w:cs="Calibri"/>
                <w:b/>
                <w:bCs/>
                <w:color w:val="000000"/>
                <w:lang w:eastAsia="sk-SK"/>
              </w:rPr>
            </w:pPr>
            <w:r w:rsidRPr="000B5CCD">
              <w:rPr>
                <w:rFonts w:eastAsia="Times New Roman" w:cs="Calibri"/>
                <w:b/>
                <w:bCs/>
                <w:color w:val="000000"/>
                <w:lang w:eastAsia="sk-SK"/>
              </w:rPr>
              <w:t>ROK 2017</w:t>
            </w:r>
          </w:p>
        </w:tc>
      </w:tr>
      <w:tr w:rsidR="000B5CCD" w:rsidRPr="000B5CCD" w:rsidTr="006851E5">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rsidR="000B5CCD" w:rsidRPr="000B5CCD" w:rsidRDefault="000B5CCD" w:rsidP="000B5CCD">
            <w:pPr>
              <w:ind w:left="0" w:firstLine="0"/>
              <w:rPr>
                <w:rFonts w:eastAsia="Times New Roman" w:cs="Calibri"/>
                <w:color w:val="000000"/>
                <w:lang w:eastAsia="sk-SK"/>
              </w:rPr>
            </w:pPr>
            <w:r w:rsidRPr="000B5CCD">
              <w:rPr>
                <w:rFonts w:eastAsia="Times New Roman" w:cs="Calibri"/>
                <w:color w:val="000000"/>
                <w:lang w:eastAsia="sk-SK"/>
              </w:rPr>
              <w:t>STUPEŇ SAMOFINANCOVANIA</w:t>
            </w:r>
          </w:p>
        </w:tc>
        <w:tc>
          <w:tcPr>
            <w:tcW w:w="1284"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43,87%</w:t>
            </w:r>
          </w:p>
        </w:tc>
        <w:tc>
          <w:tcPr>
            <w:tcW w:w="1417"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39,57%</w:t>
            </w:r>
          </w:p>
        </w:tc>
        <w:tc>
          <w:tcPr>
            <w:tcW w:w="1418"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39,91%</w:t>
            </w:r>
          </w:p>
        </w:tc>
      </w:tr>
      <w:tr w:rsidR="000B5CCD" w:rsidRPr="000B5CCD" w:rsidTr="006851E5">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rsidR="000B5CCD" w:rsidRPr="000B5CCD" w:rsidRDefault="000B5CCD" w:rsidP="000B5CCD">
            <w:pPr>
              <w:ind w:left="0" w:firstLine="0"/>
              <w:rPr>
                <w:rFonts w:eastAsia="Times New Roman" w:cs="Calibri"/>
                <w:color w:val="000000"/>
                <w:lang w:eastAsia="sk-SK"/>
              </w:rPr>
            </w:pPr>
            <w:r w:rsidRPr="000B5CCD">
              <w:rPr>
                <w:rFonts w:eastAsia="Times New Roman" w:cs="Calibri"/>
                <w:color w:val="000000"/>
                <w:lang w:eastAsia="sk-SK"/>
              </w:rPr>
              <w:t>CELKOVÁ ZADLŽENOSŤ</w:t>
            </w:r>
          </w:p>
        </w:tc>
        <w:tc>
          <w:tcPr>
            <w:tcW w:w="1284"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56,13%</w:t>
            </w:r>
          </w:p>
        </w:tc>
        <w:tc>
          <w:tcPr>
            <w:tcW w:w="1417"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60,39%</w:t>
            </w:r>
          </w:p>
        </w:tc>
        <w:tc>
          <w:tcPr>
            <w:tcW w:w="1418"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60,07%</w:t>
            </w:r>
          </w:p>
        </w:tc>
      </w:tr>
      <w:tr w:rsidR="000B5CCD" w:rsidRPr="000B5CCD" w:rsidTr="006851E5">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rsidR="000B5CCD" w:rsidRPr="000B5CCD" w:rsidRDefault="000B5CCD" w:rsidP="000B5CCD">
            <w:pPr>
              <w:ind w:left="0" w:firstLine="0"/>
              <w:rPr>
                <w:rFonts w:eastAsia="Times New Roman" w:cs="Calibri"/>
                <w:color w:val="000000"/>
                <w:lang w:eastAsia="sk-SK"/>
              </w:rPr>
            </w:pPr>
            <w:r w:rsidRPr="000B5CCD">
              <w:rPr>
                <w:rFonts w:eastAsia="Times New Roman" w:cs="Calibri"/>
                <w:color w:val="000000"/>
                <w:lang w:eastAsia="sk-SK"/>
              </w:rPr>
              <w:t xml:space="preserve">ÚVEROVÁ ZADLŽENOSŤ </w:t>
            </w:r>
          </w:p>
        </w:tc>
        <w:tc>
          <w:tcPr>
            <w:tcW w:w="1284"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9,37%</w:t>
            </w:r>
          </w:p>
        </w:tc>
        <w:tc>
          <w:tcPr>
            <w:tcW w:w="1417"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9,93%</w:t>
            </w:r>
          </w:p>
        </w:tc>
        <w:tc>
          <w:tcPr>
            <w:tcW w:w="1418" w:type="dxa"/>
            <w:tcBorders>
              <w:top w:val="nil"/>
              <w:left w:val="nil"/>
              <w:bottom w:val="single" w:sz="4" w:space="0" w:color="auto"/>
              <w:right w:val="single" w:sz="4" w:space="0" w:color="auto"/>
            </w:tcBorders>
            <w:shd w:val="clear" w:color="auto" w:fill="auto"/>
            <w:noWrap/>
            <w:vAlign w:val="bottom"/>
            <w:hideMark/>
          </w:tcPr>
          <w:p w:rsidR="000B5CCD" w:rsidRPr="000B5CCD" w:rsidRDefault="000B5CCD" w:rsidP="000B5CCD">
            <w:pPr>
              <w:ind w:left="0" w:firstLine="0"/>
              <w:jc w:val="right"/>
              <w:rPr>
                <w:rFonts w:eastAsia="Times New Roman" w:cs="Calibri"/>
                <w:color w:val="000000"/>
                <w:lang w:eastAsia="sk-SK"/>
              </w:rPr>
            </w:pPr>
            <w:r w:rsidRPr="000B5CCD">
              <w:rPr>
                <w:rFonts w:eastAsia="Times New Roman" w:cs="Calibri"/>
                <w:color w:val="000000"/>
                <w:lang w:eastAsia="sk-SK"/>
              </w:rPr>
              <w:t>3,66%</w:t>
            </w:r>
          </w:p>
        </w:tc>
      </w:tr>
    </w:tbl>
    <w:p w:rsidR="00F9497C" w:rsidRDefault="00F9497C" w:rsidP="00F9497C">
      <w:pPr>
        <w:ind w:left="0" w:firstLine="0"/>
        <w:jc w:val="both"/>
        <w:rPr>
          <w:rFonts w:ascii="Verdana" w:hAnsi="Verdana"/>
        </w:rPr>
      </w:pPr>
    </w:p>
    <w:p w:rsidR="00F9497C" w:rsidRDefault="000B5CCD" w:rsidP="00F9497C">
      <w:pPr>
        <w:ind w:left="0" w:firstLine="0"/>
        <w:jc w:val="both"/>
        <w:rPr>
          <w:rFonts w:ascii="Verdana" w:hAnsi="Verdana"/>
        </w:rPr>
      </w:pPr>
      <w:r w:rsidRPr="000B5CCD">
        <w:rPr>
          <w:rFonts w:ascii="Verdana" w:hAnsi="Verdana"/>
        </w:rPr>
        <w:t xml:space="preserve">Odporúčaná hodnota pri ukazovateli samofinancovania je nad 30%. V sledovanom období je </w:t>
      </w:r>
      <w:r w:rsidR="001E7235">
        <w:rPr>
          <w:rFonts w:ascii="Verdana" w:hAnsi="Verdana"/>
        </w:rPr>
        <w:t>43,87</w:t>
      </w:r>
      <w:r w:rsidRPr="000B5CCD">
        <w:rPr>
          <w:rFonts w:ascii="Verdana" w:hAnsi="Verdana"/>
        </w:rPr>
        <w:t>% aktív krytých z vlastných zdrojov a</w:t>
      </w:r>
      <w:r w:rsidR="001E7235">
        <w:rPr>
          <w:rFonts w:ascii="Verdana" w:hAnsi="Verdana"/>
        </w:rPr>
        <w:t> 56,13</w:t>
      </w:r>
      <w:r w:rsidRPr="000B5CCD">
        <w:rPr>
          <w:rFonts w:ascii="Verdana" w:hAnsi="Verdana"/>
        </w:rPr>
        <w:t xml:space="preserve">% aktív je krytých cudzími zdrojmi.  Za hornú hranicu ukazovateľa zadlženosti sa v investične nenáročných odboroch považuje až 75%-né  využívanie cudzích zdrojov. </w:t>
      </w:r>
    </w:p>
    <w:p w:rsidR="001E7235" w:rsidRDefault="000B5CCD" w:rsidP="00F9497C">
      <w:pPr>
        <w:ind w:left="0" w:firstLine="0"/>
        <w:jc w:val="both"/>
        <w:rPr>
          <w:rFonts w:ascii="Verdana" w:hAnsi="Verdana"/>
        </w:rPr>
      </w:pPr>
      <w:r w:rsidRPr="000B5CCD">
        <w:rPr>
          <w:rFonts w:ascii="Verdana" w:hAnsi="Verdana"/>
        </w:rPr>
        <w:t xml:space="preserve">Ukazovateľ </w:t>
      </w:r>
      <w:r w:rsidR="006851E5">
        <w:rPr>
          <w:rFonts w:ascii="Verdana" w:hAnsi="Verdana"/>
        </w:rPr>
        <w:t xml:space="preserve"> </w:t>
      </w:r>
      <w:r w:rsidRPr="000B5CCD">
        <w:rPr>
          <w:rFonts w:ascii="Verdana" w:hAnsi="Verdana"/>
        </w:rPr>
        <w:t>úverovej zadlženosti v roku 201</w:t>
      </w:r>
      <w:r w:rsidR="001E7235">
        <w:rPr>
          <w:rFonts w:ascii="Verdana" w:hAnsi="Verdana"/>
        </w:rPr>
        <w:t>9 je</w:t>
      </w:r>
      <w:r w:rsidRPr="000B5CCD">
        <w:rPr>
          <w:rFonts w:ascii="Verdana" w:hAnsi="Verdana"/>
        </w:rPr>
        <w:t xml:space="preserve"> na</w:t>
      </w:r>
      <w:r w:rsidR="001E7235">
        <w:rPr>
          <w:rFonts w:ascii="Verdana" w:hAnsi="Verdana"/>
        </w:rPr>
        <w:t xml:space="preserve"> približne rovnakej úrovni ako v roku 2018</w:t>
      </w:r>
      <w:r w:rsidRPr="000B5CCD">
        <w:rPr>
          <w:rFonts w:ascii="Verdana" w:hAnsi="Verdana"/>
        </w:rPr>
        <w:t xml:space="preserve"> 9,</w:t>
      </w:r>
      <w:r w:rsidR="001E7235">
        <w:rPr>
          <w:rFonts w:ascii="Verdana" w:hAnsi="Verdana"/>
        </w:rPr>
        <w:t>37</w:t>
      </w:r>
      <w:r w:rsidRPr="000B5CCD">
        <w:rPr>
          <w:rFonts w:ascii="Verdana" w:hAnsi="Verdana"/>
        </w:rPr>
        <w:t>%, hodnota tohto ukazovateľa je</w:t>
      </w:r>
      <w:r w:rsidR="001E7235">
        <w:rPr>
          <w:rFonts w:ascii="Verdana" w:hAnsi="Verdana"/>
        </w:rPr>
        <w:t xml:space="preserve"> stále</w:t>
      </w:r>
      <w:r w:rsidRPr="000B5CCD">
        <w:rPr>
          <w:rFonts w:ascii="Verdana" w:hAnsi="Verdana"/>
        </w:rPr>
        <w:t xml:space="preserve"> akceptovateľná</w:t>
      </w:r>
      <w:r w:rsidR="00F9497C">
        <w:rPr>
          <w:rFonts w:ascii="Verdana" w:hAnsi="Verdana"/>
        </w:rPr>
        <w:t xml:space="preserve">. </w:t>
      </w:r>
      <w:r w:rsidRPr="000B5CCD">
        <w:rPr>
          <w:rFonts w:ascii="Verdana" w:hAnsi="Verdana"/>
        </w:rPr>
        <w:t xml:space="preserve">Kritická hranica úverovej zadlženosti je 50%,  spoločnosť dosahuje v sledovaných rokoch nízku úverovú zadlženosť. </w:t>
      </w:r>
    </w:p>
    <w:p w:rsidR="00541A48" w:rsidRDefault="00541A48" w:rsidP="000B5CCD">
      <w:pPr>
        <w:spacing w:after="120"/>
        <w:ind w:left="0"/>
        <w:jc w:val="both"/>
        <w:rPr>
          <w:rFonts w:ascii="Verdana" w:hAnsi="Verdana"/>
        </w:rPr>
      </w:pPr>
    </w:p>
    <w:p w:rsidR="000B5CCD" w:rsidRDefault="000B5CCD" w:rsidP="001E7235">
      <w:pPr>
        <w:spacing w:after="120"/>
        <w:ind w:left="708" w:firstLine="708"/>
        <w:jc w:val="both"/>
        <w:rPr>
          <w:rStyle w:val="ra"/>
          <w:rFonts w:ascii="Verdana" w:hAnsi="Verdana"/>
        </w:rPr>
      </w:pPr>
      <w:r>
        <w:rPr>
          <w:noProof/>
          <w:lang w:eastAsia="sk-SK"/>
        </w:rPr>
        <w:drawing>
          <wp:inline distT="0" distB="0" distL="0" distR="0" wp14:anchorId="712B6EF0" wp14:editId="3A864D9D">
            <wp:extent cx="4819650" cy="2486025"/>
            <wp:effectExtent l="0" t="0" r="19050" b="952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E7235" w:rsidRPr="000B5CCD" w:rsidRDefault="001E7235" w:rsidP="001E7235">
      <w:pPr>
        <w:spacing w:after="120"/>
        <w:ind w:left="708" w:firstLine="708"/>
        <w:jc w:val="both"/>
        <w:rPr>
          <w:rStyle w:val="ra"/>
          <w:rFonts w:ascii="Verdana" w:hAnsi="Verdana"/>
        </w:rPr>
      </w:pPr>
    </w:p>
    <w:p w:rsidR="00541A48" w:rsidRDefault="00060B3D" w:rsidP="006851E5">
      <w:pPr>
        <w:spacing w:after="60"/>
        <w:ind w:left="0" w:firstLine="0"/>
        <w:jc w:val="both"/>
        <w:rPr>
          <w:rStyle w:val="ra"/>
          <w:rFonts w:ascii="Verdana" w:hAnsi="Verdana"/>
          <w:b/>
        </w:rPr>
      </w:pPr>
      <w:r>
        <w:rPr>
          <w:rStyle w:val="ra"/>
          <w:rFonts w:ascii="Verdana" w:hAnsi="Verdana"/>
          <w:b/>
        </w:rPr>
        <w:t>5.3.</w:t>
      </w:r>
      <w:r w:rsidR="00541A48" w:rsidRPr="00541A48">
        <w:rPr>
          <w:rStyle w:val="ra"/>
          <w:rFonts w:ascii="Verdana" w:hAnsi="Verdana"/>
          <w:b/>
        </w:rPr>
        <w:t>Ukazovatele likvidity</w:t>
      </w:r>
    </w:p>
    <w:p w:rsidR="00541A48" w:rsidRDefault="00541A48" w:rsidP="00541A48">
      <w:pPr>
        <w:spacing w:after="120"/>
        <w:ind w:left="0" w:firstLine="0"/>
        <w:jc w:val="both"/>
        <w:rPr>
          <w:rFonts w:ascii="Verdana" w:hAnsi="Verdana" w:cs="Arial"/>
        </w:rPr>
      </w:pPr>
      <w:r w:rsidRPr="00B20BF4">
        <w:rPr>
          <w:rFonts w:ascii="Verdana" w:hAnsi="Verdana" w:cs="Arial"/>
        </w:rPr>
        <w:t xml:space="preserve">Vyjadrujú schopnosť firmy </w:t>
      </w:r>
      <w:r w:rsidR="004D23B6">
        <w:rPr>
          <w:rFonts w:ascii="Verdana" w:hAnsi="Verdana" w:cs="Arial"/>
        </w:rPr>
        <w:t>včas uhrádzať</w:t>
      </w:r>
      <w:r w:rsidRPr="00B20BF4">
        <w:rPr>
          <w:rFonts w:ascii="Verdana" w:hAnsi="Verdana" w:cs="Arial"/>
        </w:rPr>
        <w:t xml:space="preserve"> svoje krátkodobé záväzky</w:t>
      </w:r>
      <w:r w:rsidR="004D23B6">
        <w:rPr>
          <w:rFonts w:ascii="Verdana" w:hAnsi="Verdana" w:cs="Arial"/>
        </w:rPr>
        <w:t>. Nedostatočná likvidita môže znamenať pre podnikateľa platobnú neschopnosť a viesť k bankrotu.</w:t>
      </w:r>
    </w:p>
    <w:p w:rsidR="00F9497C" w:rsidRDefault="00F9497C" w:rsidP="00541A48">
      <w:pPr>
        <w:spacing w:after="120"/>
        <w:ind w:left="0" w:firstLine="0"/>
        <w:jc w:val="both"/>
        <w:rPr>
          <w:rFonts w:ascii="Verdana" w:hAnsi="Verdana" w:cs="Arial"/>
        </w:rPr>
      </w:pPr>
    </w:p>
    <w:p w:rsidR="00F9497C" w:rsidRDefault="00F9497C" w:rsidP="00F9497C">
      <w:pPr>
        <w:ind w:left="0" w:firstLine="0"/>
        <w:rPr>
          <w:rFonts w:ascii="Verdana" w:hAnsi="Verdana" w:cs="Arial"/>
          <w:sz w:val="20"/>
          <w:szCs w:val="20"/>
        </w:rPr>
      </w:pPr>
      <w:r w:rsidRPr="00B20BF4">
        <w:rPr>
          <w:rFonts w:ascii="Verdana" w:hAnsi="Verdana" w:cs="Arial"/>
          <w:sz w:val="20"/>
          <w:szCs w:val="20"/>
        </w:rPr>
        <w:t>Tabuľka: Ukazovatele likvidity v rokoch 201</w:t>
      </w:r>
      <w:r>
        <w:rPr>
          <w:rFonts w:ascii="Verdana" w:hAnsi="Verdana" w:cs="Arial"/>
          <w:sz w:val="20"/>
          <w:szCs w:val="20"/>
        </w:rPr>
        <w:t>7</w:t>
      </w:r>
      <w:r w:rsidRPr="00B20BF4">
        <w:rPr>
          <w:rFonts w:ascii="Verdana" w:hAnsi="Verdana" w:cs="Arial"/>
          <w:sz w:val="20"/>
          <w:szCs w:val="20"/>
        </w:rPr>
        <w:t xml:space="preserve"> </w:t>
      </w:r>
      <w:r>
        <w:rPr>
          <w:rFonts w:ascii="Verdana" w:hAnsi="Verdana" w:cs="Arial"/>
          <w:sz w:val="20"/>
          <w:szCs w:val="20"/>
        </w:rPr>
        <w:t>–</w:t>
      </w:r>
      <w:r w:rsidRPr="00B20BF4">
        <w:rPr>
          <w:rFonts w:ascii="Verdana" w:hAnsi="Verdana" w:cs="Arial"/>
          <w:sz w:val="20"/>
          <w:szCs w:val="20"/>
        </w:rPr>
        <w:t xml:space="preserve"> 201</w:t>
      </w:r>
      <w:r>
        <w:rPr>
          <w:rFonts w:ascii="Verdana" w:hAnsi="Verdana" w:cs="Arial"/>
          <w:sz w:val="20"/>
          <w:szCs w:val="20"/>
        </w:rPr>
        <w:t>9</w:t>
      </w:r>
    </w:p>
    <w:p w:rsidR="006851E5" w:rsidRDefault="006851E5" w:rsidP="00F9497C">
      <w:pPr>
        <w:ind w:left="0" w:firstLine="0"/>
        <w:rPr>
          <w:rFonts w:ascii="Verdana" w:hAnsi="Verdana" w:cs="Arial"/>
          <w:sz w:val="20"/>
          <w:szCs w:val="20"/>
        </w:rPr>
      </w:pPr>
    </w:p>
    <w:tbl>
      <w:tblPr>
        <w:tblW w:w="8379" w:type="dxa"/>
        <w:tblInd w:w="55" w:type="dxa"/>
        <w:tblCellMar>
          <w:left w:w="70" w:type="dxa"/>
          <w:right w:w="70" w:type="dxa"/>
        </w:tblCellMar>
        <w:tblLook w:val="04A0" w:firstRow="1" w:lastRow="0" w:firstColumn="1" w:lastColumn="0" w:noHBand="0" w:noVBand="1"/>
      </w:tblPr>
      <w:tblGrid>
        <w:gridCol w:w="2591"/>
        <w:gridCol w:w="1969"/>
        <w:gridCol w:w="1409"/>
        <w:gridCol w:w="1134"/>
        <w:gridCol w:w="1276"/>
      </w:tblGrid>
      <w:tr w:rsidR="0045185D" w:rsidRPr="0045185D" w:rsidTr="0045185D">
        <w:trPr>
          <w:trHeight w:val="300"/>
        </w:trPr>
        <w:tc>
          <w:tcPr>
            <w:tcW w:w="4560" w:type="dxa"/>
            <w:gridSpan w:val="2"/>
            <w:tcBorders>
              <w:top w:val="single" w:sz="4" w:space="0" w:color="auto"/>
              <w:left w:val="single" w:sz="4" w:space="0" w:color="auto"/>
              <w:bottom w:val="single" w:sz="4" w:space="0" w:color="auto"/>
              <w:right w:val="nil"/>
            </w:tcBorders>
            <w:shd w:val="clear" w:color="auto" w:fill="auto"/>
            <w:noWrap/>
            <w:vAlign w:val="bottom"/>
            <w:hideMark/>
          </w:tcPr>
          <w:p w:rsidR="0045185D" w:rsidRPr="0045185D" w:rsidRDefault="0045185D" w:rsidP="0045185D">
            <w:pPr>
              <w:ind w:left="0" w:firstLine="0"/>
              <w:rPr>
                <w:rFonts w:eastAsia="Times New Roman" w:cs="Calibri"/>
                <w:b/>
                <w:bCs/>
                <w:color w:val="000000"/>
                <w:lang w:eastAsia="sk-SK"/>
              </w:rPr>
            </w:pPr>
            <w:r w:rsidRPr="0045185D">
              <w:rPr>
                <w:rFonts w:eastAsia="Times New Roman" w:cs="Calibri"/>
                <w:b/>
                <w:bCs/>
                <w:color w:val="000000"/>
                <w:lang w:eastAsia="sk-SK"/>
              </w:rPr>
              <w:t xml:space="preserve">UKAZOVATEĽ      </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center"/>
              <w:rPr>
                <w:rFonts w:eastAsia="Times New Roman" w:cs="Calibri"/>
                <w:b/>
                <w:bCs/>
                <w:color w:val="000000"/>
                <w:lang w:eastAsia="sk-SK"/>
              </w:rPr>
            </w:pPr>
            <w:r w:rsidRPr="0045185D">
              <w:rPr>
                <w:rFonts w:eastAsia="Times New Roman" w:cs="Calibri"/>
                <w:b/>
                <w:bCs/>
                <w:color w:val="000000"/>
                <w:lang w:eastAsia="sk-SK"/>
              </w:rPr>
              <w:t>ROK 2019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center"/>
              <w:rPr>
                <w:rFonts w:eastAsia="Times New Roman" w:cs="Calibri"/>
                <w:b/>
                <w:bCs/>
                <w:color w:val="000000"/>
                <w:lang w:eastAsia="sk-SK"/>
              </w:rPr>
            </w:pPr>
            <w:r w:rsidRPr="0045185D">
              <w:rPr>
                <w:rFonts w:eastAsia="Times New Roman" w:cs="Calibri"/>
                <w:b/>
                <w:bCs/>
                <w:color w:val="000000"/>
                <w:lang w:eastAsia="sk-SK"/>
              </w:rPr>
              <w:t>ROK 2018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center"/>
              <w:rPr>
                <w:rFonts w:eastAsia="Times New Roman" w:cs="Calibri"/>
                <w:b/>
                <w:bCs/>
                <w:color w:val="000000"/>
                <w:lang w:eastAsia="sk-SK"/>
              </w:rPr>
            </w:pPr>
            <w:r w:rsidRPr="0045185D">
              <w:rPr>
                <w:rFonts w:eastAsia="Times New Roman" w:cs="Calibri"/>
                <w:b/>
                <w:bCs/>
                <w:color w:val="000000"/>
                <w:lang w:eastAsia="sk-SK"/>
              </w:rPr>
              <w:t>ROK 2017</w:t>
            </w:r>
          </w:p>
        </w:tc>
      </w:tr>
      <w:tr w:rsidR="0045185D" w:rsidRPr="0045185D" w:rsidTr="0045185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rsidR="0045185D" w:rsidRPr="0045185D" w:rsidRDefault="0045185D" w:rsidP="0045185D">
            <w:pPr>
              <w:ind w:left="0" w:firstLine="0"/>
              <w:rPr>
                <w:rFonts w:eastAsia="Times New Roman" w:cs="Calibri"/>
                <w:color w:val="000000"/>
                <w:lang w:eastAsia="sk-SK"/>
              </w:rPr>
            </w:pPr>
            <w:r w:rsidRPr="0045185D">
              <w:rPr>
                <w:rFonts w:eastAsia="Times New Roman" w:cs="Calibri"/>
                <w:color w:val="000000"/>
                <w:lang w:eastAsia="sk-SK"/>
              </w:rPr>
              <w:t>LIKVIDITA OKAMŽITÁ</w:t>
            </w:r>
          </w:p>
        </w:tc>
        <w:tc>
          <w:tcPr>
            <w:tcW w:w="1969"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center"/>
              <w:rPr>
                <w:rFonts w:eastAsia="Times New Roman" w:cs="Calibri"/>
                <w:color w:val="000000"/>
                <w:lang w:eastAsia="sk-SK"/>
              </w:rPr>
            </w:pPr>
            <w:r w:rsidRPr="0045185D">
              <w:rPr>
                <w:rFonts w:eastAsia="Times New Roman" w:cs="Calibri"/>
                <w:color w:val="000000"/>
                <w:lang w:eastAsia="sk-SK"/>
              </w:rPr>
              <w:t>OPTIMUM:  1,0</w:t>
            </w:r>
          </w:p>
        </w:tc>
        <w:tc>
          <w:tcPr>
            <w:tcW w:w="1409"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0,0043</w:t>
            </w:r>
          </w:p>
        </w:tc>
        <w:tc>
          <w:tcPr>
            <w:tcW w:w="1134"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0,0139</w:t>
            </w:r>
          </w:p>
        </w:tc>
        <w:tc>
          <w:tcPr>
            <w:tcW w:w="1276"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0,0079</w:t>
            </w:r>
          </w:p>
        </w:tc>
      </w:tr>
      <w:tr w:rsidR="0045185D" w:rsidRPr="0045185D" w:rsidTr="0045185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rsidR="0045185D" w:rsidRPr="0045185D" w:rsidRDefault="0045185D" w:rsidP="0045185D">
            <w:pPr>
              <w:ind w:left="0" w:firstLine="0"/>
              <w:rPr>
                <w:rFonts w:eastAsia="Times New Roman" w:cs="Calibri"/>
                <w:color w:val="000000"/>
                <w:lang w:eastAsia="sk-SK"/>
              </w:rPr>
            </w:pPr>
            <w:r w:rsidRPr="0045185D">
              <w:rPr>
                <w:rFonts w:eastAsia="Times New Roman" w:cs="Calibri"/>
                <w:color w:val="000000"/>
                <w:lang w:eastAsia="sk-SK"/>
              </w:rPr>
              <w:t>LIKVIDITA POHOTOVÁ</w:t>
            </w:r>
          </w:p>
        </w:tc>
        <w:tc>
          <w:tcPr>
            <w:tcW w:w="1969"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center"/>
              <w:rPr>
                <w:rFonts w:eastAsia="Times New Roman" w:cs="Calibri"/>
                <w:color w:val="000000"/>
                <w:lang w:eastAsia="sk-SK"/>
              </w:rPr>
            </w:pPr>
            <w:r w:rsidRPr="0045185D">
              <w:rPr>
                <w:rFonts w:eastAsia="Times New Roman" w:cs="Calibri"/>
                <w:color w:val="000000"/>
                <w:lang w:eastAsia="sk-SK"/>
              </w:rPr>
              <w:t xml:space="preserve">OPTIMUM: 1,0 </w:t>
            </w:r>
          </w:p>
        </w:tc>
        <w:tc>
          <w:tcPr>
            <w:tcW w:w="1409"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1,3361</w:t>
            </w:r>
          </w:p>
        </w:tc>
        <w:tc>
          <w:tcPr>
            <w:tcW w:w="1134"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1,2710</w:t>
            </w:r>
          </w:p>
        </w:tc>
        <w:tc>
          <w:tcPr>
            <w:tcW w:w="1276"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1,1996</w:t>
            </w:r>
          </w:p>
        </w:tc>
      </w:tr>
      <w:tr w:rsidR="0045185D" w:rsidRPr="0045185D" w:rsidTr="0045185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rsidR="0045185D" w:rsidRPr="0045185D" w:rsidRDefault="0045185D" w:rsidP="0045185D">
            <w:pPr>
              <w:ind w:left="0" w:firstLine="0"/>
              <w:rPr>
                <w:rFonts w:eastAsia="Times New Roman" w:cs="Calibri"/>
                <w:color w:val="000000"/>
                <w:lang w:eastAsia="sk-SK"/>
              </w:rPr>
            </w:pPr>
            <w:r w:rsidRPr="0045185D">
              <w:rPr>
                <w:rFonts w:eastAsia="Times New Roman" w:cs="Calibri"/>
                <w:color w:val="000000"/>
                <w:lang w:eastAsia="sk-SK"/>
              </w:rPr>
              <w:t>LIKVIDITA BEŽNÁ</w:t>
            </w:r>
          </w:p>
        </w:tc>
        <w:tc>
          <w:tcPr>
            <w:tcW w:w="1969"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center"/>
              <w:rPr>
                <w:rFonts w:eastAsia="Times New Roman" w:cs="Calibri"/>
                <w:color w:val="000000"/>
                <w:lang w:eastAsia="sk-SK"/>
              </w:rPr>
            </w:pPr>
            <w:r w:rsidRPr="0045185D">
              <w:rPr>
                <w:rFonts w:eastAsia="Times New Roman" w:cs="Calibri"/>
                <w:color w:val="000000"/>
                <w:lang w:eastAsia="sk-SK"/>
              </w:rPr>
              <w:t>OPTIMUM: &gt; 1,5</w:t>
            </w:r>
          </w:p>
        </w:tc>
        <w:tc>
          <w:tcPr>
            <w:tcW w:w="1409"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1,796</w:t>
            </w:r>
          </w:p>
        </w:tc>
        <w:tc>
          <w:tcPr>
            <w:tcW w:w="1134"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1,6967</w:t>
            </w:r>
          </w:p>
        </w:tc>
        <w:tc>
          <w:tcPr>
            <w:tcW w:w="1276" w:type="dxa"/>
            <w:tcBorders>
              <w:top w:val="nil"/>
              <w:left w:val="nil"/>
              <w:bottom w:val="single" w:sz="4" w:space="0" w:color="auto"/>
              <w:right w:val="single" w:sz="4" w:space="0" w:color="auto"/>
            </w:tcBorders>
            <w:shd w:val="clear" w:color="auto" w:fill="auto"/>
            <w:noWrap/>
            <w:vAlign w:val="bottom"/>
            <w:hideMark/>
          </w:tcPr>
          <w:p w:rsidR="0045185D" w:rsidRPr="0045185D" w:rsidRDefault="0045185D" w:rsidP="0045185D">
            <w:pPr>
              <w:ind w:left="0" w:firstLine="0"/>
              <w:jc w:val="right"/>
              <w:rPr>
                <w:rFonts w:eastAsia="Times New Roman" w:cs="Calibri"/>
                <w:color w:val="000000"/>
                <w:lang w:eastAsia="sk-SK"/>
              </w:rPr>
            </w:pPr>
            <w:r w:rsidRPr="0045185D">
              <w:rPr>
                <w:rFonts w:eastAsia="Times New Roman" w:cs="Calibri"/>
                <w:color w:val="000000"/>
                <w:lang w:eastAsia="sk-SK"/>
              </w:rPr>
              <w:t>1,5885</w:t>
            </w:r>
          </w:p>
        </w:tc>
      </w:tr>
    </w:tbl>
    <w:p w:rsidR="0045185D" w:rsidRDefault="0045185D" w:rsidP="00F9497C">
      <w:pPr>
        <w:ind w:left="0" w:firstLine="0"/>
        <w:rPr>
          <w:rFonts w:ascii="Verdana" w:hAnsi="Verdana" w:cs="Arial"/>
          <w:sz w:val="20"/>
          <w:szCs w:val="20"/>
        </w:rPr>
      </w:pPr>
    </w:p>
    <w:p w:rsidR="00541A48" w:rsidRDefault="0045185D" w:rsidP="00F9497C">
      <w:pPr>
        <w:spacing w:after="120"/>
        <w:ind w:left="0" w:firstLine="0"/>
        <w:jc w:val="both"/>
        <w:rPr>
          <w:rFonts w:ascii="Verdana" w:hAnsi="Verdana" w:cs="Arial"/>
        </w:rPr>
      </w:pPr>
      <w:r>
        <w:rPr>
          <w:rFonts w:ascii="Verdana" w:hAnsi="Verdana" w:cs="Arial"/>
        </w:rPr>
        <w:lastRenderedPageBreak/>
        <w:t xml:space="preserve">Okamžitá likvidita  v roku 2019 poklesla, nedosahuje optimum 1,0, ale klesla aj pod „rizikovú“ hodnotu 0,2. Spoločnosť nemala veľa peňazí v pokladni a ani na bankovom účte.  Napriek tomu sa spoločnosti darí uhrádzať svoje záväzky dodávateľom a voči zamestnancom. Vidieť to aj z hodnoty pohotovej a bežnej likvidity, ktoré mierne narástli. Pohotová likvidita je </w:t>
      </w:r>
      <w:r w:rsidR="00FB38C8">
        <w:rPr>
          <w:rFonts w:ascii="Verdana" w:hAnsi="Verdana" w:cs="Arial"/>
        </w:rPr>
        <w:t>o niečo vyššia ako 1,0</w:t>
      </w:r>
      <w:r w:rsidR="00F0757C">
        <w:rPr>
          <w:rFonts w:ascii="Verdana" w:hAnsi="Verdana" w:cs="Arial"/>
        </w:rPr>
        <w:t>, spoločnosť má prebytočne viaza</w:t>
      </w:r>
      <w:r w:rsidR="00FB38C8">
        <w:rPr>
          <w:rFonts w:ascii="Verdana" w:hAnsi="Verdana" w:cs="Arial"/>
        </w:rPr>
        <w:t xml:space="preserve">né peniaze v zásobách. </w:t>
      </w:r>
      <w:r w:rsidR="00F9497C">
        <w:rPr>
          <w:rFonts w:ascii="Verdana" w:hAnsi="Verdana" w:cs="Arial"/>
        </w:rPr>
        <w:t xml:space="preserve"> Bežná likvidita sa dlhodobo udržuje </w:t>
      </w:r>
      <w:r w:rsidR="00FB38C8">
        <w:rPr>
          <w:rFonts w:ascii="Verdana" w:hAnsi="Verdana" w:cs="Arial"/>
        </w:rPr>
        <w:t>nad kritickú hodnotu 1,5 s miernym nárastom v poslednom sledovanom roku. Čím je jej hodnota vyššia tým lepšie, p</w:t>
      </w:r>
      <w:r w:rsidR="00F9497C">
        <w:rPr>
          <w:rFonts w:ascii="Verdana" w:hAnsi="Verdana" w:cs="Arial"/>
        </w:rPr>
        <w:t xml:space="preserve">redstavuje </w:t>
      </w:r>
      <w:r w:rsidR="00F0757C">
        <w:rPr>
          <w:rFonts w:ascii="Verdana" w:hAnsi="Verdana" w:cs="Arial"/>
        </w:rPr>
        <w:t>schopnosť pokryť všetky zá</w:t>
      </w:r>
      <w:r w:rsidR="00FB38C8">
        <w:rPr>
          <w:rFonts w:ascii="Verdana" w:hAnsi="Verdana" w:cs="Arial"/>
        </w:rPr>
        <w:t>väzky, ak by podnikateľ predal všetky svoje aktíva.</w:t>
      </w:r>
    </w:p>
    <w:p w:rsidR="00F0757C" w:rsidRDefault="00F0757C" w:rsidP="00F9497C">
      <w:pPr>
        <w:spacing w:after="120"/>
        <w:ind w:left="0" w:firstLine="0"/>
        <w:jc w:val="both"/>
        <w:rPr>
          <w:rFonts w:ascii="Verdana" w:hAnsi="Verdana" w:cs="Arial"/>
        </w:rPr>
      </w:pPr>
    </w:p>
    <w:p w:rsidR="00FB38C8" w:rsidRDefault="00FB38C8" w:rsidP="00F9497C">
      <w:pPr>
        <w:spacing w:after="120"/>
        <w:ind w:left="0" w:firstLine="0"/>
        <w:jc w:val="both"/>
        <w:rPr>
          <w:rStyle w:val="ra"/>
          <w:rFonts w:ascii="Verdana" w:hAnsi="Verdana"/>
          <w:b/>
        </w:rPr>
      </w:pPr>
      <w:r>
        <w:rPr>
          <w:noProof/>
          <w:lang w:eastAsia="sk-SK"/>
        </w:rPr>
        <w:drawing>
          <wp:inline distT="0" distB="0" distL="0" distR="0" wp14:anchorId="2570DEAC" wp14:editId="7AEC787F">
            <wp:extent cx="5972810" cy="2679700"/>
            <wp:effectExtent l="0" t="0" r="27940" b="2540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38C8" w:rsidRPr="00541A48" w:rsidRDefault="00FB38C8" w:rsidP="00F9497C">
      <w:pPr>
        <w:spacing w:after="120"/>
        <w:ind w:left="0" w:firstLine="0"/>
        <w:jc w:val="both"/>
        <w:rPr>
          <w:rStyle w:val="ra"/>
          <w:rFonts w:ascii="Verdana" w:hAnsi="Verdana"/>
          <w:b/>
        </w:rPr>
      </w:pPr>
    </w:p>
    <w:p w:rsidR="001E7235" w:rsidRDefault="00060B3D" w:rsidP="00F0757C">
      <w:pPr>
        <w:spacing w:after="60"/>
        <w:ind w:left="0" w:firstLine="0"/>
        <w:jc w:val="both"/>
        <w:rPr>
          <w:rStyle w:val="ra"/>
          <w:rFonts w:ascii="Verdana" w:hAnsi="Verdana"/>
        </w:rPr>
      </w:pPr>
      <w:r>
        <w:rPr>
          <w:rStyle w:val="ra"/>
          <w:rFonts w:ascii="Verdana" w:hAnsi="Verdana"/>
          <w:b/>
        </w:rPr>
        <w:t>5.4.</w:t>
      </w:r>
      <w:r w:rsidR="001E7235" w:rsidRPr="000B5CCD">
        <w:rPr>
          <w:rStyle w:val="ra"/>
          <w:rFonts w:ascii="Verdana" w:hAnsi="Verdana"/>
          <w:b/>
        </w:rPr>
        <w:t xml:space="preserve">Ukazovatele </w:t>
      </w:r>
      <w:r w:rsidR="001E7235">
        <w:rPr>
          <w:rStyle w:val="ra"/>
          <w:rFonts w:ascii="Verdana" w:hAnsi="Verdana"/>
          <w:b/>
        </w:rPr>
        <w:t>aktivi</w:t>
      </w:r>
      <w:r w:rsidR="001E7235" w:rsidRPr="000B5CCD">
        <w:rPr>
          <w:rStyle w:val="ra"/>
          <w:rFonts w:ascii="Verdana" w:hAnsi="Verdana"/>
          <w:b/>
        </w:rPr>
        <w:t>t</w:t>
      </w:r>
      <w:r w:rsidR="001E7235">
        <w:rPr>
          <w:rStyle w:val="ra"/>
          <w:rFonts w:ascii="Verdana" w:hAnsi="Verdana"/>
          <w:b/>
        </w:rPr>
        <w:t>y</w:t>
      </w:r>
    </w:p>
    <w:p w:rsidR="00541A48" w:rsidRPr="00060B3D" w:rsidRDefault="00541A48" w:rsidP="00060B3D">
      <w:pPr>
        <w:ind w:left="0" w:firstLine="0"/>
        <w:jc w:val="both"/>
        <w:rPr>
          <w:rFonts w:ascii="Verdana" w:hAnsi="Verdana" w:cs="Arial"/>
        </w:rPr>
      </w:pPr>
      <w:r w:rsidRPr="00060B3D">
        <w:rPr>
          <w:rFonts w:ascii="Verdana" w:hAnsi="Verdana" w:cs="Arial"/>
        </w:rPr>
        <w:t>Umožňujú vyjadriť, kvantifikovať a analyzovať ako účinne podnik využíva svoj majetok</w:t>
      </w:r>
      <w:r w:rsidR="00FB38C8" w:rsidRPr="00060B3D">
        <w:rPr>
          <w:rFonts w:ascii="Verdana" w:hAnsi="Verdana" w:cs="Arial"/>
        </w:rPr>
        <w:t xml:space="preserve"> a zisťujú viazanosť kapitálu v majetku</w:t>
      </w:r>
      <w:r w:rsidRPr="00060B3D">
        <w:rPr>
          <w:rFonts w:ascii="Verdana" w:hAnsi="Verdana" w:cs="Arial"/>
        </w:rPr>
        <w:t>. Vypovedajú o obrate (viazanosti ) majetku ako celku i jeho jednotlivých častí. Vyjadrujú za koľko dní sú jednotlivé položky majetku schopné sa reprodukovať.</w:t>
      </w:r>
      <w:r w:rsidR="00FB38C8" w:rsidRPr="00060B3D">
        <w:rPr>
          <w:rFonts w:ascii="Verdana" w:hAnsi="Verdana" w:cs="Arial"/>
        </w:rPr>
        <w:t xml:space="preserve"> Cieľom je skracovať dobu obrátok a tým zvyšovať zisk.</w:t>
      </w:r>
    </w:p>
    <w:p w:rsidR="00F0757C" w:rsidRDefault="00F0757C" w:rsidP="00F0757C">
      <w:pPr>
        <w:ind w:left="0" w:firstLine="0"/>
        <w:jc w:val="both"/>
        <w:rPr>
          <w:rFonts w:ascii="Verdana" w:hAnsi="Verdana" w:cs="Arial"/>
          <w:sz w:val="20"/>
          <w:szCs w:val="20"/>
        </w:rPr>
      </w:pPr>
    </w:p>
    <w:p w:rsidR="00063E7B" w:rsidRPr="00F0757C" w:rsidRDefault="00063E7B" w:rsidP="00F0757C">
      <w:pPr>
        <w:ind w:left="0" w:firstLine="0"/>
        <w:jc w:val="both"/>
        <w:rPr>
          <w:rFonts w:ascii="Verdana" w:hAnsi="Verdana" w:cs="Arial"/>
          <w:sz w:val="20"/>
          <w:szCs w:val="20"/>
        </w:rPr>
      </w:pPr>
      <w:r w:rsidRPr="00F0757C">
        <w:rPr>
          <w:rFonts w:ascii="Verdana" w:hAnsi="Verdana" w:cs="Arial"/>
          <w:sz w:val="20"/>
          <w:szCs w:val="20"/>
        </w:rPr>
        <w:t>Tabuľka: Vývoj ukazovateľov aktivity  (v dňoch) v rokoch 2017 -2019</w:t>
      </w:r>
    </w:p>
    <w:p w:rsidR="00F0757C" w:rsidRPr="00063E7B" w:rsidRDefault="00F0757C" w:rsidP="00063E7B">
      <w:pPr>
        <w:pStyle w:val="Odsekzoznamu"/>
        <w:ind w:left="360" w:firstLine="0"/>
        <w:jc w:val="both"/>
        <w:rPr>
          <w:rFonts w:ascii="Verdana" w:hAnsi="Verdana" w:cs="Arial"/>
          <w:sz w:val="20"/>
          <w:szCs w:val="20"/>
        </w:rPr>
      </w:pPr>
    </w:p>
    <w:tbl>
      <w:tblPr>
        <w:tblW w:w="8520" w:type="dxa"/>
        <w:tblInd w:w="55" w:type="dxa"/>
        <w:tblCellMar>
          <w:left w:w="70" w:type="dxa"/>
          <w:right w:w="70" w:type="dxa"/>
        </w:tblCellMar>
        <w:tblLook w:val="04A0" w:firstRow="1" w:lastRow="0" w:firstColumn="1" w:lastColumn="0" w:noHBand="0" w:noVBand="1"/>
      </w:tblPr>
      <w:tblGrid>
        <w:gridCol w:w="4560"/>
        <w:gridCol w:w="1409"/>
        <w:gridCol w:w="1276"/>
        <w:gridCol w:w="1275"/>
      </w:tblGrid>
      <w:tr w:rsidR="00FB38C8" w:rsidRPr="00FB38C8" w:rsidTr="00063E7B">
        <w:trPr>
          <w:trHeight w:val="315"/>
        </w:trPr>
        <w:tc>
          <w:tcPr>
            <w:tcW w:w="4560" w:type="dxa"/>
            <w:tcBorders>
              <w:top w:val="single" w:sz="4" w:space="0" w:color="auto"/>
              <w:left w:val="single" w:sz="4" w:space="0" w:color="auto"/>
              <w:bottom w:val="double" w:sz="6" w:space="0" w:color="auto"/>
              <w:right w:val="double" w:sz="6" w:space="0" w:color="000000"/>
            </w:tcBorders>
            <w:shd w:val="clear" w:color="auto" w:fill="auto"/>
            <w:noWrap/>
            <w:vAlign w:val="bottom"/>
            <w:hideMark/>
          </w:tcPr>
          <w:p w:rsidR="00FB38C8" w:rsidRPr="00FB38C8" w:rsidRDefault="00FB38C8" w:rsidP="00FB38C8">
            <w:pPr>
              <w:ind w:left="0" w:firstLine="0"/>
              <w:rPr>
                <w:rFonts w:eastAsia="Times New Roman" w:cs="Calibri"/>
                <w:b/>
                <w:bCs/>
                <w:color w:val="000000"/>
                <w:lang w:eastAsia="sk-SK"/>
              </w:rPr>
            </w:pPr>
            <w:r w:rsidRPr="00FB38C8">
              <w:rPr>
                <w:rFonts w:eastAsia="Times New Roman" w:cs="Calibri"/>
                <w:b/>
                <w:bCs/>
                <w:color w:val="000000"/>
                <w:lang w:eastAsia="sk-SK"/>
              </w:rPr>
              <w:t xml:space="preserve">UKAZOVATEĽ   v dňoch   </w:t>
            </w:r>
          </w:p>
        </w:tc>
        <w:tc>
          <w:tcPr>
            <w:tcW w:w="1409" w:type="dxa"/>
            <w:tcBorders>
              <w:top w:val="single" w:sz="4" w:space="0" w:color="auto"/>
              <w:left w:val="single" w:sz="4" w:space="0" w:color="auto"/>
              <w:bottom w:val="nil"/>
              <w:right w:val="nil"/>
            </w:tcBorders>
            <w:shd w:val="clear" w:color="auto" w:fill="auto"/>
            <w:noWrap/>
            <w:vAlign w:val="bottom"/>
            <w:hideMark/>
          </w:tcPr>
          <w:p w:rsidR="00FB38C8" w:rsidRPr="00FB38C8" w:rsidRDefault="00FB38C8" w:rsidP="00FB38C8">
            <w:pPr>
              <w:ind w:left="0" w:firstLine="0"/>
              <w:jc w:val="center"/>
              <w:rPr>
                <w:rFonts w:eastAsia="Times New Roman" w:cs="Calibri"/>
                <w:b/>
                <w:bCs/>
                <w:color w:val="000000"/>
                <w:lang w:eastAsia="sk-SK"/>
              </w:rPr>
            </w:pPr>
            <w:r w:rsidRPr="00FB38C8">
              <w:rPr>
                <w:rFonts w:eastAsia="Times New Roman" w:cs="Calibri"/>
                <w:b/>
                <w:bCs/>
                <w:color w:val="000000"/>
                <w:lang w:eastAsia="sk-SK"/>
              </w:rPr>
              <w:t>ROK 2019</w:t>
            </w:r>
          </w:p>
        </w:tc>
        <w:tc>
          <w:tcPr>
            <w:tcW w:w="1276" w:type="dxa"/>
            <w:tcBorders>
              <w:top w:val="single" w:sz="4" w:space="0" w:color="auto"/>
              <w:left w:val="single" w:sz="4" w:space="0" w:color="auto"/>
              <w:bottom w:val="nil"/>
              <w:right w:val="nil"/>
            </w:tcBorders>
            <w:shd w:val="clear" w:color="auto" w:fill="auto"/>
            <w:noWrap/>
            <w:vAlign w:val="bottom"/>
            <w:hideMark/>
          </w:tcPr>
          <w:p w:rsidR="00FB38C8" w:rsidRPr="00FB38C8" w:rsidRDefault="00FB38C8" w:rsidP="00FB38C8">
            <w:pPr>
              <w:ind w:left="0" w:firstLine="0"/>
              <w:jc w:val="center"/>
              <w:rPr>
                <w:rFonts w:eastAsia="Times New Roman" w:cs="Calibri"/>
                <w:b/>
                <w:bCs/>
                <w:color w:val="000000"/>
                <w:lang w:eastAsia="sk-SK"/>
              </w:rPr>
            </w:pPr>
            <w:r w:rsidRPr="00FB38C8">
              <w:rPr>
                <w:rFonts w:eastAsia="Times New Roman" w:cs="Calibri"/>
                <w:b/>
                <w:bCs/>
                <w:color w:val="000000"/>
                <w:lang w:eastAsia="sk-SK"/>
              </w:rPr>
              <w:t>ROK 2018</w:t>
            </w:r>
          </w:p>
        </w:tc>
        <w:tc>
          <w:tcPr>
            <w:tcW w:w="1275" w:type="dxa"/>
            <w:tcBorders>
              <w:top w:val="single" w:sz="4" w:space="0" w:color="auto"/>
              <w:left w:val="single" w:sz="4" w:space="0" w:color="auto"/>
              <w:bottom w:val="nil"/>
              <w:right w:val="nil"/>
            </w:tcBorders>
            <w:shd w:val="clear" w:color="auto" w:fill="auto"/>
            <w:noWrap/>
            <w:vAlign w:val="bottom"/>
            <w:hideMark/>
          </w:tcPr>
          <w:p w:rsidR="00FB38C8" w:rsidRPr="00FB38C8" w:rsidRDefault="00FB38C8" w:rsidP="00FB38C8">
            <w:pPr>
              <w:ind w:left="0" w:firstLine="0"/>
              <w:jc w:val="center"/>
              <w:rPr>
                <w:rFonts w:eastAsia="Times New Roman" w:cs="Calibri"/>
                <w:b/>
                <w:bCs/>
                <w:color w:val="000000"/>
                <w:lang w:eastAsia="sk-SK"/>
              </w:rPr>
            </w:pPr>
            <w:r w:rsidRPr="00FB38C8">
              <w:rPr>
                <w:rFonts w:eastAsia="Times New Roman" w:cs="Calibri"/>
                <w:b/>
                <w:bCs/>
                <w:color w:val="000000"/>
                <w:lang w:eastAsia="sk-SK"/>
              </w:rPr>
              <w:t>ROK 2017</w:t>
            </w:r>
          </w:p>
        </w:tc>
      </w:tr>
      <w:tr w:rsidR="00FB38C8" w:rsidRPr="00FB38C8" w:rsidTr="00063E7B">
        <w:trPr>
          <w:trHeight w:val="315"/>
        </w:trPr>
        <w:tc>
          <w:tcPr>
            <w:tcW w:w="4560" w:type="dxa"/>
            <w:tcBorders>
              <w:top w:val="double" w:sz="6" w:space="0" w:color="auto"/>
              <w:left w:val="single" w:sz="4" w:space="0" w:color="auto"/>
              <w:bottom w:val="single" w:sz="4" w:space="0" w:color="auto"/>
              <w:right w:val="double" w:sz="6" w:space="0" w:color="000000"/>
            </w:tcBorders>
            <w:shd w:val="clear" w:color="auto" w:fill="auto"/>
            <w:noWrap/>
            <w:vAlign w:val="bottom"/>
            <w:hideMark/>
          </w:tcPr>
          <w:p w:rsidR="00FB38C8" w:rsidRPr="00FB38C8" w:rsidRDefault="00FB38C8" w:rsidP="00FB38C8">
            <w:pPr>
              <w:ind w:left="0" w:firstLine="0"/>
              <w:rPr>
                <w:rFonts w:eastAsia="Times New Roman" w:cs="Calibri"/>
                <w:color w:val="000000"/>
                <w:lang w:eastAsia="sk-SK"/>
              </w:rPr>
            </w:pPr>
            <w:r w:rsidRPr="00FB38C8">
              <w:rPr>
                <w:rFonts w:eastAsia="Times New Roman" w:cs="Calibri"/>
                <w:color w:val="000000"/>
                <w:lang w:eastAsia="sk-SK"/>
              </w:rPr>
              <w:t>DOBA OBRATU ZÁSOB (z tržieb )</w:t>
            </w:r>
          </w:p>
        </w:tc>
        <w:tc>
          <w:tcPr>
            <w:tcW w:w="1409" w:type="dxa"/>
            <w:tcBorders>
              <w:top w:val="double" w:sz="6" w:space="0" w:color="auto"/>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39</w:t>
            </w:r>
          </w:p>
        </w:tc>
        <w:tc>
          <w:tcPr>
            <w:tcW w:w="1276" w:type="dxa"/>
            <w:tcBorders>
              <w:top w:val="double" w:sz="6" w:space="0" w:color="auto"/>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45</w:t>
            </w:r>
          </w:p>
        </w:tc>
        <w:tc>
          <w:tcPr>
            <w:tcW w:w="1275" w:type="dxa"/>
            <w:tcBorders>
              <w:top w:val="double" w:sz="6" w:space="0" w:color="auto"/>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48</w:t>
            </w:r>
          </w:p>
        </w:tc>
      </w:tr>
      <w:tr w:rsidR="00FB38C8" w:rsidRPr="00FB38C8" w:rsidTr="00063E7B">
        <w:trPr>
          <w:trHeight w:val="300"/>
        </w:trPr>
        <w:tc>
          <w:tcPr>
            <w:tcW w:w="4560"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FB38C8" w:rsidRPr="00FB38C8" w:rsidRDefault="00FB38C8" w:rsidP="00FB38C8">
            <w:pPr>
              <w:ind w:left="0" w:firstLine="0"/>
              <w:rPr>
                <w:rFonts w:eastAsia="Times New Roman" w:cs="Calibri"/>
                <w:color w:val="000000"/>
                <w:lang w:eastAsia="sk-SK"/>
              </w:rPr>
            </w:pPr>
            <w:r w:rsidRPr="00FB38C8">
              <w:rPr>
                <w:rFonts w:eastAsia="Times New Roman" w:cs="Calibri"/>
                <w:color w:val="000000"/>
                <w:lang w:eastAsia="sk-SK"/>
              </w:rPr>
              <w:t>DOBA OBRATU KRÁTKODOBÝCH POHĽADÁVOK</w:t>
            </w:r>
          </w:p>
        </w:tc>
        <w:tc>
          <w:tcPr>
            <w:tcW w:w="1409" w:type="dxa"/>
            <w:tcBorders>
              <w:top w:val="nil"/>
              <w:left w:val="single" w:sz="4" w:space="0" w:color="auto"/>
              <w:bottom w:val="nil"/>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112</w:t>
            </w:r>
          </w:p>
        </w:tc>
        <w:tc>
          <w:tcPr>
            <w:tcW w:w="1276" w:type="dxa"/>
            <w:tcBorders>
              <w:top w:val="nil"/>
              <w:left w:val="single" w:sz="4" w:space="0" w:color="auto"/>
              <w:bottom w:val="nil"/>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133</w:t>
            </w:r>
          </w:p>
        </w:tc>
        <w:tc>
          <w:tcPr>
            <w:tcW w:w="1275" w:type="dxa"/>
            <w:tcBorders>
              <w:top w:val="nil"/>
              <w:left w:val="single" w:sz="4" w:space="0" w:color="auto"/>
              <w:bottom w:val="nil"/>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146</w:t>
            </w:r>
          </w:p>
        </w:tc>
      </w:tr>
      <w:tr w:rsidR="00FB38C8" w:rsidRPr="00FB38C8" w:rsidTr="00063E7B">
        <w:trPr>
          <w:trHeight w:val="300"/>
        </w:trPr>
        <w:tc>
          <w:tcPr>
            <w:tcW w:w="4560"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FB38C8" w:rsidRPr="00FB38C8" w:rsidRDefault="00FB38C8" w:rsidP="00FB38C8">
            <w:pPr>
              <w:ind w:left="0" w:firstLine="0"/>
              <w:rPr>
                <w:rFonts w:eastAsia="Times New Roman" w:cs="Calibri"/>
                <w:color w:val="000000"/>
                <w:lang w:eastAsia="sk-SK"/>
              </w:rPr>
            </w:pPr>
            <w:r w:rsidRPr="00FB38C8">
              <w:rPr>
                <w:rFonts w:eastAsia="Times New Roman" w:cs="Calibri"/>
                <w:color w:val="000000"/>
                <w:lang w:eastAsia="sk-SK"/>
              </w:rPr>
              <w:t>DOBA SPLATNOSTI KRÁTKODOBÝCH ZÁVӒZKOV</w:t>
            </w:r>
          </w:p>
        </w:tc>
        <w:tc>
          <w:tcPr>
            <w:tcW w:w="1409" w:type="dxa"/>
            <w:tcBorders>
              <w:top w:val="single" w:sz="4" w:space="0" w:color="auto"/>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84</w:t>
            </w:r>
          </w:p>
        </w:tc>
        <w:tc>
          <w:tcPr>
            <w:tcW w:w="1276" w:type="dxa"/>
            <w:tcBorders>
              <w:top w:val="single" w:sz="4" w:space="0" w:color="auto"/>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106</w:t>
            </w:r>
          </w:p>
        </w:tc>
        <w:tc>
          <w:tcPr>
            <w:tcW w:w="1275" w:type="dxa"/>
            <w:tcBorders>
              <w:top w:val="single" w:sz="4" w:space="0" w:color="auto"/>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125</w:t>
            </w:r>
          </w:p>
        </w:tc>
      </w:tr>
      <w:tr w:rsidR="00FB38C8" w:rsidRPr="00FB38C8" w:rsidTr="00063E7B">
        <w:trPr>
          <w:trHeight w:val="300"/>
        </w:trPr>
        <w:tc>
          <w:tcPr>
            <w:tcW w:w="4560"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FB38C8" w:rsidRPr="00FB38C8" w:rsidRDefault="00FB38C8" w:rsidP="00FB38C8">
            <w:pPr>
              <w:ind w:left="0" w:firstLine="0"/>
              <w:rPr>
                <w:rFonts w:eastAsia="Times New Roman" w:cs="Calibri"/>
                <w:color w:val="000000"/>
                <w:lang w:eastAsia="sk-SK"/>
              </w:rPr>
            </w:pPr>
            <w:r w:rsidRPr="00FB38C8">
              <w:rPr>
                <w:rFonts w:eastAsia="Times New Roman" w:cs="Calibri"/>
                <w:color w:val="000000"/>
                <w:lang w:eastAsia="sk-SK"/>
              </w:rPr>
              <w:t>DOBA OBRATU AKTÍV</w:t>
            </w:r>
          </w:p>
        </w:tc>
        <w:tc>
          <w:tcPr>
            <w:tcW w:w="1409" w:type="dxa"/>
            <w:tcBorders>
              <w:top w:val="nil"/>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186</w:t>
            </w:r>
          </w:p>
        </w:tc>
        <w:tc>
          <w:tcPr>
            <w:tcW w:w="1276" w:type="dxa"/>
            <w:tcBorders>
              <w:top w:val="nil"/>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219</w:t>
            </w:r>
          </w:p>
        </w:tc>
        <w:tc>
          <w:tcPr>
            <w:tcW w:w="1275" w:type="dxa"/>
            <w:tcBorders>
              <w:top w:val="nil"/>
              <w:left w:val="single" w:sz="4" w:space="0" w:color="auto"/>
              <w:bottom w:val="single" w:sz="4" w:space="0" w:color="auto"/>
              <w:right w:val="nil"/>
            </w:tcBorders>
            <w:shd w:val="clear" w:color="auto" w:fill="auto"/>
            <w:noWrap/>
            <w:vAlign w:val="bottom"/>
            <w:hideMark/>
          </w:tcPr>
          <w:p w:rsidR="00FB38C8" w:rsidRPr="00FB38C8" w:rsidRDefault="00FB38C8" w:rsidP="00FB38C8">
            <w:pPr>
              <w:ind w:left="0" w:firstLine="0"/>
              <w:jc w:val="right"/>
              <w:rPr>
                <w:rFonts w:eastAsia="Times New Roman" w:cs="Calibri"/>
                <w:color w:val="000000"/>
                <w:lang w:eastAsia="sk-SK"/>
              </w:rPr>
            </w:pPr>
            <w:r w:rsidRPr="00FB38C8">
              <w:rPr>
                <w:rFonts w:eastAsia="Times New Roman" w:cs="Calibri"/>
                <w:color w:val="000000"/>
                <w:lang w:eastAsia="sk-SK"/>
              </w:rPr>
              <w:t>228</w:t>
            </w:r>
          </w:p>
        </w:tc>
      </w:tr>
    </w:tbl>
    <w:p w:rsidR="00063E7B" w:rsidRDefault="00063E7B" w:rsidP="00063E7B">
      <w:pPr>
        <w:ind w:left="0" w:firstLine="0"/>
        <w:jc w:val="both"/>
        <w:rPr>
          <w:rFonts w:ascii="Verdana" w:hAnsi="Verdana" w:cs="Arial"/>
        </w:rPr>
      </w:pPr>
    </w:p>
    <w:p w:rsidR="00063E7B" w:rsidRPr="00B20BF4" w:rsidRDefault="00063E7B" w:rsidP="00063E7B">
      <w:pPr>
        <w:ind w:left="0" w:firstLine="0"/>
        <w:jc w:val="both"/>
        <w:rPr>
          <w:rFonts w:ascii="Verdana" w:hAnsi="Verdana" w:cs="Arial"/>
        </w:rPr>
      </w:pPr>
      <w:r w:rsidRPr="00B20BF4">
        <w:rPr>
          <w:rFonts w:ascii="Verdana" w:hAnsi="Verdana" w:cs="Arial"/>
        </w:rPr>
        <w:t xml:space="preserve"> Doba obratu zásob je jedným z najpoužívanejších ukazovateľov aktivity spoločnosti. </w:t>
      </w:r>
      <w:r>
        <w:rPr>
          <w:rFonts w:ascii="Verdana" w:hAnsi="Verdana" w:cs="Arial"/>
        </w:rPr>
        <w:t xml:space="preserve">Zjednodušene môžeme povedať, že doba obratu vypovedá o tom, koľko dní leží tovar na sklade. Všeobecne platí, že kratšia doba je pre podnikateľa výhodnejšia. </w:t>
      </w:r>
      <w:r w:rsidRPr="00B20BF4">
        <w:rPr>
          <w:rFonts w:ascii="Verdana" w:hAnsi="Verdana" w:cs="Arial"/>
        </w:rPr>
        <w:t>V</w:t>
      </w:r>
      <w:r>
        <w:rPr>
          <w:rFonts w:ascii="Verdana" w:hAnsi="Verdana" w:cs="Arial"/>
        </w:rPr>
        <w:t xml:space="preserve"> roku 2019 </w:t>
      </w:r>
      <w:r w:rsidRPr="00B20BF4">
        <w:rPr>
          <w:rFonts w:ascii="Verdana" w:hAnsi="Verdana" w:cs="Arial"/>
        </w:rPr>
        <w:t xml:space="preserve"> hodnot</w:t>
      </w:r>
      <w:r>
        <w:rPr>
          <w:rFonts w:ascii="Verdana" w:hAnsi="Verdana" w:cs="Arial"/>
        </w:rPr>
        <w:t>a opätovne  mierne klesla</w:t>
      </w:r>
      <w:r w:rsidRPr="00B20BF4">
        <w:rPr>
          <w:rFonts w:ascii="Verdana" w:hAnsi="Verdana" w:cs="Arial"/>
        </w:rPr>
        <w:t xml:space="preserve">, čo sa dá hodnotiť pozitívne, nakoľko optimálna hodnota je do 60 dní. Na zvýšenie obratu zásob je potrebné prehodnotiť stav štruktúry tovaru na sklade. </w:t>
      </w:r>
    </w:p>
    <w:p w:rsidR="00EF50AA" w:rsidRDefault="00063E7B" w:rsidP="00063E7B">
      <w:pPr>
        <w:ind w:left="0" w:firstLine="0"/>
        <w:jc w:val="both"/>
        <w:rPr>
          <w:rFonts w:ascii="Verdana" w:hAnsi="Verdana" w:cs="Arial"/>
        </w:rPr>
      </w:pPr>
      <w:r w:rsidRPr="00B20BF4">
        <w:rPr>
          <w:rFonts w:ascii="Verdana" w:hAnsi="Verdana" w:cs="Arial"/>
        </w:rPr>
        <w:t xml:space="preserve">Doba obratu krátkodobých pohľadávok </w:t>
      </w:r>
      <w:r>
        <w:rPr>
          <w:rFonts w:ascii="Verdana" w:hAnsi="Verdana" w:cs="Arial"/>
        </w:rPr>
        <w:t xml:space="preserve">vyjadruje dobu splatenia pohľadávok v dňoch. V sledovanom roku doba obratu pohľadávok klesla, čo kopíruje dobu splatnosti faktúr, </w:t>
      </w:r>
      <w:r>
        <w:rPr>
          <w:rFonts w:ascii="Verdana" w:hAnsi="Verdana" w:cs="Arial"/>
        </w:rPr>
        <w:lastRenderedPageBreak/>
        <w:t xml:space="preserve">ktorá </w:t>
      </w:r>
      <w:r w:rsidR="00EF50AA">
        <w:rPr>
          <w:rFonts w:ascii="Verdana" w:hAnsi="Verdana" w:cs="Arial"/>
        </w:rPr>
        <w:t xml:space="preserve">sa skrátila, </w:t>
      </w:r>
      <w:r>
        <w:rPr>
          <w:rFonts w:ascii="Verdana" w:hAnsi="Verdana" w:cs="Arial"/>
        </w:rPr>
        <w:t>po minuloročnom oddlžení štátnych zdravotníckych zariadení</w:t>
      </w:r>
      <w:r w:rsidR="00EF50AA">
        <w:rPr>
          <w:rFonts w:ascii="Verdana" w:hAnsi="Verdana" w:cs="Arial"/>
        </w:rPr>
        <w:t>, (uhradené boli faktúry so splatnosťou v roku 2016 a v roku 2017)</w:t>
      </w:r>
      <w:r>
        <w:rPr>
          <w:rFonts w:ascii="Verdana" w:hAnsi="Verdana" w:cs="Arial"/>
        </w:rPr>
        <w:t xml:space="preserve">. . </w:t>
      </w:r>
    </w:p>
    <w:p w:rsidR="00063E7B" w:rsidRPr="00B20BF4" w:rsidRDefault="00063E7B" w:rsidP="00063E7B">
      <w:pPr>
        <w:ind w:left="0" w:firstLine="0"/>
        <w:jc w:val="both"/>
        <w:rPr>
          <w:rFonts w:ascii="Verdana" w:hAnsi="Verdana" w:cs="Arial"/>
        </w:rPr>
      </w:pPr>
      <w:r w:rsidRPr="00B20BF4">
        <w:rPr>
          <w:rFonts w:ascii="Verdana" w:hAnsi="Verdana" w:cs="Arial"/>
        </w:rPr>
        <w:t xml:space="preserve">Doba splatnosti krátkodobých záväzkov </w:t>
      </w:r>
      <w:r>
        <w:rPr>
          <w:rFonts w:ascii="Verdana" w:hAnsi="Verdana" w:cs="Arial"/>
        </w:rPr>
        <w:t>v</w:t>
      </w:r>
      <w:r w:rsidR="00EF50AA">
        <w:rPr>
          <w:rFonts w:ascii="Verdana" w:hAnsi="Verdana" w:cs="Arial"/>
        </w:rPr>
        <w:t xml:space="preserve"> od roku 2017 </w:t>
      </w:r>
      <w:r w:rsidRPr="00B20BF4">
        <w:rPr>
          <w:rFonts w:ascii="Verdana" w:hAnsi="Verdana" w:cs="Arial"/>
        </w:rPr>
        <w:t xml:space="preserve"> </w:t>
      </w:r>
      <w:r>
        <w:rPr>
          <w:rFonts w:ascii="Verdana" w:hAnsi="Verdana" w:cs="Arial"/>
        </w:rPr>
        <w:t>kles</w:t>
      </w:r>
      <w:r w:rsidR="00EF50AA">
        <w:rPr>
          <w:rFonts w:ascii="Verdana" w:hAnsi="Verdana" w:cs="Arial"/>
        </w:rPr>
        <w:t xml:space="preserve">á medziročne </w:t>
      </w:r>
      <w:r>
        <w:rPr>
          <w:rFonts w:ascii="Verdana" w:hAnsi="Verdana" w:cs="Arial"/>
        </w:rPr>
        <w:t xml:space="preserve"> </w:t>
      </w:r>
      <w:r w:rsidR="00EF50AA">
        <w:rPr>
          <w:rFonts w:ascii="Verdana" w:hAnsi="Verdana" w:cs="Arial"/>
        </w:rPr>
        <w:t>takmer o 20 dní.</w:t>
      </w:r>
      <w:r>
        <w:rPr>
          <w:rFonts w:ascii="Verdana" w:hAnsi="Verdana" w:cs="Arial"/>
        </w:rPr>
        <w:t xml:space="preserve"> Vysoká hodnota môže signalizovať problémy v likvidite, ale v skutočnosti spoločnosť je schopná uhrádzať svoje záväzky v dobe splatnosti. </w:t>
      </w:r>
    </w:p>
    <w:p w:rsidR="00FB38C8" w:rsidRDefault="00063E7B" w:rsidP="00063E7B">
      <w:pPr>
        <w:ind w:left="0" w:firstLine="0"/>
        <w:jc w:val="both"/>
        <w:rPr>
          <w:rFonts w:ascii="Verdana" w:hAnsi="Verdana" w:cs="Arial"/>
        </w:rPr>
      </w:pPr>
      <w:r w:rsidRPr="00063E7B">
        <w:rPr>
          <w:rFonts w:ascii="Verdana" w:hAnsi="Verdana" w:cs="Arial"/>
        </w:rPr>
        <w:t>Doba obratu</w:t>
      </w:r>
      <w:r w:rsidR="00EF50AA">
        <w:rPr>
          <w:rFonts w:ascii="Verdana" w:hAnsi="Verdana" w:cs="Arial"/>
        </w:rPr>
        <w:t xml:space="preserve"> celkových</w:t>
      </w:r>
      <w:r w:rsidRPr="00063E7B">
        <w:rPr>
          <w:rFonts w:ascii="Verdana" w:hAnsi="Verdana" w:cs="Arial"/>
        </w:rPr>
        <w:t xml:space="preserve"> aktív oproti roku 201</w:t>
      </w:r>
      <w:r w:rsidR="00EF50AA">
        <w:rPr>
          <w:rFonts w:ascii="Verdana" w:hAnsi="Verdana" w:cs="Arial"/>
        </w:rPr>
        <w:t>8</w:t>
      </w:r>
      <w:r w:rsidRPr="00063E7B">
        <w:rPr>
          <w:rFonts w:ascii="Verdana" w:hAnsi="Verdana" w:cs="Arial"/>
        </w:rPr>
        <w:t xml:space="preserve"> klesla. Tento ukazovateľ nám vypovedá </w:t>
      </w:r>
      <w:r w:rsidR="00EF50AA">
        <w:rPr>
          <w:rFonts w:ascii="Verdana" w:hAnsi="Verdana" w:cs="Arial"/>
        </w:rPr>
        <w:t>koľkokrát sa všetky aktíva podniku otočia za rok. Pri 186 dňoch obratu aktív je to. dvakrát za rok</w:t>
      </w:r>
    </w:p>
    <w:p w:rsidR="00EF50AA" w:rsidRDefault="00EF50AA" w:rsidP="00063E7B">
      <w:pPr>
        <w:ind w:left="0" w:firstLine="0"/>
        <w:jc w:val="both"/>
        <w:rPr>
          <w:rFonts w:ascii="Verdana" w:hAnsi="Verdana" w:cs="Arial"/>
        </w:rPr>
      </w:pPr>
    </w:p>
    <w:p w:rsidR="00EF50AA" w:rsidRPr="00063E7B" w:rsidRDefault="00EF50AA" w:rsidP="00063E7B">
      <w:pPr>
        <w:ind w:left="0" w:firstLine="0"/>
        <w:jc w:val="both"/>
        <w:rPr>
          <w:rFonts w:ascii="Verdana" w:hAnsi="Verdana" w:cs="Arial"/>
        </w:rPr>
      </w:pPr>
    </w:p>
    <w:p w:rsidR="001E7235" w:rsidRDefault="00EF50AA" w:rsidP="001E7235">
      <w:pPr>
        <w:spacing w:after="120"/>
        <w:ind w:left="360" w:firstLine="0"/>
        <w:jc w:val="both"/>
        <w:rPr>
          <w:rStyle w:val="ra"/>
          <w:rFonts w:ascii="Verdana" w:hAnsi="Verdana"/>
        </w:rPr>
      </w:pPr>
      <w:r>
        <w:rPr>
          <w:noProof/>
          <w:lang w:eastAsia="sk-SK"/>
        </w:rPr>
        <w:drawing>
          <wp:inline distT="0" distB="0" distL="0" distR="0" wp14:anchorId="0D8FF281" wp14:editId="328FEEC7">
            <wp:extent cx="5448300" cy="2743200"/>
            <wp:effectExtent l="0" t="0" r="19050" b="1905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41A48" w:rsidRDefault="00541A48" w:rsidP="00541A48">
      <w:pPr>
        <w:pStyle w:val="Odsekzoznamu"/>
        <w:rPr>
          <w:rStyle w:val="ra"/>
          <w:rFonts w:ascii="Verdana" w:hAnsi="Verdana"/>
        </w:rPr>
      </w:pPr>
    </w:p>
    <w:p w:rsidR="00F0757C" w:rsidRDefault="00F0757C" w:rsidP="00541A48">
      <w:pPr>
        <w:pStyle w:val="Odsekzoznamu"/>
        <w:rPr>
          <w:rStyle w:val="ra"/>
          <w:rFonts w:ascii="Verdana" w:hAnsi="Verdana"/>
        </w:rPr>
      </w:pPr>
    </w:p>
    <w:p w:rsidR="00541A48" w:rsidRPr="00541A48" w:rsidRDefault="00060B3D" w:rsidP="00060B3D">
      <w:pPr>
        <w:spacing w:after="120"/>
        <w:ind w:left="0" w:firstLine="0"/>
        <w:jc w:val="both"/>
        <w:rPr>
          <w:rStyle w:val="ra"/>
          <w:rFonts w:ascii="Verdana" w:hAnsi="Verdana"/>
          <w:b/>
        </w:rPr>
      </w:pPr>
      <w:r>
        <w:rPr>
          <w:rStyle w:val="ra"/>
          <w:rFonts w:ascii="Verdana" w:hAnsi="Verdana"/>
          <w:b/>
        </w:rPr>
        <w:t>5.5.</w:t>
      </w:r>
      <w:r w:rsidR="00541A48" w:rsidRPr="00541A48">
        <w:rPr>
          <w:rStyle w:val="ra"/>
          <w:rFonts w:ascii="Verdana" w:hAnsi="Verdana"/>
          <w:b/>
        </w:rPr>
        <w:t>Ukazovatele rentability</w:t>
      </w:r>
    </w:p>
    <w:p w:rsidR="001E1B2F" w:rsidRPr="001E1B2F" w:rsidRDefault="001E1B2F" w:rsidP="001E1B2F">
      <w:pPr>
        <w:ind w:left="0" w:firstLine="0"/>
        <w:jc w:val="both"/>
        <w:rPr>
          <w:rFonts w:ascii="Verdana" w:hAnsi="Verdana" w:cs="Arial"/>
          <w:b/>
        </w:rPr>
      </w:pPr>
      <w:r>
        <w:rPr>
          <w:rStyle w:val="ra"/>
          <w:rFonts w:ascii="Verdana" w:hAnsi="Verdana"/>
        </w:rPr>
        <w:t>Ukazovatele rentability vyjadrujú výnosnosť vložených prostriedkov do podnikania.</w:t>
      </w:r>
      <w:r w:rsidRPr="001E1B2F">
        <w:rPr>
          <w:rFonts w:ascii="Verdana" w:hAnsi="Verdana" w:cs="Arial"/>
          <w:sz w:val="24"/>
          <w:szCs w:val="24"/>
        </w:rPr>
        <w:t xml:space="preserve"> </w:t>
      </w:r>
      <w:r>
        <w:rPr>
          <w:rFonts w:ascii="Verdana" w:hAnsi="Verdana" w:cs="Arial"/>
        </w:rPr>
        <w:t>Hodnotia tak celkovú efektivitu podniku.</w:t>
      </w:r>
      <w:r w:rsidRPr="001E1B2F">
        <w:rPr>
          <w:rFonts w:ascii="Verdana" w:hAnsi="Verdana" w:cs="Arial"/>
        </w:rPr>
        <w:t>. Do ich úrovne a vývoja sa premieta úroveň  vývoja likvidity, aktivity a zadlženosti. Ukazovatele rentability ich syntetizujú. Čím je výsledok rentability vyšší, tým spoločnosť lepšie hospodári, je úspešnejšia. Ukazovatele sú závislé od dosiahnutého čistého zisku v roku.</w:t>
      </w:r>
    </w:p>
    <w:p w:rsidR="00F0757C" w:rsidRDefault="00F0757C" w:rsidP="00F0757C">
      <w:pPr>
        <w:ind w:left="0" w:firstLine="0"/>
      </w:pPr>
    </w:p>
    <w:p w:rsidR="00AD498E" w:rsidRDefault="00AD498E" w:rsidP="00F0757C">
      <w:pPr>
        <w:ind w:left="0" w:firstLine="0"/>
      </w:pPr>
      <w:r>
        <w:t>Tabuľka: Vývoj ukazovateľov rentability v rokoch 2017 – 2019</w:t>
      </w:r>
    </w:p>
    <w:p w:rsidR="00F0757C" w:rsidRDefault="00F0757C" w:rsidP="00AD498E">
      <w:pPr>
        <w:pStyle w:val="Odsekzoznamu"/>
        <w:ind w:left="360" w:firstLine="0"/>
      </w:pPr>
    </w:p>
    <w:tbl>
      <w:tblPr>
        <w:tblW w:w="7953" w:type="dxa"/>
        <w:tblInd w:w="55" w:type="dxa"/>
        <w:tblCellMar>
          <w:left w:w="70" w:type="dxa"/>
          <w:right w:w="70" w:type="dxa"/>
        </w:tblCellMar>
        <w:tblLook w:val="04A0" w:firstRow="1" w:lastRow="0" w:firstColumn="1" w:lastColumn="0" w:noHBand="0" w:noVBand="1"/>
      </w:tblPr>
      <w:tblGrid>
        <w:gridCol w:w="4440"/>
        <w:gridCol w:w="1245"/>
        <w:gridCol w:w="1134"/>
        <w:gridCol w:w="1134"/>
      </w:tblGrid>
      <w:tr w:rsidR="00AD498E" w:rsidRPr="00AD498E" w:rsidTr="00AD498E">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98E" w:rsidRPr="00AD498E" w:rsidRDefault="00AD498E" w:rsidP="00AD498E">
            <w:pPr>
              <w:ind w:left="0" w:firstLine="0"/>
              <w:rPr>
                <w:rFonts w:eastAsia="Times New Roman" w:cs="Calibri"/>
                <w:b/>
                <w:bCs/>
                <w:color w:val="000000"/>
                <w:lang w:eastAsia="sk-SK"/>
              </w:rPr>
            </w:pPr>
            <w:r w:rsidRPr="00AD498E">
              <w:rPr>
                <w:rFonts w:eastAsia="Times New Roman" w:cs="Calibri"/>
                <w:b/>
                <w:bCs/>
                <w:color w:val="000000"/>
                <w:lang w:eastAsia="sk-SK"/>
              </w:rPr>
              <w:t>UKAZOVATEĽ</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center"/>
              <w:rPr>
                <w:rFonts w:eastAsia="Times New Roman" w:cs="Calibri"/>
                <w:b/>
                <w:bCs/>
                <w:color w:val="000000"/>
                <w:lang w:eastAsia="sk-SK"/>
              </w:rPr>
            </w:pPr>
            <w:r w:rsidRPr="00AD498E">
              <w:rPr>
                <w:rFonts w:eastAsia="Times New Roman" w:cs="Calibri"/>
                <w:b/>
                <w:bCs/>
                <w:color w:val="000000"/>
                <w:lang w:eastAsia="sk-SK"/>
              </w:rPr>
              <w:t>ROK 2019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center"/>
              <w:rPr>
                <w:rFonts w:eastAsia="Times New Roman" w:cs="Calibri"/>
                <w:b/>
                <w:bCs/>
                <w:color w:val="000000"/>
                <w:lang w:eastAsia="sk-SK"/>
              </w:rPr>
            </w:pPr>
            <w:r w:rsidRPr="00AD498E">
              <w:rPr>
                <w:rFonts w:eastAsia="Times New Roman" w:cs="Calibri"/>
                <w:b/>
                <w:bCs/>
                <w:color w:val="000000"/>
                <w:lang w:eastAsia="sk-SK"/>
              </w:rPr>
              <w:t>ROK 2018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center"/>
              <w:rPr>
                <w:rFonts w:eastAsia="Times New Roman" w:cs="Calibri"/>
                <w:b/>
                <w:bCs/>
                <w:color w:val="000000"/>
                <w:lang w:eastAsia="sk-SK"/>
              </w:rPr>
            </w:pPr>
            <w:r w:rsidRPr="00AD498E">
              <w:rPr>
                <w:rFonts w:eastAsia="Times New Roman" w:cs="Calibri"/>
                <w:b/>
                <w:bCs/>
                <w:color w:val="000000"/>
                <w:lang w:eastAsia="sk-SK"/>
              </w:rPr>
              <w:t>ROK 2017</w:t>
            </w:r>
          </w:p>
        </w:tc>
      </w:tr>
      <w:tr w:rsidR="00AD498E" w:rsidRPr="00AD498E" w:rsidTr="00AD498E">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rsidR="00AD498E" w:rsidRPr="00AD498E" w:rsidRDefault="00AD498E" w:rsidP="00AD498E">
            <w:pPr>
              <w:ind w:left="0" w:firstLine="0"/>
              <w:rPr>
                <w:rFonts w:eastAsia="Times New Roman" w:cs="Calibri"/>
                <w:color w:val="000000"/>
                <w:lang w:eastAsia="sk-SK"/>
              </w:rPr>
            </w:pPr>
            <w:r w:rsidRPr="00AD498E">
              <w:rPr>
                <w:rFonts w:eastAsia="Times New Roman" w:cs="Calibri"/>
                <w:color w:val="000000"/>
                <w:lang w:eastAsia="sk-SK"/>
              </w:rPr>
              <w:t>RENTABILITA CELKOVÉHO KAPITÁLU   ROA</w:t>
            </w:r>
          </w:p>
        </w:tc>
        <w:tc>
          <w:tcPr>
            <w:tcW w:w="1245"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1,32%</w:t>
            </w:r>
          </w:p>
        </w:tc>
        <w:tc>
          <w:tcPr>
            <w:tcW w:w="1134"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2,82%</w:t>
            </w:r>
          </w:p>
        </w:tc>
        <w:tc>
          <w:tcPr>
            <w:tcW w:w="1134"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1,61%</w:t>
            </w:r>
          </w:p>
        </w:tc>
      </w:tr>
      <w:tr w:rsidR="00AD498E" w:rsidRPr="00AD498E" w:rsidTr="00AD498E">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rsidR="00AD498E" w:rsidRPr="00AD498E" w:rsidRDefault="00AD498E" w:rsidP="00AD498E">
            <w:pPr>
              <w:ind w:left="0" w:firstLine="0"/>
              <w:rPr>
                <w:rFonts w:eastAsia="Times New Roman" w:cs="Calibri"/>
                <w:color w:val="000000"/>
                <w:lang w:eastAsia="sk-SK"/>
              </w:rPr>
            </w:pPr>
            <w:r>
              <w:rPr>
                <w:rFonts w:eastAsia="Times New Roman" w:cs="Calibri"/>
                <w:color w:val="000000"/>
                <w:lang w:eastAsia="sk-SK"/>
              </w:rPr>
              <w:t xml:space="preserve">RENTABILITA TRŽIEB </w:t>
            </w:r>
            <w:r w:rsidRPr="00AD498E">
              <w:rPr>
                <w:rFonts w:eastAsia="Times New Roman" w:cs="Calibri"/>
                <w:color w:val="000000"/>
                <w:lang w:eastAsia="sk-SK"/>
              </w:rPr>
              <w:t>ROS</w:t>
            </w:r>
          </w:p>
        </w:tc>
        <w:tc>
          <w:tcPr>
            <w:tcW w:w="1245"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0,67%</w:t>
            </w:r>
          </w:p>
        </w:tc>
        <w:tc>
          <w:tcPr>
            <w:tcW w:w="1134"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1,69%</w:t>
            </w:r>
          </w:p>
        </w:tc>
        <w:tc>
          <w:tcPr>
            <w:tcW w:w="1134"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1,00%</w:t>
            </w:r>
          </w:p>
        </w:tc>
      </w:tr>
      <w:tr w:rsidR="00AD498E" w:rsidRPr="00AD498E" w:rsidTr="00AD498E">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rsidR="00AD498E" w:rsidRPr="00AD498E" w:rsidRDefault="00AD498E" w:rsidP="00AD498E">
            <w:pPr>
              <w:ind w:left="0" w:firstLine="0"/>
              <w:rPr>
                <w:rFonts w:eastAsia="Times New Roman" w:cs="Calibri"/>
                <w:color w:val="000000"/>
                <w:lang w:eastAsia="sk-SK"/>
              </w:rPr>
            </w:pPr>
            <w:r w:rsidRPr="00AD498E">
              <w:rPr>
                <w:rFonts w:eastAsia="Times New Roman" w:cs="Calibri"/>
                <w:color w:val="000000"/>
                <w:lang w:eastAsia="sk-SK"/>
              </w:rPr>
              <w:t>RENTABILITA VLASTNÉHO KAPITÁLU   ROE</w:t>
            </w:r>
          </w:p>
        </w:tc>
        <w:tc>
          <w:tcPr>
            <w:tcW w:w="1245"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3,02%</w:t>
            </w:r>
          </w:p>
        </w:tc>
        <w:tc>
          <w:tcPr>
            <w:tcW w:w="1134"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7,13%</w:t>
            </w:r>
          </w:p>
        </w:tc>
        <w:tc>
          <w:tcPr>
            <w:tcW w:w="1134" w:type="dxa"/>
            <w:tcBorders>
              <w:top w:val="nil"/>
              <w:left w:val="nil"/>
              <w:bottom w:val="single" w:sz="4" w:space="0" w:color="auto"/>
              <w:right w:val="single" w:sz="4" w:space="0" w:color="auto"/>
            </w:tcBorders>
            <w:shd w:val="clear" w:color="auto" w:fill="auto"/>
            <w:noWrap/>
            <w:vAlign w:val="bottom"/>
            <w:hideMark/>
          </w:tcPr>
          <w:p w:rsidR="00AD498E" w:rsidRPr="00AD498E" w:rsidRDefault="00AD498E" w:rsidP="00AD498E">
            <w:pPr>
              <w:ind w:left="0" w:firstLine="0"/>
              <w:jc w:val="right"/>
              <w:rPr>
                <w:rFonts w:eastAsia="Times New Roman" w:cs="Calibri"/>
                <w:color w:val="000000"/>
                <w:lang w:eastAsia="sk-SK"/>
              </w:rPr>
            </w:pPr>
            <w:r w:rsidRPr="00AD498E">
              <w:rPr>
                <w:rFonts w:eastAsia="Times New Roman" w:cs="Calibri"/>
                <w:color w:val="000000"/>
                <w:lang w:eastAsia="sk-SK"/>
              </w:rPr>
              <w:t>4,03%</w:t>
            </w:r>
          </w:p>
        </w:tc>
      </w:tr>
    </w:tbl>
    <w:p w:rsidR="00AD498E" w:rsidRDefault="00AD498E" w:rsidP="00F0757C">
      <w:pPr>
        <w:spacing w:after="120"/>
        <w:ind w:left="360" w:firstLine="0"/>
        <w:jc w:val="both"/>
        <w:rPr>
          <w:rStyle w:val="ra"/>
          <w:rFonts w:ascii="Verdana" w:hAnsi="Verdana"/>
        </w:rPr>
      </w:pPr>
    </w:p>
    <w:p w:rsidR="00AD498E" w:rsidRDefault="00AD498E" w:rsidP="00060B3D">
      <w:pPr>
        <w:spacing w:after="120"/>
        <w:ind w:left="0" w:firstLine="0"/>
        <w:jc w:val="both"/>
        <w:rPr>
          <w:rFonts w:ascii="Verdana" w:hAnsi="Verdana"/>
        </w:rPr>
      </w:pPr>
      <w:r w:rsidRPr="00AD498E">
        <w:rPr>
          <w:rFonts w:ascii="Verdana" w:hAnsi="Verdana"/>
        </w:rPr>
        <w:t>Hodnoty všetkých troch ukazovateľov rentability (ROA, ROS, ROE) v sledovanom období pokles</w:t>
      </w:r>
      <w:r>
        <w:rPr>
          <w:rFonts w:ascii="Verdana" w:hAnsi="Verdana"/>
        </w:rPr>
        <w:t>li. Pokles bol spôsobený nízkym ziskom spoločnosti.</w:t>
      </w:r>
    </w:p>
    <w:p w:rsidR="00AD498E" w:rsidRPr="00AD498E" w:rsidRDefault="00AD498E" w:rsidP="00AD498E">
      <w:pPr>
        <w:spacing w:after="120"/>
        <w:ind w:left="0" w:firstLine="0"/>
        <w:jc w:val="both"/>
        <w:rPr>
          <w:rFonts w:ascii="Verdana" w:hAnsi="Verdana"/>
        </w:rPr>
      </w:pPr>
      <w:r w:rsidRPr="00AD498E">
        <w:rPr>
          <w:rFonts w:ascii="Verdana" w:hAnsi="Verdana" w:cs="Arial"/>
        </w:rPr>
        <w:t>Ukazovateľ rentabilita celkového kapitálu (ROA) vyjadruje mieru zhodnotenia aktív spoločnosti financovanými vlastnými alebo cudzími zdrojmi. Vývoj tohto ukazovateľa je nepriaznivý za sledované obdobie. Pre rast tohto ukazovateľa je treba dbať na vyšš</w:t>
      </w:r>
      <w:r w:rsidR="00634F1A">
        <w:rPr>
          <w:rFonts w:ascii="Verdana" w:hAnsi="Verdana" w:cs="Arial"/>
        </w:rPr>
        <w:t>iu ziskovosť</w:t>
      </w:r>
      <w:r w:rsidRPr="00AD498E">
        <w:rPr>
          <w:rFonts w:ascii="Verdana" w:hAnsi="Verdana" w:cs="Arial"/>
        </w:rPr>
        <w:t xml:space="preserve"> jednotlivých obchodných aktivít. </w:t>
      </w:r>
    </w:p>
    <w:p w:rsidR="00AD498E" w:rsidRDefault="00AD498E" w:rsidP="00AD498E">
      <w:pPr>
        <w:ind w:left="0" w:firstLine="0"/>
        <w:jc w:val="both"/>
        <w:rPr>
          <w:rFonts w:ascii="Verdana" w:hAnsi="Verdana" w:cs="Arial"/>
        </w:rPr>
      </w:pPr>
      <w:r w:rsidRPr="00B20BF4">
        <w:rPr>
          <w:rFonts w:ascii="Verdana" w:hAnsi="Verdana" w:cs="Arial"/>
        </w:rPr>
        <w:lastRenderedPageBreak/>
        <w:t>Rentabilita tržieb</w:t>
      </w:r>
      <w:r>
        <w:rPr>
          <w:rFonts w:ascii="Verdana" w:hAnsi="Verdana" w:cs="Arial"/>
        </w:rPr>
        <w:t xml:space="preserve"> (ROS)</w:t>
      </w:r>
      <w:r w:rsidRPr="00B20BF4">
        <w:rPr>
          <w:rFonts w:ascii="Verdana" w:hAnsi="Verdana" w:cs="Arial"/>
        </w:rPr>
        <w:t xml:space="preserve"> v roku 201</w:t>
      </w:r>
      <w:r>
        <w:rPr>
          <w:rFonts w:ascii="Verdana" w:hAnsi="Verdana" w:cs="Arial"/>
        </w:rPr>
        <w:t xml:space="preserve">9 veľmi výrazne klesla. Vyjadruje schopnosť podniku transformovať zásoby na hotové peniaze. </w:t>
      </w:r>
      <w:r w:rsidR="00634F1A">
        <w:rPr>
          <w:rFonts w:ascii="Verdana" w:hAnsi="Verdana" w:cs="Arial"/>
        </w:rPr>
        <w:t xml:space="preserve">Vyjadruje koľko % zisku bude mať podnikateľ z jedného € tržieb. </w:t>
      </w:r>
      <w:r>
        <w:rPr>
          <w:rFonts w:ascii="Verdana" w:hAnsi="Verdana" w:cs="Arial"/>
        </w:rPr>
        <w:t xml:space="preserve">Tento ukazovateľ by sa </w:t>
      </w:r>
      <w:r w:rsidR="00634F1A">
        <w:rPr>
          <w:rFonts w:ascii="Verdana" w:hAnsi="Verdana" w:cs="Arial"/>
        </w:rPr>
        <w:t>mal pohybovať minimálne nad 2%.</w:t>
      </w:r>
    </w:p>
    <w:p w:rsidR="00541A48" w:rsidRDefault="00AD498E" w:rsidP="00AD498E">
      <w:pPr>
        <w:spacing w:after="120"/>
        <w:ind w:left="0" w:firstLine="0"/>
        <w:jc w:val="both"/>
        <w:rPr>
          <w:rFonts w:ascii="Verdana" w:hAnsi="Verdana" w:cs="Arial"/>
        </w:rPr>
      </w:pPr>
      <w:r>
        <w:rPr>
          <w:rFonts w:ascii="Verdana" w:hAnsi="Verdana" w:cs="Arial"/>
        </w:rPr>
        <w:t>Ukazovateľ ROE vyjadruje rentabilitu vlastného kapitálu</w:t>
      </w:r>
      <w:r w:rsidR="00634F1A">
        <w:rPr>
          <w:rFonts w:ascii="Verdana" w:hAnsi="Verdana" w:cs="Arial"/>
        </w:rPr>
        <w:t>, čiže z jedného vloženého € do podnikania získa podnikateľ x% zisku</w:t>
      </w:r>
      <w:r>
        <w:rPr>
          <w:rFonts w:ascii="Verdana" w:hAnsi="Verdana" w:cs="Arial"/>
        </w:rPr>
        <w:t xml:space="preserve"> Ukazovateľ ROE je číselne vyšší ako ROA, čo vypovedá o financovaní podniku s využitím cudzieho aj vlastného kapitálu. </w:t>
      </w:r>
      <w:r w:rsidRPr="00B20BF4">
        <w:rPr>
          <w:rFonts w:ascii="Verdana" w:hAnsi="Verdana" w:cs="Arial"/>
        </w:rPr>
        <w:t>Pri tomto ukazovateli je dôležité pre spoločníkov, aby hodnota bola vyššia ako sú možnosti zhodnotenia finančných prostriedkov na finančnom trhu</w:t>
      </w:r>
    </w:p>
    <w:p w:rsidR="00060B3D" w:rsidRDefault="00060B3D" w:rsidP="00AD498E">
      <w:pPr>
        <w:spacing w:after="120"/>
        <w:ind w:left="0" w:firstLine="0"/>
        <w:jc w:val="both"/>
        <w:rPr>
          <w:rStyle w:val="ra"/>
          <w:rFonts w:ascii="Verdana" w:hAnsi="Verdana"/>
        </w:rPr>
      </w:pPr>
    </w:p>
    <w:p w:rsidR="00541A48" w:rsidRDefault="00634F1A" w:rsidP="00060B3D">
      <w:pPr>
        <w:spacing w:after="120"/>
        <w:ind w:left="360" w:firstLine="0"/>
        <w:jc w:val="both"/>
        <w:rPr>
          <w:rStyle w:val="ra"/>
          <w:rFonts w:ascii="Verdana" w:hAnsi="Verdana"/>
        </w:rPr>
      </w:pPr>
      <w:r>
        <w:rPr>
          <w:noProof/>
          <w:lang w:eastAsia="sk-SK"/>
        </w:rPr>
        <w:drawing>
          <wp:inline distT="0" distB="0" distL="0" distR="0" wp14:anchorId="0787F6BE" wp14:editId="06118808">
            <wp:extent cx="5343525" cy="3124200"/>
            <wp:effectExtent l="0" t="0" r="9525" b="1905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60B3D" w:rsidRDefault="00060B3D" w:rsidP="00F0757C">
      <w:pPr>
        <w:spacing w:after="120"/>
        <w:ind w:left="360" w:firstLine="0"/>
        <w:jc w:val="both"/>
        <w:rPr>
          <w:rStyle w:val="ra"/>
          <w:rFonts w:ascii="Verdana" w:hAnsi="Verdana"/>
        </w:rPr>
      </w:pPr>
    </w:p>
    <w:p w:rsidR="00F0757C" w:rsidRDefault="00F0757C" w:rsidP="00F0757C">
      <w:pPr>
        <w:spacing w:after="120"/>
        <w:ind w:left="360" w:firstLine="0"/>
        <w:jc w:val="both"/>
        <w:rPr>
          <w:rStyle w:val="ra"/>
          <w:rFonts w:ascii="Verdana" w:hAnsi="Verdana"/>
        </w:rPr>
      </w:pPr>
    </w:p>
    <w:p w:rsidR="00060B3D" w:rsidRDefault="00060B3D" w:rsidP="00060B3D">
      <w:pPr>
        <w:spacing w:after="120"/>
        <w:ind w:left="0" w:firstLine="0"/>
        <w:jc w:val="both"/>
        <w:rPr>
          <w:rStyle w:val="ra"/>
          <w:rFonts w:ascii="Verdana" w:hAnsi="Verdana"/>
          <w:b/>
        </w:rPr>
      </w:pPr>
      <w:r w:rsidRPr="00060B3D">
        <w:rPr>
          <w:rStyle w:val="ra"/>
          <w:rFonts w:ascii="Verdana" w:hAnsi="Verdana"/>
          <w:b/>
        </w:rPr>
        <w:t>5.6.</w:t>
      </w:r>
      <w:r w:rsidR="00B127B9" w:rsidRPr="00060B3D">
        <w:rPr>
          <w:rStyle w:val="ra"/>
          <w:rFonts w:ascii="Verdana" w:hAnsi="Verdana"/>
          <w:b/>
        </w:rPr>
        <w:t xml:space="preserve">Hlavní dodávatelia </w:t>
      </w:r>
    </w:p>
    <w:tbl>
      <w:tblPr>
        <w:tblW w:w="7812" w:type="dxa"/>
        <w:tblInd w:w="55" w:type="dxa"/>
        <w:tblCellMar>
          <w:left w:w="70" w:type="dxa"/>
          <w:right w:w="70" w:type="dxa"/>
        </w:tblCellMar>
        <w:tblLook w:val="04A0" w:firstRow="1" w:lastRow="0" w:firstColumn="1" w:lastColumn="0" w:noHBand="0" w:noVBand="1"/>
      </w:tblPr>
      <w:tblGrid>
        <w:gridCol w:w="960"/>
        <w:gridCol w:w="6852"/>
      </w:tblGrid>
      <w:tr w:rsidR="00060B3D" w:rsidRPr="00060B3D" w:rsidTr="00060B3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6852" w:type="dxa"/>
            <w:tcBorders>
              <w:top w:val="single" w:sz="4" w:space="0" w:color="auto"/>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Becton Dickinson International Eastern Europe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Siemens Healthcare Diagnostics GmbH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Ascensia Diabetes Care Holdings AG</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Bio-Rad Europe GmbH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DiaSys Diagnostic System GmbH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APR spol. s r.o.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EUROLyser Diagnostica GmbH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TRIOS, spol. s r.o.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CerTest Biotec SL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10</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CVRx Inc. </w:t>
            </w:r>
          </w:p>
        </w:tc>
      </w:tr>
    </w:tbl>
    <w:p w:rsidR="00060B3D" w:rsidRDefault="00060B3D" w:rsidP="00060B3D">
      <w:pPr>
        <w:spacing w:after="120"/>
        <w:ind w:left="0" w:firstLine="0"/>
        <w:jc w:val="both"/>
        <w:rPr>
          <w:rStyle w:val="ra"/>
          <w:rFonts w:ascii="Verdana" w:hAnsi="Verdana"/>
          <w:b/>
        </w:rPr>
      </w:pPr>
    </w:p>
    <w:p w:rsidR="00F0757C" w:rsidRDefault="00F0757C" w:rsidP="00060B3D">
      <w:pPr>
        <w:spacing w:after="120"/>
        <w:ind w:left="0" w:firstLine="0"/>
        <w:jc w:val="both"/>
        <w:rPr>
          <w:rStyle w:val="ra"/>
          <w:rFonts w:ascii="Verdana" w:hAnsi="Verdana"/>
          <w:b/>
        </w:rPr>
      </w:pPr>
    </w:p>
    <w:p w:rsidR="00F0757C" w:rsidRDefault="00F0757C" w:rsidP="00060B3D">
      <w:pPr>
        <w:spacing w:after="120"/>
        <w:ind w:left="0" w:firstLine="0"/>
        <w:jc w:val="both"/>
        <w:rPr>
          <w:rStyle w:val="ra"/>
          <w:rFonts w:ascii="Verdana" w:hAnsi="Verdana"/>
          <w:b/>
        </w:rPr>
      </w:pPr>
    </w:p>
    <w:p w:rsidR="00F0757C" w:rsidRPr="00060B3D" w:rsidRDefault="00F0757C" w:rsidP="00060B3D">
      <w:pPr>
        <w:spacing w:after="120"/>
        <w:ind w:left="0" w:firstLine="0"/>
        <w:jc w:val="both"/>
        <w:rPr>
          <w:rStyle w:val="ra"/>
          <w:rFonts w:ascii="Verdana" w:hAnsi="Verdana"/>
          <w:b/>
        </w:rPr>
      </w:pPr>
    </w:p>
    <w:p w:rsidR="00B127B9" w:rsidRDefault="00060B3D" w:rsidP="00060B3D">
      <w:pPr>
        <w:spacing w:after="120"/>
        <w:ind w:left="0" w:firstLine="0"/>
        <w:jc w:val="both"/>
        <w:rPr>
          <w:rStyle w:val="ra"/>
          <w:rFonts w:ascii="Verdana" w:hAnsi="Verdana"/>
          <w:b/>
        </w:rPr>
      </w:pPr>
      <w:r w:rsidRPr="00060B3D">
        <w:rPr>
          <w:rStyle w:val="ra"/>
          <w:rFonts w:ascii="Verdana" w:hAnsi="Verdana"/>
          <w:b/>
        </w:rPr>
        <w:lastRenderedPageBreak/>
        <w:t>5.7.H</w:t>
      </w:r>
      <w:r>
        <w:rPr>
          <w:rStyle w:val="ra"/>
          <w:rFonts w:ascii="Verdana" w:hAnsi="Verdana"/>
          <w:b/>
        </w:rPr>
        <w:t xml:space="preserve">lavní odberatelia </w:t>
      </w:r>
    </w:p>
    <w:tbl>
      <w:tblPr>
        <w:tblW w:w="5280" w:type="dxa"/>
        <w:tblInd w:w="55" w:type="dxa"/>
        <w:tblCellMar>
          <w:left w:w="70" w:type="dxa"/>
          <w:right w:w="70" w:type="dxa"/>
        </w:tblCellMar>
        <w:tblLook w:val="04A0" w:firstRow="1" w:lastRow="0" w:firstColumn="1" w:lastColumn="0" w:noHBand="0" w:noVBand="1"/>
      </w:tblPr>
      <w:tblGrid>
        <w:gridCol w:w="960"/>
        <w:gridCol w:w="4320"/>
      </w:tblGrid>
      <w:tr w:rsidR="00060B3D" w:rsidRPr="00060B3D" w:rsidTr="00060B3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Alpha Medical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Medirex Servis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AnalytX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MED-ART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u w:val="single"/>
                <w:lang w:eastAsia="sk-SK"/>
              </w:rPr>
            </w:pPr>
            <w:r w:rsidRPr="00060B3D">
              <w:rPr>
                <w:rFonts w:ascii="Verdana" w:eastAsia="Times New Roman" w:hAnsi="Verdana" w:cs="Calibri"/>
                <w:sz w:val="20"/>
                <w:szCs w:val="20"/>
                <w:u w:val="single"/>
                <w:lang w:eastAsia="sk-SK"/>
              </w:rPr>
              <w:t>FN Skalica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F0757C">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OÚSA B</w:t>
            </w:r>
            <w:r w:rsidR="00F0757C">
              <w:rPr>
                <w:rFonts w:ascii="Verdana" w:eastAsia="Times New Roman" w:hAnsi="Verdana" w:cs="Calibri"/>
                <w:sz w:val="20"/>
                <w:szCs w:val="20"/>
                <w:lang w:eastAsia="sk-SK"/>
              </w:rPr>
              <w:t>ratislava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ADLa s.r.o.</w:t>
            </w:r>
            <w:r w:rsidR="00F0757C">
              <w:rPr>
                <w:rFonts w:ascii="Verdana" w:eastAsia="Times New Roman" w:hAnsi="Verdana" w:cs="Calibri"/>
                <w:sz w:val="20"/>
                <w:szCs w:val="20"/>
                <w:lang w:eastAsia="sk-SK"/>
              </w:rPr>
              <w:t>, Prešov</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UN Bratislava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F0757C">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NÚSCH B</w:t>
            </w:r>
            <w:r w:rsidR="00F0757C">
              <w:rPr>
                <w:rFonts w:ascii="Verdana" w:eastAsia="Times New Roman" w:hAnsi="Verdana" w:cs="Calibri"/>
                <w:sz w:val="20"/>
                <w:szCs w:val="20"/>
                <w:lang w:eastAsia="sk-SK"/>
              </w:rPr>
              <w:t>ratislava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10</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Synlab Slovakia s.r.o.</w:t>
            </w:r>
          </w:p>
        </w:tc>
      </w:tr>
    </w:tbl>
    <w:p w:rsidR="00060B3D" w:rsidRPr="00060B3D" w:rsidRDefault="00060B3D" w:rsidP="00060B3D">
      <w:pPr>
        <w:spacing w:after="120"/>
        <w:ind w:left="0" w:firstLine="0"/>
        <w:jc w:val="both"/>
        <w:rPr>
          <w:rStyle w:val="ra"/>
          <w:rFonts w:ascii="Verdana" w:hAnsi="Verdana"/>
          <w:b/>
        </w:rPr>
      </w:pPr>
    </w:p>
    <w:p w:rsidR="00E5238A" w:rsidRDefault="00060B3D" w:rsidP="00060B3D">
      <w:pPr>
        <w:spacing w:after="120"/>
        <w:ind w:left="0" w:firstLine="0"/>
        <w:jc w:val="both"/>
        <w:rPr>
          <w:rStyle w:val="ra"/>
          <w:rFonts w:ascii="Verdana" w:hAnsi="Verdana"/>
          <w:b/>
        </w:rPr>
      </w:pPr>
      <w:r w:rsidRPr="00060B3D">
        <w:rPr>
          <w:rStyle w:val="ra"/>
          <w:rFonts w:ascii="Verdana" w:hAnsi="Verdana"/>
          <w:b/>
        </w:rPr>
        <w:t>5.</w:t>
      </w:r>
      <w:r w:rsidR="00F0757C">
        <w:rPr>
          <w:rStyle w:val="ra"/>
          <w:rFonts w:ascii="Verdana" w:hAnsi="Verdana"/>
          <w:b/>
        </w:rPr>
        <w:t>8</w:t>
      </w:r>
      <w:r w:rsidRPr="00060B3D">
        <w:rPr>
          <w:rStyle w:val="ra"/>
          <w:rFonts w:ascii="Verdana" w:hAnsi="Verdana"/>
          <w:b/>
        </w:rPr>
        <w:t>.</w:t>
      </w:r>
      <w:r w:rsidR="00D40DC7" w:rsidRPr="00060B3D">
        <w:rPr>
          <w:rStyle w:val="ra"/>
          <w:rFonts w:ascii="Verdana" w:hAnsi="Verdana"/>
          <w:b/>
        </w:rPr>
        <w:t>Prehľad predajných miest mimo sídla spoločnosti</w:t>
      </w:r>
      <w:r w:rsidR="00E5238A" w:rsidRPr="00060B3D">
        <w:rPr>
          <w:rStyle w:val="ra"/>
          <w:rFonts w:ascii="Verdana" w:hAnsi="Verdana"/>
          <w:b/>
        </w:rPr>
        <w:t>.</w:t>
      </w:r>
    </w:p>
    <w:p w:rsidR="00060B3D" w:rsidRPr="00F43003" w:rsidRDefault="00F43003" w:rsidP="00060B3D">
      <w:pPr>
        <w:spacing w:after="120"/>
        <w:ind w:left="0" w:firstLine="0"/>
        <w:jc w:val="both"/>
        <w:rPr>
          <w:rStyle w:val="ra"/>
          <w:rFonts w:ascii="Verdana" w:hAnsi="Verdana"/>
        </w:rPr>
      </w:pPr>
      <w:r w:rsidRPr="00F43003">
        <w:rPr>
          <w:rStyle w:val="ra"/>
          <w:rFonts w:ascii="Verdana" w:hAnsi="Verdana"/>
        </w:rPr>
        <w:t>Spoločnosť nemá iné obchodné miesto okrem p</w:t>
      </w:r>
      <w:r>
        <w:rPr>
          <w:rStyle w:val="ra"/>
          <w:rFonts w:ascii="Verdana" w:hAnsi="Verdana"/>
        </w:rPr>
        <w:t>riestorov na adrese sídla spoloč</w:t>
      </w:r>
      <w:r w:rsidRPr="00F43003">
        <w:rPr>
          <w:rStyle w:val="ra"/>
          <w:rFonts w:ascii="Verdana" w:hAnsi="Verdana"/>
        </w:rPr>
        <w:t>nosti.</w:t>
      </w:r>
    </w:p>
    <w:p w:rsidR="00F43003" w:rsidRDefault="00F43003" w:rsidP="00F43003">
      <w:pPr>
        <w:spacing w:after="120"/>
        <w:ind w:left="0" w:firstLine="0"/>
        <w:jc w:val="both"/>
        <w:rPr>
          <w:rStyle w:val="ra"/>
          <w:rFonts w:ascii="Verdana" w:hAnsi="Verdana"/>
          <w:b/>
        </w:rPr>
      </w:pPr>
    </w:p>
    <w:p w:rsidR="00602D3F" w:rsidRPr="006500A3" w:rsidRDefault="00F0757C" w:rsidP="00F43003">
      <w:pPr>
        <w:spacing w:after="120"/>
        <w:ind w:left="0" w:firstLine="0"/>
        <w:jc w:val="both"/>
        <w:rPr>
          <w:rStyle w:val="ra"/>
          <w:rFonts w:ascii="Verdana" w:hAnsi="Verdana"/>
          <w:b/>
          <w:sz w:val="24"/>
          <w:szCs w:val="24"/>
        </w:rPr>
      </w:pPr>
      <w:r w:rsidRPr="006500A3">
        <w:rPr>
          <w:rStyle w:val="ra"/>
          <w:rFonts w:ascii="Verdana" w:hAnsi="Verdana"/>
          <w:b/>
          <w:sz w:val="24"/>
          <w:szCs w:val="24"/>
        </w:rPr>
        <w:t xml:space="preserve">6. </w:t>
      </w:r>
      <w:r w:rsidR="00D40DC7" w:rsidRPr="006500A3">
        <w:rPr>
          <w:rStyle w:val="ra"/>
          <w:rFonts w:ascii="Verdana" w:hAnsi="Verdana"/>
          <w:b/>
          <w:sz w:val="24"/>
          <w:szCs w:val="24"/>
        </w:rPr>
        <w:t xml:space="preserve">Zoznam </w:t>
      </w:r>
      <w:r w:rsidRPr="006500A3">
        <w:rPr>
          <w:rStyle w:val="ra"/>
          <w:rFonts w:ascii="Verdana" w:hAnsi="Verdana"/>
          <w:b/>
          <w:sz w:val="24"/>
          <w:szCs w:val="24"/>
        </w:rPr>
        <w:t>spoločníkov spoločnosti Bio G spol. s r.o.</w:t>
      </w:r>
    </w:p>
    <w:tbl>
      <w:tblPr>
        <w:tblW w:w="5820" w:type="dxa"/>
        <w:tblInd w:w="55" w:type="dxa"/>
        <w:tblCellMar>
          <w:left w:w="70" w:type="dxa"/>
          <w:right w:w="70" w:type="dxa"/>
        </w:tblCellMar>
        <w:tblLook w:val="04A0" w:firstRow="1" w:lastRow="0" w:firstColumn="1" w:lastColumn="0" w:noHBand="0" w:noVBand="1"/>
      </w:tblPr>
      <w:tblGrid>
        <w:gridCol w:w="4320"/>
        <w:gridCol w:w="1500"/>
      </w:tblGrid>
      <w:tr w:rsidR="00F43003" w:rsidRPr="00F43003" w:rsidTr="00F4300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Meno</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Výška vkladu</w:t>
            </w:r>
          </w:p>
        </w:tc>
      </w:tr>
      <w:tr w:rsidR="00F43003" w:rsidRPr="00F43003" w:rsidTr="00F43003">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F43003" w:rsidRPr="00F43003" w:rsidRDefault="00F43003" w:rsidP="00F43003">
            <w:pPr>
              <w:ind w:left="0" w:firstLine="0"/>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Ing.Mária Bernátová</w:t>
            </w:r>
          </w:p>
        </w:tc>
        <w:tc>
          <w:tcPr>
            <w:tcW w:w="1500" w:type="dxa"/>
            <w:tcBorders>
              <w:top w:val="nil"/>
              <w:left w:val="nil"/>
              <w:bottom w:val="single" w:sz="4" w:space="0" w:color="auto"/>
              <w:right w:val="single" w:sz="4" w:space="0" w:color="auto"/>
            </w:tcBorders>
            <w:shd w:val="clear" w:color="auto" w:fill="auto"/>
            <w:noWrap/>
            <w:vAlign w:val="bottom"/>
            <w:hideMark/>
          </w:tcPr>
          <w:p w:rsidR="00F43003" w:rsidRPr="00F43003" w:rsidRDefault="00F43003" w:rsidP="00F43003">
            <w:pPr>
              <w:ind w:left="0" w:firstLine="0"/>
              <w:jc w:val="right"/>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2 656 €</w:t>
            </w:r>
          </w:p>
        </w:tc>
      </w:tr>
      <w:tr w:rsidR="00F43003" w:rsidRPr="00F43003" w:rsidTr="00F43003">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F43003" w:rsidRPr="00F43003" w:rsidRDefault="00F43003" w:rsidP="00F43003">
            <w:pPr>
              <w:ind w:left="0" w:firstLine="0"/>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Ing.Bedrich Marhofer</w:t>
            </w:r>
          </w:p>
        </w:tc>
        <w:tc>
          <w:tcPr>
            <w:tcW w:w="1500" w:type="dxa"/>
            <w:tcBorders>
              <w:top w:val="nil"/>
              <w:left w:val="nil"/>
              <w:bottom w:val="single" w:sz="4" w:space="0" w:color="auto"/>
              <w:right w:val="single" w:sz="4" w:space="0" w:color="auto"/>
            </w:tcBorders>
            <w:shd w:val="clear" w:color="auto" w:fill="auto"/>
            <w:noWrap/>
            <w:vAlign w:val="bottom"/>
            <w:hideMark/>
          </w:tcPr>
          <w:p w:rsidR="00F43003" w:rsidRPr="00F43003" w:rsidRDefault="00F43003" w:rsidP="00F43003">
            <w:pPr>
              <w:ind w:left="0" w:firstLine="0"/>
              <w:jc w:val="right"/>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2 656 €</w:t>
            </w:r>
          </w:p>
        </w:tc>
      </w:tr>
      <w:tr w:rsidR="00F43003" w:rsidRPr="00F43003" w:rsidTr="00F43003">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F43003" w:rsidRPr="00F43003" w:rsidRDefault="00F43003" w:rsidP="00F43003">
            <w:pPr>
              <w:ind w:left="0" w:firstLine="0"/>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Ing.Dagmar Berkešová</w:t>
            </w:r>
          </w:p>
        </w:tc>
        <w:tc>
          <w:tcPr>
            <w:tcW w:w="1500" w:type="dxa"/>
            <w:tcBorders>
              <w:top w:val="nil"/>
              <w:left w:val="nil"/>
              <w:bottom w:val="single" w:sz="4" w:space="0" w:color="auto"/>
              <w:right w:val="single" w:sz="4" w:space="0" w:color="auto"/>
            </w:tcBorders>
            <w:shd w:val="clear" w:color="auto" w:fill="auto"/>
            <w:noWrap/>
            <w:vAlign w:val="bottom"/>
            <w:hideMark/>
          </w:tcPr>
          <w:p w:rsidR="00F43003" w:rsidRPr="00F43003" w:rsidRDefault="00F43003" w:rsidP="00F43003">
            <w:pPr>
              <w:ind w:left="0" w:firstLine="0"/>
              <w:jc w:val="right"/>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2 656 €</w:t>
            </w:r>
          </w:p>
        </w:tc>
      </w:tr>
    </w:tbl>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r>
        <w:rPr>
          <w:rStyle w:val="ra"/>
          <w:rFonts w:ascii="Verdana" w:hAnsi="Verdana"/>
        </w:rPr>
        <w:t xml:space="preserve">Bratislava </w:t>
      </w:r>
      <w:r w:rsidR="00101081">
        <w:rPr>
          <w:rStyle w:val="ra"/>
          <w:rFonts w:ascii="Verdana" w:hAnsi="Verdana"/>
        </w:rPr>
        <w:t>16.04</w:t>
      </w:r>
      <w:r>
        <w:rPr>
          <w:rStyle w:val="ra"/>
          <w:rFonts w:ascii="Verdana" w:hAnsi="Verdana"/>
        </w:rPr>
        <w:t>.2020</w:t>
      </w:r>
    </w:p>
    <w:p w:rsidR="00F0757C" w:rsidRDefault="00F0757C" w:rsidP="00F0757C">
      <w:pPr>
        <w:ind w:left="0" w:firstLine="0"/>
        <w:jc w:val="both"/>
        <w:rPr>
          <w:rStyle w:val="ra"/>
          <w:rFonts w:ascii="Verdana" w:hAnsi="Verdana"/>
        </w:rPr>
      </w:pPr>
      <w:bookmarkStart w:id="0" w:name="_GoBack"/>
      <w:bookmarkEnd w:id="0"/>
    </w:p>
    <w:p w:rsidR="00F0757C" w:rsidRDefault="00F0757C" w:rsidP="00F0757C">
      <w:pPr>
        <w:ind w:left="0" w:firstLine="0"/>
        <w:jc w:val="both"/>
        <w:rPr>
          <w:rStyle w:val="ra"/>
          <w:rFonts w:ascii="Verdana" w:hAnsi="Verdana"/>
        </w:rPr>
      </w:pPr>
    </w:p>
    <w:p w:rsidR="00F0757C" w:rsidRPr="00D40DC7" w:rsidRDefault="00F0757C" w:rsidP="00F0757C">
      <w:pPr>
        <w:ind w:left="0" w:firstLine="0"/>
        <w:jc w:val="both"/>
        <w:rPr>
          <w:rStyle w:val="ra"/>
          <w:sz w:val="24"/>
          <w:szCs w:val="24"/>
        </w:rPr>
      </w:pPr>
      <w:r>
        <w:rPr>
          <w:rStyle w:val="ra"/>
          <w:rFonts w:ascii="Verdana" w:hAnsi="Verdana"/>
        </w:rPr>
        <w:t>Vypracovala: Ing.Dagmar Berkešová</w:t>
      </w:r>
    </w:p>
    <w:sectPr w:rsidR="00F0757C" w:rsidRPr="00D40DC7" w:rsidSect="00FA4177">
      <w:footerReference w:type="default" r:id="rId16"/>
      <w:headerReference w:type="first" r:id="rId17"/>
      <w:footerReference w:type="first" r:id="rId18"/>
      <w:pgSz w:w="11906" w:h="16838" w:code="9"/>
      <w:pgMar w:top="1440" w:right="1077" w:bottom="1440" w:left="107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2CC" w:rsidRDefault="001642CC" w:rsidP="00080A76">
      <w:r>
        <w:separator/>
      </w:r>
    </w:p>
  </w:endnote>
  <w:endnote w:type="continuationSeparator" w:id="0">
    <w:p w:rsidR="001642CC" w:rsidRDefault="001642CC"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8B3" w:rsidRDefault="007208B3">
    <w:pPr>
      <w:pStyle w:val="Pta"/>
    </w:pPr>
    <w:r>
      <w:fldChar w:fldCharType="begin"/>
    </w:r>
    <w:r>
      <w:instrText xml:space="preserve"> PAGE   \* MERGEFORMAT </w:instrText>
    </w:r>
    <w:r>
      <w:fldChar w:fldCharType="separate"/>
    </w:r>
    <w:r w:rsidR="00101081">
      <w:rPr>
        <w:noProof/>
      </w:rPr>
      <w:t>5</w:t>
    </w:r>
    <w:r>
      <w:fldChar w:fldCharType="end"/>
    </w:r>
  </w:p>
  <w:p w:rsidR="007208B3" w:rsidRDefault="007208B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8B3" w:rsidRDefault="007208B3" w:rsidP="007C7BFA">
    <w:pPr>
      <w:pStyle w:val="Pta"/>
      <w:ind w:left="0" w:firstLine="0"/>
      <w:jc w:val="center"/>
    </w:pPr>
    <w:r>
      <w:t>Bio G spol.s r.o., Elektrárenská 12092, 831 04 Bratislava</w:t>
    </w:r>
  </w:p>
  <w:p w:rsidR="007208B3" w:rsidRDefault="007208B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2CC" w:rsidRDefault="001642CC" w:rsidP="00080A76">
      <w:r>
        <w:separator/>
      </w:r>
    </w:p>
  </w:footnote>
  <w:footnote w:type="continuationSeparator" w:id="0">
    <w:p w:rsidR="001642CC" w:rsidRDefault="001642CC" w:rsidP="00080A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8B3" w:rsidRDefault="007208B3" w:rsidP="008125DB">
    <w:pPr>
      <w:pStyle w:val="Hlavika"/>
      <w:ind w:left="0" w:firstLine="0"/>
    </w:pPr>
    <w:r>
      <w:tab/>
    </w:r>
    <w:r>
      <w:object w:dxaOrig="5399"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59.25pt" o:ole="">
          <v:imagedata r:id="rId1" o:title=""/>
        </v:shape>
        <o:OLEObject Type="Embed" ProgID="MSPhotoEd.3" ShapeID="_x0000_i1025" DrawAspect="Content" ObjectID="_1652075667" r:id="rId2"/>
      </w:object>
    </w:r>
  </w:p>
  <w:p w:rsidR="007208B3" w:rsidRDefault="007208B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991EFC"/>
    <w:multiLevelType w:val="hybridMultilevel"/>
    <w:tmpl w:val="BBB219BA"/>
    <w:lvl w:ilvl="0" w:tplc="6B80A2B6">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nsid w:val="166F5C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D6667F"/>
    <w:multiLevelType w:val="hybridMultilevel"/>
    <w:tmpl w:val="E8E8AB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BD163B5"/>
    <w:multiLevelType w:val="hybridMultilevel"/>
    <w:tmpl w:val="C27EF22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DC34D32"/>
    <w:multiLevelType w:val="hybridMultilevel"/>
    <w:tmpl w:val="62BC512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nsid w:val="4DB719B6"/>
    <w:multiLevelType w:val="hybridMultilevel"/>
    <w:tmpl w:val="73F03F6E"/>
    <w:lvl w:ilvl="0" w:tplc="DF76642C">
      <w:start w:val="1"/>
      <w:numFmt w:val="decimal"/>
      <w:lvlText w:val="%1.)"/>
      <w:lvlJc w:val="left"/>
      <w:pPr>
        <w:tabs>
          <w:tab w:val="num" w:pos="360"/>
        </w:tabs>
        <w:ind w:left="360" w:hanging="360"/>
      </w:pPr>
      <w:rPr>
        <w:rFonts w:hint="default"/>
      </w:rPr>
    </w:lvl>
    <w:lvl w:ilvl="1" w:tplc="E4B80270">
      <w:numFmt w:val="bullet"/>
      <w:lvlText w:val="–"/>
      <w:lvlJc w:val="left"/>
      <w:pPr>
        <w:tabs>
          <w:tab w:val="num" w:pos="1080"/>
        </w:tabs>
        <w:ind w:left="1080" w:hanging="360"/>
      </w:pPr>
      <w:rPr>
        <w:rFonts w:ascii="Times New Roman" w:eastAsia="Times New Roman" w:hAnsi="Times New Roman" w:cs="Times New Roman"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3">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9">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21"/>
  </w:num>
  <w:num w:numId="2">
    <w:abstractNumId w:val="24"/>
  </w:num>
  <w:num w:numId="3">
    <w:abstractNumId w:val="30"/>
  </w:num>
  <w:num w:numId="4">
    <w:abstractNumId w:val="6"/>
  </w:num>
  <w:num w:numId="5">
    <w:abstractNumId w:val="7"/>
  </w:num>
  <w:num w:numId="6">
    <w:abstractNumId w:val="36"/>
  </w:num>
  <w:num w:numId="7">
    <w:abstractNumId w:val="2"/>
  </w:num>
  <w:num w:numId="8">
    <w:abstractNumId w:val="35"/>
  </w:num>
  <w:num w:numId="9">
    <w:abstractNumId w:val="29"/>
  </w:num>
  <w:num w:numId="10">
    <w:abstractNumId w:val="25"/>
  </w:num>
  <w:num w:numId="11">
    <w:abstractNumId w:val="0"/>
  </w:num>
  <w:num w:numId="12">
    <w:abstractNumId w:val="32"/>
  </w:num>
  <w:num w:numId="13">
    <w:abstractNumId w:val="27"/>
  </w:num>
  <w:num w:numId="14">
    <w:abstractNumId w:val="14"/>
  </w:num>
  <w:num w:numId="15">
    <w:abstractNumId w:val="34"/>
  </w:num>
  <w:num w:numId="16">
    <w:abstractNumId w:val="20"/>
  </w:num>
  <w:num w:numId="17">
    <w:abstractNumId w:val="33"/>
  </w:num>
  <w:num w:numId="18">
    <w:abstractNumId w:val="23"/>
  </w:num>
  <w:num w:numId="19">
    <w:abstractNumId w:val="18"/>
  </w:num>
  <w:num w:numId="20">
    <w:abstractNumId w:val="5"/>
  </w:num>
  <w:num w:numId="21">
    <w:abstractNumId w:val="17"/>
  </w:num>
  <w:num w:numId="22">
    <w:abstractNumId w:val="31"/>
  </w:num>
  <w:num w:numId="23">
    <w:abstractNumId w:val="19"/>
  </w:num>
  <w:num w:numId="24">
    <w:abstractNumId w:val="10"/>
  </w:num>
  <w:num w:numId="25">
    <w:abstractNumId w:val="9"/>
  </w:num>
  <w:num w:numId="26">
    <w:abstractNumId w:val="4"/>
  </w:num>
  <w:num w:numId="27">
    <w:abstractNumId w:val="28"/>
  </w:num>
  <w:num w:numId="28">
    <w:abstractNumId w:val="13"/>
  </w:num>
  <w:num w:numId="29">
    <w:abstractNumId w:val="3"/>
  </w:num>
  <w:num w:numId="30">
    <w:abstractNumId w:val="16"/>
  </w:num>
  <w:num w:numId="31">
    <w:abstractNumId w:val="26"/>
  </w:num>
  <w:num w:numId="32">
    <w:abstractNumId w:val="12"/>
  </w:num>
  <w:num w:numId="33">
    <w:abstractNumId w:val="15"/>
  </w:num>
  <w:num w:numId="34">
    <w:abstractNumId w:val="8"/>
  </w:num>
  <w:num w:numId="35">
    <w:abstractNumId w:val="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F01"/>
    <w:rsid w:val="000013D2"/>
    <w:rsid w:val="00004F29"/>
    <w:rsid w:val="00010FA5"/>
    <w:rsid w:val="00012F12"/>
    <w:rsid w:val="000158B2"/>
    <w:rsid w:val="00015B4C"/>
    <w:rsid w:val="00017956"/>
    <w:rsid w:val="00023121"/>
    <w:rsid w:val="00023573"/>
    <w:rsid w:val="00025C8E"/>
    <w:rsid w:val="00035B6C"/>
    <w:rsid w:val="0003605C"/>
    <w:rsid w:val="000419B9"/>
    <w:rsid w:val="00044A82"/>
    <w:rsid w:val="00047EEA"/>
    <w:rsid w:val="00060B3D"/>
    <w:rsid w:val="000618D9"/>
    <w:rsid w:val="00063E7B"/>
    <w:rsid w:val="00065582"/>
    <w:rsid w:val="00071977"/>
    <w:rsid w:val="00072205"/>
    <w:rsid w:val="000737D6"/>
    <w:rsid w:val="00074196"/>
    <w:rsid w:val="000760DF"/>
    <w:rsid w:val="00080A76"/>
    <w:rsid w:val="000869E8"/>
    <w:rsid w:val="000912AD"/>
    <w:rsid w:val="00092AAB"/>
    <w:rsid w:val="00095A7E"/>
    <w:rsid w:val="00096BC7"/>
    <w:rsid w:val="000974C7"/>
    <w:rsid w:val="000A2DBD"/>
    <w:rsid w:val="000A34E4"/>
    <w:rsid w:val="000A4646"/>
    <w:rsid w:val="000A52A2"/>
    <w:rsid w:val="000A555A"/>
    <w:rsid w:val="000B0388"/>
    <w:rsid w:val="000B168D"/>
    <w:rsid w:val="000B31C5"/>
    <w:rsid w:val="000B5CCD"/>
    <w:rsid w:val="000C0081"/>
    <w:rsid w:val="000C51A7"/>
    <w:rsid w:val="000D14CA"/>
    <w:rsid w:val="000D2F45"/>
    <w:rsid w:val="000D67D0"/>
    <w:rsid w:val="000D7BB0"/>
    <w:rsid w:val="000E03BA"/>
    <w:rsid w:val="000E4AF6"/>
    <w:rsid w:val="000E6601"/>
    <w:rsid w:val="000E6ADF"/>
    <w:rsid w:val="000E6F25"/>
    <w:rsid w:val="000E7940"/>
    <w:rsid w:val="000F2935"/>
    <w:rsid w:val="000F37D6"/>
    <w:rsid w:val="000F7D5D"/>
    <w:rsid w:val="0010093E"/>
    <w:rsid w:val="00101081"/>
    <w:rsid w:val="0010241D"/>
    <w:rsid w:val="001025F0"/>
    <w:rsid w:val="00112592"/>
    <w:rsid w:val="0012148F"/>
    <w:rsid w:val="00121783"/>
    <w:rsid w:val="001256E1"/>
    <w:rsid w:val="001263B0"/>
    <w:rsid w:val="00126797"/>
    <w:rsid w:val="0013103B"/>
    <w:rsid w:val="0013243C"/>
    <w:rsid w:val="001324E1"/>
    <w:rsid w:val="00135B1B"/>
    <w:rsid w:val="0014566D"/>
    <w:rsid w:val="00151994"/>
    <w:rsid w:val="00154B54"/>
    <w:rsid w:val="001553F4"/>
    <w:rsid w:val="0015663C"/>
    <w:rsid w:val="001577CF"/>
    <w:rsid w:val="00160EB1"/>
    <w:rsid w:val="00161205"/>
    <w:rsid w:val="001642CC"/>
    <w:rsid w:val="00164484"/>
    <w:rsid w:val="0016475E"/>
    <w:rsid w:val="001649E4"/>
    <w:rsid w:val="00165931"/>
    <w:rsid w:val="00166107"/>
    <w:rsid w:val="00173016"/>
    <w:rsid w:val="0017527C"/>
    <w:rsid w:val="00176296"/>
    <w:rsid w:val="00180F93"/>
    <w:rsid w:val="001966C4"/>
    <w:rsid w:val="001A2E65"/>
    <w:rsid w:val="001A4297"/>
    <w:rsid w:val="001A51A3"/>
    <w:rsid w:val="001B159B"/>
    <w:rsid w:val="001B7FB1"/>
    <w:rsid w:val="001C0F4B"/>
    <w:rsid w:val="001C21B5"/>
    <w:rsid w:val="001D649D"/>
    <w:rsid w:val="001E0446"/>
    <w:rsid w:val="001E08E9"/>
    <w:rsid w:val="001E1013"/>
    <w:rsid w:val="001E1B2F"/>
    <w:rsid w:val="001E3255"/>
    <w:rsid w:val="001E3F3B"/>
    <w:rsid w:val="001E7235"/>
    <w:rsid w:val="001E7EEC"/>
    <w:rsid w:val="001F7155"/>
    <w:rsid w:val="002009CE"/>
    <w:rsid w:val="00201247"/>
    <w:rsid w:val="00201290"/>
    <w:rsid w:val="00201537"/>
    <w:rsid w:val="00203080"/>
    <w:rsid w:val="0020309A"/>
    <w:rsid w:val="00206128"/>
    <w:rsid w:val="00212D8C"/>
    <w:rsid w:val="00213E20"/>
    <w:rsid w:val="00216621"/>
    <w:rsid w:val="002241DA"/>
    <w:rsid w:val="002245EB"/>
    <w:rsid w:val="00226B88"/>
    <w:rsid w:val="0023044D"/>
    <w:rsid w:val="00231707"/>
    <w:rsid w:val="00231F53"/>
    <w:rsid w:val="00234F83"/>
    <w:rsid w:val="00235CE3"/>
    <w:rsid w:val="00240B06"/>
    <w:rsid w:val="00241116"/>
    <w:rsid w:val="00245F1F"/>
    <w:rsid w:val="00251BB1"/>
    <w:rsid w:val="0025382D"/>
    <w:rsid w:val="00256847"/>
    <w:rsid w:val="00257B5E"/>
    <w:rsid w:val="00260F67"/>
    <w:rsid w:val="00261717"/>
    <w:rsid w:val="00262926"/>
    <w:rsid w:val="002640EA"/>
    <w:rsid w:val="0026493E"/>
    <w:rsid w:val="00270D65"/>
    <w:rsid w:val="00270E18"/>
    <w:rsid w:val="002722ED"/>
    <w:rsid w:val="00282639"/>
    <w:rsid w:val="00284C1B"/>
    <w:rsid w:val="00292C9C"/>
    <w:rsid w:val="002A03A2"/>
    <w:rsid w:val="002A3E2A"/>
    <w:rsid w:val="002B07F2"/>
    <w:rsid w:val="002B3A76"/>
    <w:rsid w:val="002B5786"/>
    <w:rsid w:val="002B5FC1"/>
    <w:rsid w:val="002B7EC6"/>
    <w:rsid w:val="002C2F4A"/>
    <w:rsid w:val="002C7C62"/>
    <w:rsid w:val="002D209E"/>
    <w:rsid w:val="002D3E0B"/>
    <w:rsid w:val="002E17BE"/>
    <w:rsid w:val="002E42B8"/>
    <w:rsid w:val="002F0D2D"/>
    <w:rsid w:val="002F2056"/>
    <w:rsid w:val="002F3B5A"/>
    <w:rsid w:val="002F5185"/>
    <w:rsid w:val="00301303"/>
    <w:rsid w:val="00304E1A"/>
    <w:rsid w:val="00307A8B"/>
    <w:rsid w:val="00307C2E"/>
    <w:rsid w:val="00314EC8"/>
    <w:rsid w:val="0031780F"/>
    <w:rsid w:val="0032010F"/>
    <w:rsid w:val="00322F52"/>
    <w:rsid w:val="003238D1"/>
    <w:rsid w:val="003269ED"/>
    <w:rsid w:val="0033022C"/>
    <w:rsid w:val="00335CF5"/>
    <w:rsid w:val="00337693"/>
    <w:rsid w:val="0034691D"/>
    <w:rsid w:val="00357EF5"/>
    <w:rsid w:val="0036063D"/>
    <w:rsid w:val="00360733"/>
    <w:rsid w:val="00360A41"/>
    <w:rsid w:val="003661B6"/>
    <w:rsid w:val="003706FF"/>
    <w:rsid w:val="00371192"/>
    <w:rsid w:val="00374889"/>
    <w:rsid w:val="00375B16"/>
    <w:rsid w:val="00391C10"/>
    <w:rsid w:val="003A122D"/>
    <w:rsid w:val="003A1860"/>
    <w:rsid w:val="003A241A"/>
    <w:rsid w:val="003A2864"/>
    <w:rsid w:val="003A7AB8"/>
    <w:rsid w:val="003C215A"/>
    <w:rsid w:val="003C3D53"/>
    <w:rsid w:val="003C4EB3"/>
    <w:rsid w:val="003C5321"/>
    <w:rsid w:val="003C702F"/>
    <w:rsid w:val="003C7871"/>
    <w:rsid w:val="003D1AB3"/>
    <w:rsid w:val="003D2C0D"/>
    <w:rsid w:val="003D36BE"/>
    <w:rsid w:val="003D54F2"/>
    <w:rsid w:val="003D7E59"/>
    <w:rsid w:val="003E2519"/>
    <w:rsid w:val="003E3C22"/>
    <w:rsid w:val="003E4139"/>
    <w:rsid w:val="003F13A0"/>
    <w:rsid w:val="003F3425"/>
    <w:rsid w:val="003F7EFA"/>
    <w:rsid w:val="00400AA5"/>
    <w:rsid w:val="00407C18"/>
    <w:rsid w:val="004125D7"/>
    <w:rsid w:val="00412AC7"/>
    <w:rsid w:val="00412C5B"/>
    <w:rsid w:val="00412EF4"/>
    <w:rsid w:val="00416254"/>
    <w:rsid w:val="00416C13"/>
    <w:rsid w:val="00423714"/>
    <w:rsid w:val="00426BFA"/>
    <w:rsid w:val="004270F7"/>
    <w:rsid w:val="00430F02"/>
    <w:rsid w:val="0043128F"/>
    <w:rsid w:val="004327DD"/>
    <w:rsid w:val="00433BA7"/>
    <w:rsid w:val="004345CE"/>
    <w:rsid w:val="0043637C"/>
    <w:rsid w:val="00436396"/>
    <w:rsid w:val="00436F03"/>
    <w:rsid w:val="004405D3"/>
    <w:rsid w:val="00441F2D"/>
    <w:rsid w:val="0044217D"/>
    <w:rsid w:val="00444DA3"/>
    <w:rsid w:val="0045185D"/>
    <w:rsid w:val="00451E41"/>
    <w:rsid w:val="00452419"/>
    <w:rsid w:val="00453744"/>
    <w:rsid w:val="00455E9A"/>
    <w:rsid w:val="00457DC7"/>
    <w:rsid w:val="00464D8D"/>
    <w:rsid w:val="00472163"/>
    <w:rsid w:val="00472A2F"/>
    <w:rsid w:val="00473D6F"/>
    <w:rsid w:val="00474744"/>
    <w:rsid w:val="00496937"/>
    <w:rsid w:val="004971A9"/>
    <w:rsid w:val="00497E50"/>
    <w:rsid w:val="004A4279"/>
    <w:rsid w:val="004A5B85"/>
    <w:rsid w:val="004A7B9C"/>
    <w:rsid w:val="004B6BA5"/>
    <w:rsid w:val="004C0D0C"/>
    <w:rsid w:val="004C5AE9"/>
    <w:rsid w:val="004D067E"/>
    <w:rsid w:val="004D1B8C"/>
    <w:rsid w:val="004D23B6"/>
    <w:rsid w:val="004D5341"/>
    <w:rsid w:val="004D7936"/>
    <w:rsid w:val="004E0D56"/>
    <w:rsid w:val="004E53F9"/>
    <w:rsid w:val="004E55A0"/>
    <w:rsid w:val="00500DB7"/>
    <w:rsid w:val="0050189F"/>
    <w:rsid w:val="00504E61"/>
    <w:rsid w:val="005053C8"/>
    <w:rsid w:val="00505DF1"/>
    <w:rsid w:val="00506005"/>
    <w:rsid w:val="00506951"/>
    <w:rsid w:val="005133F9"/>
    <w:rsid w:val="00513D85"/>
    <w:rsid w:val="005144F3"/>
    <w:rsid w:val="00520695"/>
    <w:rsid w:val="00525F43"/>
    <w:rsid w:val="0053169B"/>
    <w:rsid w:val="005347AC"/>
    <w:rsid w:val="00534C28"/>
    <w:rsid w:val="00541A48"/>
    <w:rsid w:val="00542BBF"/>
    <w:rsid w:val="00546E2F"/>
    <w:rsid w:val="005477BA"/>
    <w:rsid w:val="005516E6"/>
    <w:rsid w:val="005531D2"/>
    <w:rsid w:val="005566E2"/>
    <w:rsid w:val="00564E0B"/>
    <w:rsid w:val="0056574E"/>
    <w:rsid w:val="005706EA"/>
    <w:rsid w:val="00571166"/>
    <w:rsid w:val="0057485D"/>
    <w:rsid w:val="00575342"/>
    <w:rsid w:val="005753F3"/>
    <w:rsid w:val="005755EC"/>
    <w:rsid w:val="005758C2"/>
    <w:rsid w:val="00576024"/>
    <w:rsid w:val="00576266"/>
    <w:rsid w:val="005776E2"/>
    <w:rsid w:val="0058315E"/>
    <w:rsid w:val="00584374"/>
    <w:rsid w:val="005845EE"/>
    <w:rsid w:val="005909F7"/>
    <w:rsid w:val="005928EC"/>
    <w:rsid w:val="00593075"/>
    <w:rsid w:val="00593E58"/>
    <w:rsid w:val="005A0EEF"/>
    <w:rsid w:val="005A3A1F"/>
    <w:rsid w:val="005A3D4E"/>
    <w:rsid w:val="005B0394"/>
    <w:rsid w:val="005B15D2"/>
    <w:rsid w:val="005B3735"/>
    <w:rsid w:val="005B3FA3"/>
    <w:rsid w:val="005C6373"/>
    <w:rsid w:val="005C7B91"/>
    <w:rsid w:val="005D0DE3"/>
    <w:rsid w:val="005D1A82"/>
    <w:rsid w:val="005D289F"/>
    <w:rsid w:val="005D5DCD"/>
    <w:rsid w:val="005D7862"/>
    <w:rsid w:val="005E084C"/>
    <w:rsid w:val="005E2637"/>
    <w:rsid w:val="005E28C3"/>
    <w:rsid w:val="005E52B4"/>
    <w:rsid w:val="005E58D5"/>
    <w:rsid w:val="005F550F"/>
    <w:rsid w:val="00600017"/>
    <w:rsid w:val="00601822"/>
    <w:rsid w:val="00602D3F"/>
    <w:rsid w:val="0060571A"/>
    <w:rsid w:val="00605BC6"/>
    <w:rsid w:val="006070B2"/>
    <w:rsid w:val="00610B8E"/>
    <w:rsid w:val="00611645"/>
    <w:rsid w:val="006147B5"/>
    <w:rsid w:val="00615185"/>
    <w:rsid w:val="006158FF"/>
    <w:rsid w:val="00616F9A"/>
    <w:rsid w:val="006232FC"/>
    <w:rsid w:val="00627AF7"/>
    <w:rsid w:val="00630DFC"/>
    <w:rsid w:val="00634BA6"/>
    <w:rsid w:val="00634F1A"/>
    <w:rsid w:val="00640BD2"/>
    <w:rsid w:val="00642E5C"/>
    <w:rsid w:val="00644C49"/>
    <w:rsid w:val="00646B8F"/>
    <w:rsid w:val="006500A3"/>
    <w:rsid w:val="00654392"/>
    <w:rsid w:val="006547D7"/>
    <w:rsid w:val="0065602E"/>
    <w:rsid w:val="006604AD"/>
    <w:rsid w:val="00661223"/>
    <w:rsid w:val="00662F7B"/>
    <w:rsid w:val="00665185"/>
    <w:rsid w:val="0066542E"/>
    <w:rsid w:val="00665C5D"/>
    <w:rsid w:val="00670A03"/>
    <w:rsid w:val="00671ACC"/>
    <w:rsid w:val="00672AA7"/>
    <w:rsid w:val="00672EF8"/>
    <w:rsid w:val="00675153"/>
    <w:rsid w:val="00677788"/>
    <w:rsid w:val="00681DF3"/>
    <w:rsid w:val="006851E5"/>
    <w:rsid w:val="0068741D"/>
    <w:rsid w:val="00692097"/>
    <w:rsid w:val="0069480D"/>
    <w:rsid w:val="00696C14"/>
    <w:rsid w:val="006A25A5"/>
    <w:rsid w:val="006A5F71"/>
    <w:rsid w:val="006B1A93"/>
    <w:rsid w:val="006C2BE9"/>
    <w:rsid w:val="006C69FA"/>
    <w:rsid w:val="006D5098"/>
    <w:rsid w:val="006D5C40"/>
    <w:rsid w:val="006D5F76"/>
    <w:rsid w:val="006E332E"/>
    <w:rsid w:val="006E478C"/>
    <w:rsid w:val="006F02AE"/>
    <w:rsid w:val="006F1D70"/>
    <w:rsid w:val="006F3F4A"/>
    <w:rsid w:val="006F6ECF"/>
    <w:rsid w:val="006F7F8B"/>
    <w:rsid w:val="00700598"/>
    <w:rsid w:val="007039F3"/>
    <w:rsid w:val="00706D3A"/>
    <w:rsid w:val="00711184"/>
    <w:rsid w:val="00712A45"/>
    <w:rsid w:val="007136AC"/>
    <w:rsid w:val="007208B3"/>
    <w:rsid w:val="007346E8"/>
    <w:rsid w:val="0073706A"/>
    <w:rsid w:val="0074123B"/>
    <w:rsid w:val="007439EE"/>
    <w:rsid w:val="007478FD"/>
    <w:rsid w:val="00750433"/>
    <w:rsid w:val="00750CA1"/>
    <w:rsid w:val="00750ECD"/>
    <w:rsid w:val="007516A2"/>
    <w:rsid w:val="00762F6E"/>
    <w:rsid w:val="00763A75"/>
    <w:rsid w:val="007646B9"/>
    <w:rsid w:val="007652FB"/>
    <w:rsid w:val="00773B63"/>
    <w:rsid w:val="00774380"/>
    <w:rsid w:val="00774BF2"/>
    <w:rsid w:val="00777284"/>
    <w:rsid w:val="00777439"/>
    <w:rsid w:val="00784761"/>
    <w:rsid w:val="007851D3"/>
    <w:rsid w:val="007A4F84"/>
    <w:rsid w:val="007A5DEF"/>
    <w:rsid w:val="007A73D0"/>
    <w:rsid w:val="007B3DC4"/>
    <w:rsid w:val="007B428B"/>
    <w:rsid w:val="007B56D0"/>
    <w:rsid w:val="007C0586"/>
    <w:rsid w:val="007C3B28"/>
    <w:rsid w:val="007C7BFA"/>
    <w:rsid w:val="007D0E7D"/>
    <w:rsid w:val="007D2F9D"/>
    <w:rsid w:val="007D3C4D"/>
    <w:rsid w:val="007D406F"/>
    <w:rsid w:val="007D40B3"/>
    <w:rsid w:val="007E3523"/>
    <w:rsid w:val="007E5581"/>
    <w:rsid w:val="007E55A0"/>
    <w:rsid w:val="007E7E32"/>
    <w:rsid w:val="007F19A5"/>
    <w:rsid w:val="007F3098"/>
    <w:rsid w:val="00801304"/>
    <w:rsid w:val="0080218D"/>
    <w:rsid w:val="00805C78"/>
    <w:rsid w:val="00806401"/>
    <w:rsid w:val="0080679C"/>
    <w:rsid w:val="00810B30"/>
    <w:rsid w:val="008111F5"/>
    <w:rsid w:val="008124A2"/>
    <w:rsid w:val="008125DB"/>
    <w:rsid w:val="00812FAC"/>
    <w:rsid w:val="0081497C"/>
    <w:rsid w:val="00817F69"/>
    <w:rsid w:val="008250BF"/>
    <w:rsid w:val="00830844"/>
    <w:rsid w:val="00834846"/>
    <w:rsid w:val="00835DF2"/>
    <w:rsid w:val="00840A5C"/>
    <w:rsid w:val="008419A8"/>
    <w:rsid w:val="008458CD"/>
    <w:rsid w:val="00851E80"/>
    <w:rsid w:val="00852CEB"/>
    <w:rsid w:val="00856633"/>
    <w:rsid w:val="0086020E"/>
    <w:rsid w:val="00861664"/>
    <w:rsid w:val="008623D5"/>
    <w:rsid w:val="008629CA"/>
    <w:rsid w:val="0086497F"/>
    <w:rsid w:val="00864ECA"/>
    <w:rsid w:val="00866B7A"/>
    <w:rsid w:val="00866EED"/>
    <w:rsid w:val="008673E4"/>
    <w:rsid w:val="008722FC"/>
    <w:rsid w:val="008733A2"/>
    <w:rsid w:val="00874944"/>
    <w:rsid w:val="00875E42"/>
    <w:rsid w:val="00880504"/>
    <w:rsid w:val="00882FBA"/>
    <w:rsid w:val="00891386"/>
    <w:rsid w:val="00893C2B"/>
    <w:rsid w:val="008A1798"/>
    <w:rsid w:val="008A38A6"/>
    <w:rsid w:val="008A67C7"/>
    <w:rsid w:val="008B44EC"/>
    <w:rsid w:val="008B589D"/>
    <w:rsid w:val="008B6402"/>
    <w:rsid w:val="008C25F3"/>
    <w:rsid w:val="008C5F1F"/>
    <w:rsid w:val="008E0AF0"/>
    <w:rsid w:val="008E4C89"/>
    <w:rsid w:val="008E5C33"/>
    <w:rsid w:val="008F1444"/>
    <w:rsid w:val="008F4E02"/>
    <w:rsid w:val="00902EF1"/>
    <w:rsid w:val="00904834"/>
    <w:rsid w:val="00907455"/>
    <w:rsid w:val="00915C0C"/>
    <w:rsid w:val="00916388"/>
    <w:rsid w:val="00921EBA"/>
    <w:rsid w:val="009229A5"/>
    <w:rsid w:val="009245D2"/>
    <w:rsid w:val="009278D7"/>
    <w:rsid w:val="00930BD5"/>
    <w:rsid w:val="00931114"/>
    <w:rsid w:val="0093467A"/>
    <w:rsid w:val="00935FB9"/>
    <w:rsid w:val="00937726"/>
    <w:rsid w:val="009500C5"/>
    <w:rsid w:val="00955EBB"/>
    <w:rsid w:val="00957F89"/>
    <w:rsid w:val="009616AD"/>
    <w:rsid w:val="0096252E"/>
    <w:rsid w:val="00966B3C"/>
    <w:rsid w:val="00972754"/>
    <w:rsid w:val="00976856"/>
    <w:rsid w:val="009853C4"/>
    <w:rsid w:val="009871E4"/>
    <w:rsid w:val="0098798F"/>
    <w:rsid w:val="009915A1"/>
    <w:rsid w:val="00993D4F"/>
    <w:rsid w:val="00995D4C"/>
    <w:rsid w:val="00997FC0"/>
    <w:rsid w:val="009A0649"/>
    <w:rsid w:val="009A0731"/>
    <w:rsid w:val="009A3537"/>
    <w:rsid w:val="009A7909"/>
    <w:rsid w:val="009B1113"/>
    <w:rsid w:val="009B2845"/>
    <w:rsid w:val="009B3522"/>
    <w:rsid w:val="009B36FA"/>
    <w:rsid w:val="009C1676"/>
    <w:rsid w:val="009C288B"/>
    <w:rsid w:val="009C3948"/>
    <w:rsid w:val="009D1259"/>
    <w:rsid w:val="009D5242"/>
    <w:rsid w:val="009E0AF4"/>
    <w:rsid w:val="009E1CE3"/>
    <w:rsid w:val="009E2784"/>
    <w:rsid w:val="009E5069"/>
    <w:rsid w:val="009E742E"/>
    <w:rsid w:val="009F1834"/>
    <w:rsid w:val="009F34C8"/>
    <w:rsid w:val="00A0580E"/>
    <w:rsid w:val="00A0629D"/>
    <w:rsid w:val="00A0772A"/>
    <w:rsid w:val="00A14CF5"/>
    <w:rsid w:val="00A16E2B"/>
    <w:rsid w:val="00A23FDC"/>
    <w:rsid w:val="00A31566"/>
    <w:rsid w:val="00A353C9"/>
    <w:rsid w:val="00A41855"/>
    <w:rsid w:val="00A41BE0"/>
    <w:rsid w:val="00A44773"/>
    <w:rsid w:val="00A45DE3"/>
    <w:rsid w:val="00A5012D"/>
    <w:rsid w:val="00A55B02"/>
    <w:rsid w:val="00A56D45"/>
    <w:rsid w:val="00A61B1D"/>
    <w:rsid w:val="00A62059"/>
    <w:rsid w:val="00A62C7F"/>
    <w:rsid w:val="00A65382"/>
    <w:rsid w:val="00A70AEE"/>
    <w:rsid w:val="00A73231"/>
    <w:rsid w:val="00A77D48"/>
    <w:rsid w:val="00A86970"/>
    <w:rsid w:val="00A8724B"/>
    <w:rsid w:val="00A90BA5"/>
    <w:rsid w:val="00A90DF5"/>
    <w:rsid w:val="00A975BF"/>
    <w:rsid w:val="00A97A95"/>
    <w:rsid w:val="00AA1F65"/>
    <w:rsid w:val="00AA2B64"/>
    <w:rsid w:val="00AA60AE"/>
    <w:rsid w:val="00AB4049"/>
    <w:rsid w:val="00AB4526"/>
    <w:rsid w:val="00AB47D9"/>
    <w:rsid w:val="00AB5F13"/>
    <w:rsid w:val="00AB7294"/>
    <w:rsid w:val="00AB7350"/>
    <w:rsid w:val="00AC16B6"/>
    <w:rsid w:val="00AC22ED"/>
    <w:rsid w:val="00AC7C65"/>
    <w:rsid w:val="00AD0C7D"/>
    <w:rsid w:val="00AD2B3D"/>
    <w:rsid w:val="00AD3DA6"/>
    <w:rsid w:val="00AD498E"/>
    <w:rsid w:val="00AD505D"/>
    <w:rsid w:val="00AD52E2"/>
    <w:rsid w:val="00AE54A6"/>
    <w:rsid w:val="00AE5531"/>
    <w:rsid w:val="00AE6956"/>
    <w:rsid w:val="00AE7F60"/>
    <w:rsid w:val="00AF10B3"/>
    <w:rsid w:val="00AF2BA5"/>
    <w:rsid w:val="00B055A5"/>
    <w:rsid w:val="00B127B9"/>
    <w:rsid w:val="00B13DAA"/>
    <w:rsid w:val="00B14D1E"/>
    <w:rsid w:val="00B21283"/>
    <w:rsid w:val="00B23415"/>
    <w:rsid w:val="00B25105"/>
    <w:rsid w:val="00B27208"/>
    <w:rsid w:val="00B27DB4"/>
    <w:rsid w:val="00B3011C"/>
    <w:rsid w:val="00B33559"/>
    <w:rsid w:val="00B36922"/>
    <w:rsid w:val="00B36F5D"/>
    <w:rsid w:val="00B40A34"/>
    <w:rsid w:val="00B40DE0"/>
    <w:rsid w:val="00B47A8F"/>
    <w:rsid w:val="00B50F04"/>
    <w:rsid w:val="00B53F91"/>
    <w:rsid w:val="00B55B6F"/>
    <w:rsid w:val="00B56C4B"/>
    <w:rsid w:val="00B5739A"/>
    <w:rsid w:val="00B57C40"/>
    <w:rsid w:val="00B63B8D"/>
    <w:rsid w:val="00B675D4"/>
    <w:rsid w:val="00B74487"/>
    <w:rsid w:val="00B81FE9"/>
    <w:rsid w:val="00B85ADB"/>
    <w:rsid w:val="00B87019"/>
    <w:rsid w:val="00B90C70"/>
    <w:rsid w:val="00B92658"/>
    <w:rsid w:val="00B93897"/>
    <w:rsid w:val="00BA33E5"/>
    <w:rsid w:val="00BB5E31"/>
    <w:rsid w:val="00BB640F"/>
    <w:rsid w:val="00BC04F5"/>
    <w:rsid w:val="00BC11AC"/>
    <w:rsid w:val="00BC27EC"/>
    <w:rsid w:val="00BC30FE"/>
    <w:rsid w:val="00BC3940"/>
    <w:rsid w:val="00BC4ABB"/>
    <w:rsid w:val="00BD5A38"/>
    <w:rsid w:val="00BD5B2D"/>
    <w:rsid w:val="00BD6AFF"/>
    <w:rsid w:val="00BE32CE"/>
    <w:rsid w:val="00BE4092"/>
    <w:rsid w:val="00BE69CF"/>
    <w:rsid w:val="00BF2896"/>
    <w:rsid w:val="00C01D79"/>
    <w:rsid w:val="00C06586"/>
    <w:rsid w:val="00C112BD"/>
    <w:rsid w:val="00C11ADB"/>
    <w:rsid w:val="00C16FAB"/>
    <w:rsid w:val="00C176C3"/>
    <w:rsid w:val="00C21645"/>
    <w:rsid w:val="00C27AFD"/>
    <w:rsid w:val="00C30500"/>
    <w:rsid w:val="00C310C6"/>
    <w:rsid w:val="00C3623D"/>
    <w:rsid w:val="00C463D0"/>
    <w:rsid w:val="00C52304"/>
    <w:rsid w:val="00C547D9"/>
    <w:rsid w:val="00C65075"/>
    <w:rsid w:val="00C66126"/>
    <w:rsid w:val="00C73CF9"/>
    <w:rsid w:val="00C74DC0"/>
    <w:rsid w:val="00C82F21"/>
    <w:rsid w:val="00C83727"/>
    <w:rsid w:val="00C837B9"/>
    <w:rsid w:val="00C83E3B"/>
    <w:rsid w:val="00C91F4D"/>
    <w:rsid w:val="00C95E8D"/>
    <w:rsid w:val="00C95EF5"/>
    <w:rsid w:val="00CA010C"/>
    <w:rsid w:val="00CA125E"/>
    <w:rsid w:val="00CA2FE0"/>
    <w:rsid w:val="00CA4251"/>
    <w:rsid w:val="00CA4F09"/>
    <w:rsid w:val="00CA697B"/>
    <w:rsid w:val="00CB3AA0"/>
    <w:rsid w:val="00CB72A3"/>
    <w:rsid w:val="00CC3CE3"/>
    <w:rsid w:val="00CC4059"/>
    <w:rsid w:val="00CD2976"/>
    <w:rsid w:val="00CD6F01"/>
    <w:rsid w:val="00CD79BD"/>
    <w:rsid w:val="00CE36B8"/>
    <w:rsid w:val="00CE5EED"/>
    <w:rsid w:val="00CF3290"/>
    <w:rsid w:val="00D10216"/>
    <w:rsid w:val="00D11AC5"/>
    <w:rsid w:val="00D16322"/>
    <w:rsid w:val="00D16D3F"/>
    <w:rsid w:val="00D203A1"/>
    <w:rsid w:val="00D21505"/>
    <w:rsid w:val="00D21CD3"/>
    <w:rsid w:val="00D233CC"/>
    <w:rsid w:val="00D32DAC"/>
    <w:rsid w:val="00D32DDD"/>
    <w:rsid w:val="00D330F0"/>
    <w:rsid w:val="00D34515"/>
    <w:rsid w:val="00D346E3"/>
    <w:rsid w:val="00D40DC7"/>
    <w:rsid w:val="00D42937"/>
    <w:rsid w:val="00D54CAA"/>
    <w:rsid w:val="00D55AC8"/>
    <w:rsid w:val="00D61BAC"/>
    <w:rsid w:val="00D67131"/>
    <w:rsid w:val="00D720AC"/>
    <w:rsid w:val="00D7270E"/>
    <w:rsid w:val="00D81AED"/>
    <w:rsid w:val="00D866A1"/>
    <w:rsid w:val="00D87EB9"/>
    <w:rsid w:val="00D90936"/>
    <w:rsid w:val="00D92A2B"/>
    <w:rsid w:val="00D96722"/>
    <w:rsid w:val="00D970FB"/>
    <w:rsid w:val="00DA174F"/>
    <w:rsid w:val="00DA68B2"/>
    <w:rsid w:val="00DB02BA"/>
    <w:rsid w:val="00DB0A84"/>
    <w:rsid w:val="00DB0B42"/>
    <w:rsid w:val="00DB12FD"/>
    <w:rsid w:val="00DB19BD"/>
    <w:rsid w:val="00DB1D51"/>
    <w:rsid w:val="00DC56FF"/>
    <w:rsid w:val="00DC7006"/>
    <w:rsid w:val="00DC7F51"/>
    <w:rsid w:val="00DD6800"/>
    <w:rsid w:val="00DE0075"/>
    <w:rsid w:val="00DE202B"/>
    <w:rsid w:val="00DE302A"/>
    <w:rsid w:val="00DE6EF9"/>
    <w:rsid w:val="00DE72E7"/>
    <w:rsid w:val="00E057CC"/>
    <w:rsid w:val="00E12327"/>
    <w:rsid w:val="00E12B5F"/>
    <w:rsid w:val="00E1518C"/>
    <w:rsid w:val="00E233B3"/>
    <w:rsid w:val="00E23CC2"/>
    <w:rsid w:val="00E23D4A"/>
    <w:rsid w:val="00E256B8"/>
    <w:rsid w:val="00E274B8"/>
    <w:rsid w:val="00E27FF9"/>
    <w:rsid w:val="00E31B90"/>
    <w:rsid w:val="00E3264C"/>
    <w:rsid w:val="00E32C6F"/>
    <w:rsid w:val="00E34648"/>
    <w:rsid w:val="00E427F6"/>
    <w:rsid w:val="00E42DB0"/>
    <w:rsid w:val="00E432A5"/>
    <w:rsid w:val="00E44EE1"/>
    <w:rsid w:val="00E4758D"/>
    <w:rsid w:val="00E47FFB"/>
    <w:rsid w:val="00E50E0E"/>
    <w:rsid w:val="00E5238A"/>
    <w:rsid w:val="00E625AF"/>
    <w:rsid w:val="00E6354E"/>
    <w:rsid w:val="00E64B91"/>
    <w:rsid w:val="00E660FF"/>
    <w:rsid w:val="00E7178E"/>
    <w:rsid w:val="00E71A4F"/>
    <w:rsid w:val="00E71BD9"/>
    <w:rsid w:val="00E71EC5"/>
    <w:rsid w:val="00E725A9"/>
    <w:rsid w:val="00E76D0F"/>
    <w:rsid w:val="00E82112"/>
    <w:rsid w:val="00E8395F"/>
    <w:rsid w:val="00E86A7D"/>
    <w:rsid w:val="00E8798D"/>
    <w:rsid w:val="00E87B20"/>
    <w:rsid w:val="00E904A1"/>
    <w:rsid w:val="00E94856"/>
    <w:rsid w:val="00EA0C3B"/>
    <w:rsid w:val="00EA0FE7"/>
    <w:rsid w:val="00EA44AD"/>
    <w:rsid w:val="00EA6927"/>
    <w:rsid w:val="00EB05B4"/>
    <w:rsid w:val="00EB626D"/>
    <w:rsid w:val="00EB64E0"/>
    <w:rsid w:val="00EC14F2"/>
    <w:rsid w:val="00ED5EF4"/>
    <w:rsid w:val="00ED61C5"/>
    <w:rsid w:val="00ED6F9D"/>
    <w:rsid w:val="00EE3A83"/>
    <w:rsid w:val="00EE4A93"/>
    <w:rsid w:val="00EE4FB6"/>
    <w:rsid w:val="00EF0DBF"/>
    <w:rsid w:val="00EF22F1"/>
    <w:rsid w:val="00EF50AA"/>
    <w:rsid w:val="00F0448F"/>
    <w:rsid w:val="00F0757C"/>
    <w:rsid w:val="00F14855"/>
    <w:rsid w:val="00F148C2"/>
    <w:rsid w:val="00F15FE8"/>
    <w:rsid w:val="00F16F48"/>
    <w:rsid w:val="00F229B9"/>
    <w:rsid w:val="00F22C30"/>
    <w:rsid w:val="00F23BBE"/>
    <w:rsid w:val="00F24288"/>
    <w:rsid w:val="00F313D5"/>
    <w:rsid w:val="00F359DB"/>
    <w:rsid w:val="00F43003"/>
    <w:rsid w:val="00F43C40"/>
    <w:rsid w:val="00F4784B"/>
    <w:rsid w:val="00F50A6B"/>
    <w:rsid w:val="00F52243"/>
    <w:rsid w:val="00F53559"/>
    <w:rsid w:val="00F555D7"/>
    <w:rsid w:val="00F60008"/>
    <w:rsid w:val="00F61E33"/>
    <w:rsid w:val="00F62206"/>
    <w:rsid w:val="00F67D78"/>
    <w:rsid w:val="00F70462"/>
    <w:rsid w:val="00F70684"/>
    <w:rsid w:val="00F706D8"/>
    <w:rsid w:val="00F72440"/>
    <w:rsid w:val="00F7796B"/>
    <w:rsid w:val="00F80663"/>
    <w:rsid w:val="00F80A23"/>
    <w:rsid w:val="00F80FDE"/>
    <w:rsid w:val="00F8208C"/>
    <w:rsid w:val="00F82A5F"/>
    <w:rsid w:val="00F835D7"/>
    <w:rsid w:val="00F846F6"/>
    <w:rsid w:val="00F9096A"/>
    <w:rsid w:val="00F9379F"/>
    <w:rsid w:val="00F93EE3"/>
    <w:rsid w:val="00F9497C"/>
    <w:rsid w:val="00FA0E7D"/>
    <w:rsid w:val="00FA4177"/>
    <w:rsid w:val="00FB344F"/>
    <w:rsid w:val="00FB38C8"/>
    <w:rsid w:val="00FB6F02"/>
    <w:rsid w:val="00FB7805"/>
    <w:rsid w:val="00FC1A6F"/>
    <w:rsid w:val="00FC4810"/>
    <w:rsid w:val="00FC5A86"/>
    <w:rsid w:val="00FC6B17"/>
    <w:rsid w:val="00FC7A7B"/>
    <w:rsid w:val="00FD5534"/>
    <w:rsid w:val="00FD6BE8"/>
    <w:rsid w:val="00FE11A2"/>
    <w:rsid w:val="00FE1248"/>
    <w:rsid w:val="00FE20D7"/>
    <w:rsid w:val="00FE5370"/>
    <w:rsid w:val="00FF21C1"/>
    <w:rsid w:val="00FF2597"/>
    <w:rsid w:val="00FF4E1B"/>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semiHidden/>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semiHidden/>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86567">
      <w:bodyDiv w:val="1"/>
      <w:marLeft w:val="0"/>
      <w:marRight w:val="0"/>
      <w:marTop w:val="0"/>
      <w:marBottom w:val="0"/>
      <w:divBdr>
        <w:top w:val="none" w:sz="0" w:space="0" w:color="auto"/>
        <w:left w:val="none" w:sz="0" w:space="0" w:color="auto"/>
        <w:bottom w:val="none" w:sz="0" w:space="0" w:color="auto"/>
        <w:right w:val="none" w:sz="0" w:space="0" w:color="auto"/>
      </w:divBdr>
    </w:div>
    <w:div w:id="252516022">
      <w:bodyDiv w:val="1"/>
      <w:marLeft w:val="0"/>
      <w:marRight w:val="0"/>
      <w:marTop w:val="0"/>
      <w:marBottom w:val="0"/>
      <w:divBdr>
        <w:top w:val="none" w:sz="0" w:space="0" w:color="auto"/>
        <w:left w:val="none" w:sz="0" w:space="0" w:color="auto"/>
        <w:bottom w:val="none" w:sz="0" w:space="0" w:color="auto"/>
        <w:right w:val="none" w:sz="0" w:space="0" w:color="auto"/>
      </w:divBdr>
    </w:div>
    <w:div w:id="266891342">
      <w:bodyDiv w:val="1"/>
      <w:marLeft w:val="0"/>
      <w:marRight w:val="0"/>
      <w:marTop w:val="0"/>
      <w:marBottom w:val="0"/>
      <w:divBdr>
        <w:top w:val="none" w:sz="0" w:space="0" w:color="auto"/>
        <w:left w:val="none" w:sz="0" w:space="0" w:color="auto"/>
        <w:bottom w:val="none" w:sz="0" w:space="0" w:color="auto"/>
        <w:right w:val="none" w:sz="0" w:space="0" w:color="auto"/>
      </w:divBdr>
    </w:div>
    <w:div w:id="346568572">
      <w:bodyDiv w:val="1"/>
      <w:marLeft w:val="0"/>
      <w:marRight w:val="0"/>
      <w:marTop w:val="0"/>
      <w:marBottom w:val="0"/>
      <w:divBdr>
        <w:top w:val="none" w:sz="0" w:space="0" w:color="auto"/>
        <w:left w:val="none" w:sz="0" w:space="0" w:color="auto"/>
        <w:bottom w:val="none" w:sz="0" w:space="0" w:color="auto"/>
        <w:right w:val="none" w:sz="0" w:space="0" w:color="auto"/>
      </w:divBdr>
    </w:div>
    <w:div w:id="444423426">
      <w:bodyDiv w:val="1"/>
      <w:marLeft w:val="0"/>
      <w:marRight w:val="0"/>
      <w:marTop w:val="0"/>
      <w:marBottom w:val="0"/>
      <w:divBdr>
        <w:top w:val="none" w:sz="0" w:space="0" w:color="auto"/>
        <w:left w:val="none" w:sz="0" w:space="0" w:color="auto"/>
        <w:bottom w:val="none" w:sz="0" w:space="0" w:color="auto"/>
        <w:right w:val="none" w:sz="0" w:space="0" w:color="auto"/>
      </w:divBdr>
    </w:div>
    <w:div w:id="612397654">
      <w:bodyDiv w:val="1"/>
      <w:marLeft w:val="0"/>
      <w:marRight w:val="0"/>
      <w:marTop w:val="0"/>
      <w:marBottom w:val="0"/>
      <w:divBdr>
        <w:top w:val="none" w:sz="0" w:space="0" w:color="auto"/>
        <w:left w:val="none" w:sz="0" w:space="0" w:color="auto"/>
        <w:bottom w:val="none" w:sz="0" w:space="0" w:color="auto"/>
        <w:right w:val="none" w:sz="0" w:space="0" w:color="auto"/>
      </w:divBdr>
    </w:div>
    <w:div w:id="787047993">
      <w:bodyDiv w:val="1"/>
      <w:marLeft w:val="0"/>
      <w:marRight w:val="0"/>
      <w:marTop w:val="0"/>
      <w:marBottom w:val="0"/>
      <w:divBdr>
        <w:top w:val="none" w:sz="0" w:space="0" w:color="auto"/>
        <w:left w:val="none" w:sz="0" w:space="0" w:color="auto"/>
        <w:bottom w:val="none" w:sz="0" w:space="0" w:color="auto"/>
        <w:right w:val="none" w:sz="0" w:space="0" w:color="auto"/>
      </w:divBdr>
    </w:div>
    <w:div w:id="805008230">
      <w:bodyDiv w:val="1"/>
      <w:marLeft w:val="0"/>
      <w:marRight w:val="0"/>
      <w:marTop w:val="0"/>
      <w:marBottom w:val="0"/>
      <w:divBdr>
        <w:top w:val="none" w:sz="0" w:space="0" w:color="auto"/>
        <w:left w:val="none" w:sz="0" w:space="0" w:color="auto"/>
        <w:bottom w:val="none" w:sz="0" w:space="0" w:color="auto"/>
        <w:right w:val="none" w:sz="0" w:space="0" w:color="auto"/>
      </w:divBdr>
    </w:div>
    <w:div w:id="920677665">
      <w:bodyDiv w:val="1"/>
      <w:marLeft w:val="0"/>
      <w:marRight w:val="0"/>
      <w:marTop w:val="0"/>
      <w:marBottom w:val="0"/>
      <w:divBdr>
        <w:top w:val="none" w:sz="0" w:space="0" w:color="auto"/>
        <w:left w:val="none" w:sz="0" w:space="0" w:color="auto"/>
        <w:bottom w:val="none" w:sz="0" w:space="0" w:color="auto"/>
        <w:right w:val="none" w:sz="0" w:space="0" w:color="auto"/>
      </w:divBdr>
    </w:div>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70090">
      <w:bodyDiv w:val="1"/>
      <w:marLeft w:val="0"/>
      <w:marRight w:val="0"/>
      <w:marTop w:val="0"/>
      <w:marBottom w:val="0"/>
      <w:divBdr>
        <w:top w:val="none" w:sz="0" w:space="0" w:color="auto"/>
        <w:left w:val="none" w:sz="0" w:space="0" w:color="auto"/>
        <w:bottom w:val="none" w:sz="0" w:space="0" w:color="auto"/>
        <w:right w:val="none" w:sz="0" w:space="0" w:color="auto"/>
      </w:divBdr>
    </w:div>
    <w:div w:id="1471484597">
      <w:bodyDiv w:val="1"/>
      <w:marLeft w:val="0"/>
      <w:marRight w:val="0"/>
      <w:marTop w:val="0"/>
      <w:marBottom w:val="0"/>
      <w:divBdr>
        <w:top w:val="none" w:sz="0" w:space="0" w:color="auto"/>
        <w:left w:val="none" w:sz="0" w:space="0" w:color="auto"/>
        <w:bottom w:val="none" w:sz="0" w:space="0" w:color="auto"/>
        <w:right w:val="none" w:sz="0" w:space="0" w:color="auto"/>
      </w:divBdr>
    </w:div>
    <w:div w:id="1515220756">
      <w:bodyDiv w:val="1"/>
      <w:marLeft w:val="0"/>
      <w:marRight w:val="0"/>
      <w:marTop w:val="0"/>
      <w:marBottom w:val="0"/>
      <w:divBdr>
        <w:top w:val="none" w:sz="0" w:space="0" w:color="auto"/>
        <w:left w:val="none" w:sz="0" w:space="0" w:color="auto"/>
        <w:bottom w:val="none" w:sz="0" w:space="0" w:color="auto"/>
        <w:right w:val="none" w:sz="0" w:space="0" w:color="auto"/>
      </w:divBdr>
    </w:div>
    <w:div w:id="1585263790">
      <w:bodyDiv w:val="1"/>
      <w:marLeft w:val="0"/>
      <w:marRight w:val="0"/>
      <w:marTop w:val="0"/>
      <w:marBottom w:val="0"/>
      <w:divBdr>
        <w:top w:val="none" w:sz="0" w:space="0" w:color="auto"/>
        <w:left w:val="none" w:sz="0" w:space="0" w:color="auto"/>
        <w:bottom w:val="none" w:sz="0" w:space="0" w:color="auto"/>
        <w:right w:val="none" w:sz="0" w:space="0" w:color="auto"/>
      </w:divBdr>
    </w:div>
    <w:div w:id="1701971188">
      <w:bodyDiv w:val="1"/>
      <w:marLeft w:val="0"/>
      <w:marRight w:val="0"/>
      <w:marTop w:val="0"/>
      <w:marBottom w:val="0"/>
      <w:divBdr>
        <w:top w:val="none" w:sz="0" w:space="0" w:color="auto"/>
        <w:left w:val="none" w:sz="0" w:space="0" w:color="auto"/>
        <w:bottom w:val="none" w:sz="0" w:space="0" w:color="auto"/>
        <w:right w:val="none" w:sz="0" w:space="0" w:color="auto"/>
      </w:divBdr>
    </w:div>
    <w:div w:id="1806924955">
      <w:bodyDiv w:val="1"/>
      <w:marLeft w:val="0"/>
      <w:marRight w:val="0"/>
      <w:marTop w:val="0"/>
      <w:marBottom w:val="0"/>
      <w:divBdr>
        <w:top w:val="none" w:sz="0" w:space="0" w:color="auto"/>
        <w:left w:val="none" w:sz="0" w:space="0" w:color="auto"/>
        <w:bottom w:val="none" w:sz="0" w:space="0" w:color="auto"/>
        <w:right w:val="none" w:sz="0" w:space="0" w:color="auto"/>
      </w:divBdr>
    </w:div>
    <w:div w:id="1853496709">
      <w:bodyDiv w:val="1"/>
      <w:marLeft w:val="0"/>
      <w:marRight w:val="0"/>
      <w:marTop w:val="0"/>
      <w:marBottom w:val="0"/>
      <w:divBdr>
        <w:top w:val="none" w:sz="0" w:space="0" w:color="auto"/>
        <w:left w:val="none" w:sz="0" w:space="0" w:color="auto"/>
        <w:bottom w:val="none" w:sz="0" w:space="0" w:color="auto"/>
        <w:right w:val="none" w:sz="0" w:space="0" w:color="auto"/>
      </w:divBdr>
    </w:div>
    <w:div w:id="1889102756">
      <w:bodyDiv w:val="1"/>
      <w:marLeft w:val="0"/>
      <w:marRight w:val="0"/>
      <w:marTop w:val="0"/>
      <w:marBottom w:val="0"/>
      <w:divBdr>
        <w:top w:val="none" w:sz="0" w:space="0" w:color="auto"/>
        <w:left w:val="none" w:sz="0" w:space="0" w:color="auto"/>
        <w:bottom w:val="none" w:sz="0" w:space="0" w:color="auto"/>
        <w:right w:val="none" w:sz="0" w:space="0" w:color="auto"/>
      </w:divBdr>
    </w:div>
    <w:div w:id="21142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G:\BioG\Vyrocne%20spravy\2019\Podklady%202019_B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BioG\Vyrocne%20spravy\2019\Podklady%202019_B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BioG\Vyrocne%20spravy\2019\Podklady%202019_BG.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oleObject" Target="file:///G:\BioG\Vyrocne%20spravy\2019\V&#253;ro&#269;n&#225;%20spr&#225;va%202019%20Bio%20G%20spol.%20s%20r.o.-%20tabu&#318;ky.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BioG\Vyrocne%20spravy\2019\V&#253;ro&#269;n&#225;%20spr&#225;va%202019%20Bio%20G%20spol.%20s%20r.o.-%20tabu&#318;ky.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BioG\Vyrocne%20spravy\2019\V&#253;ro&#269;n&#225;%20spr&#225;va%202019%20Bio%20G%20spol.%20s%20r.o.-%20tabu&#318;k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Verdana" panose="020B0604030504040204" pitchFamily="34" charset="0"/>
                <a:ea typeface="Verdana" panose="020B0604030504040204" pitchFamily="34" charset="0"/>
              </a:defRPr>
            </a:pPr>
            <a:r>
              <a:rPr lang="en-US" sz="1100">
                <a:latin typeface="Verdana" panose="020B0604030504040204" pitchFamily="34" charset="0"/>
                <a:ea typeface="Verdana" panose="020B0604030504040204" pitchFamily="34" charset="0"/>
              </a:rPr>
              <a:t>Členenie podľa pohlavia</a:t>
            </a:r>
          </a:p>
        </c:rich>
      </c:tx>
      <c:overlay val="0"/>
    </c:title>
    <c:autoTitleDeleted val="0"/>
    <c:plotArea>
      <c:layout/>
      <c:pieChart>
        <c:varyColors val="1"/>
        <c:ser>
          <c:idx val="0"/>
          <c:order val="0"/>
          <c:tx>
            <c:strRef>
              <c:f>Pracovnici!$B$10</c:f>
              <c:strCache>
                <c:ptCount val="1"/>
                <c:pt idx="0">
                  <c:v>Ženy</c:v>
                </c:pt>
              </c:strCache>
            </c:strRef>
          </c:tx>
          <c:dLbls>
            <c:showLegendKey val="0"/>
            <c:showVal val="0"/>
            <c:showCatName val="0"/>
            <c:showSerName val="0"/>
            <c:showPercent val="1"/>
            <c:showBubbleSize val="0"/>
            <c:showLeaderLines val="1"/>
          </c:dLbls>
          <c:cat>
            <c:strRef>
              <c:f>Pracovnici!$B$10:$B$11</c:f>
              <c:strCache>
                <c:ptCount val="2"/>
                <c:pt idx="0">
                  <c:v>Ženy</c:v>
                </c:pt>
                <c:pt idx="1">
                  <c:v>Muži</c:v>
                </c:pt>
              </c:strCache>
            </c:strRef>
          </c:cat>
          <c:val>
            <c:numRef>
              <c:f>Pracovnici!$C$10:$C$11</c:f>
              <c:numCache>
                <c:formatCode>0.0%</c:formatCode>
                <c:ptCount val="2"/>
                <c:pt idx="0">
                  <c:v>0.56666666666666665</c:v>
                </c:pt>
                <c:pt idx="1">
                  <c:v>0.43333333333333335</c:v>
                </c:pt>
              </c:numCache>
            </c:numRef>
          </c:val>
        </c:ser>
        <c:ser>
          <c:idx val="1"/>
          <c:order val="1"/>
          <c:tx>
            <c:strRef>
              <c:f>Pracovnici!$B$11</c:f>
              <c:strCache>
                <c:ptCount val="1"/>
                <c:pt idx="0">
                  <c:v>Muži</c:v>
                </c:pt>
              </c:strCache>
            </c:strRef>
          </c:tx>
          <c:dLbls>
            <c:showLegendKey val="0"/>
            <c:showVal val="0"/>
            <c:showCatName val="0"/>
            <c:showSerName val="0"/>
            <c:showPercent val="1"/>
            <c:showBubbleSize val="0"/>
            <c:showLeaderLines val="1"/>
          </c:dLbls>
          <c:cat>
            <c:strRef>
              <c:f>Pracovnici!$B$10:$B$11</c:f>
              <c:strCache>
                <c:ptCount val="2"/>
                <c:pt idx="0">
                  <c:v>Ženy</c:v>
                </c:pt>
                <c:pt idx="1">
                  <c:v>Muži</c:v>
                </c:pt>
              </c:strCache>
            </c:strRef>
          </c:cat>
          <c:val>
            <c:numRef>
              <c:f>Pracovnici!$C$11</c:f>
              <c:numCache>
                <c:formatCode>0.0%</c:formatCode>
                <c:ptCount val="1"/>
                <c:pt idx="0">
                  <c:v>0.43333333333333335</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721262029746282"/>
          <c:y val="0.45417614464858558"/>
          <c:w val="0.14731824146981629"/>
          <c:h val="0.16743438320209975"/>
        </c:manualLayout>
      </c:layout>
      <c:overlay val="0"/>
      <c:txPr>
        <a:bodyPr/>
        <a:lstStyle/>
        <a:p>
          <a:pPr rtl="0">
            <a:defRPr/>
          </a:pPr>
          <a:endParaRPr lang="sk-SK"/>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Verdana" panose="020B0604030504040204" pitchFamily="34" charset="0"/>
                <a:ea typeface="Verdana" panose="020B0604030504040204" pitchFamily="34" charset="0"/>
                <a:cs typeface="Verdana" panose="020B0604030504040204" pitchFamily="34" charset="0"/>
              </a:defRPr>
            </a:pPr>
            <a:r>
              <a:rPr lang="sk-SK" sz="1100">
                <a:latin typeface="Verdana" panose="020B0604030504040204" pitchFamily="34" charset="0"/>
                <a:ea typeface="Verdana" panose="020B0604030504040204" pitchFamily="34" charset="0"/>
                <a:cs typeface="Verdana" panose="020B0604030504040204" pitchFamily="34" charset="0"/>
              </a:rPr>
              <a:t>Vzdelanostná štruktúra zamestnancov</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Pracovnici!$B$2:$B$4</c:f>
              <c:strCache>
                <c:ptCount val="3"/>
                <c:pt idx="0">
                  <c:v>Vysokoškolské vzdelanie</c:v>
                </c:pt>
                <c:pt idx="1">
                  <c:v>Stredoškolské vzdelanie</c:v>
                </c:pt>
                <c:pt idx="2">
                  <c:v>Základné vzdelanie</c:v>
                </c:pt>
              </c:strCache>
            </c:strRef>
          </c:cat>
          <c:val>
            <c:numRef>
              <c:f>Pracovnici!$C$2:$C$4</c:f>
              <c:numCache>
                <c:formatCode>General</c:formatCode>
                <c:ptCount val="3"/>
                <c:pt idx="0">
                  <c:v>23</c:v>
                </c:pt>
                <c:pt idx="1">
                  <c:v>7</c:v>
                </c:pt>
                <c:pt idx="2">
                  <c:v>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baseline="0"/>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100">
                <a:latin typeface="Verdana" panose="020B0604030504040204" pitchFamily="34" charset="0"/>
                <a:ea typeface="Verdana" panose="020B0604030504040204" pitchFamily="34" charset="0"/>
                <a:cs typeface="Verdana" panose="020B0604030504040204" pitchFamily="34" charset="0"/>
              </a:rPr>
              <a:t>Veková štruktúra zamestnancov</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Pracovnici!$B$19:$B$21</c:f>
              <c:strCache>
                <c:ptCount val="3"/>
                <c:pt idx="0">
                  <c:v>OD 31 DO 40 ROKOV</c:v>
                </c:pt>
                <c:pt idx="1">
                  <c:v>OD 41 DO 50 ROKOV</c:v>
                </c:pt>
                <c:pt idx="2">
                  <c:v>NAD 50 ROKOV</c:v>
                </c:pt>
              </c:strCache>
            </c:strRef>
          </c:cat>
          <c:val>
            <c:numRef>
              <c:f>Pracovnici!$C$19:$C$21</c:f>
              <c:numCache>
                <c:formatCode>General</c:formatCode>
                <c:ptCount val="3"/>
                <c:pt idx="0">
                  <c:v>6</c:v>
                </c:pt>
                <c:pt idx="1">
                  <c:v>9</c:v>
                </c:pt>
                <c:pt idx="2">
                  <c:v>15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sk-SK"/>
              <a:t>UKAZOVATELE ZADLŽENOSTI -Bio G spol.s r.o.                        v rokoch 2017 - 2019</a:t>
            </a:r>
          </a:p>
        </c:rich>
      </c:tx>
      <c:overlay val="0"/>
    </c:title>
    <c:autoTitleDeleted val="0"/>
    <c:plotArea>
      <c:layout>
        <c:manualLayout>
          <c:layoutTarget val="inner"/>
          <c:xMode val="edge"/>
          <c:yMode val="edge"/>
          <c:x val="0.11651374903438275"/>
          <c:y val="0.23652514023982296"/>
          <c:w val="0.85824241849286909"/>
          <c:h val="0.49258504451649426"/>
        </c:manualLayout>
      </c:layout>
      <c:lineChart>
        <c:grouping val="standard"/>
        <c:varyColors val="0"/>
        <c:ser>
          <c:idx val="0"/>
          <c:order val="0"/>
          <c:tx>
            <c:strRef>
              <c:f>'ukazovatele zadĺženosti'!$A$3</c:f>
              <c:strCache>
                <c:ptCount val="1"/>
                <c:pt idx="0">
                  <c:v>STUPEŇ SAMOFINANCOVANIA</c:v>
                </c:pt>
              </c:strCache>
            </c:strRef>
          </c:tx>
          <c:cat>
            <c:strRef>
              <c:f>'ukazovatele zadĺženosti'!$B$2:$D$2</c:f>
              <c:strCache>
                <c:ptCount val="3"/>
                <c:pt idx="0">
                  <c:v>ROK 2019</c:v>
                </c:pt>
                <c:pt idx="1">
                  <c:v>ROK 2018</c:v>
                </c:pt>
                <c:pt idx="2">
                  <c:v>ROK 2017</c:v>
                </c:pt>
              </c:strCache>
            </c:strRef>
          </c:cat>
          <c:val>
            <c:numRef>
              <c:f>'ukazovatele zadĺženosti'!$B$3:$D$3</c:f>
              <c:numCache>
                <c:formatCode>0.00%</c:formatCode>
                <c:ptCount val="3"/>
                <c:pt idx="0">
                  <c:v>0.43869999999999998</c:v>
                </c:pt>
                <c:pt idx="1">
                  <c:v>0.3957</c:v>
                </c:pt>
                <c:pt idx="2">
                  <c:v>0.39910000000000001</c:v>
                </c:pt>
              </c:numCache>
            </c:numRef>
          </c:val>
          <c:smooth val="0"/>
        </c:ser>
        <c:ser>
          <c:idx val="1"/>
          <c:order val="1"/>
          <c:tx>
            <c:strRef>
              <c:f>'ukazovatele zadĺženosti'!$A$4</c:f>
              <c:strCache>
                <c:ptCount val="1"/>
                <c:pt idx="0">
                  <c:v>CELKOVÁ ZADLŽENOSŤ</c:v>
                </c:pt>
              </c:strCache>
            </c:strRef>
          </c:tx>
          <c:cat>
            <c:strRef>
              <c:f>'ukazovatele zadĺženosti'!$B$2:$D$2</c:f>
              <c:strCache>
                <c:ptCount val="3"/>
                <c:pt idx="0">
                  <c:v>ROK 2019</c:v>
                </c:pt>
                <c:pt idx="1">
                  <c:v>ROK 2018</c:v>
                </c:pt>
                <c:pt idx="2">
                  <c:v>ROK 2017</c:v>
                </c:pt>
              </c:strCache>
            </c:strRef>
          </c:cat>
          <c:val>
            <c:numRef>
              <c:f>'ukazovatele zadĺženosti'!$B$4:$D$4</c:f>
              <c:numCache>
                <c:formatCode>0.00%</c:formatCode>
                <c:ptCount val="3"/>
                <c:pt idx="0">
                  <c:v>0.56130000000000002</c:v>
                </c:pt>
                <c:pt idx="1">
                  <c:v>0.60389999999999999</c:v>
                </c:pt>
                <c:pt idx="2">
                  <c:v>0.60070000000000001</c:v>
                </c:pt>
              </c:numCache>
            </c:numRef>
          </c:val>
          <c:smooth val="0"/>
        </c:ser>
        <c:ser>
          <c:idx val="2"/>
          <c:order val="2"/>
          <c:tx>
            <c:strRef>
              <c:f>'ukazovatele zadĺženosti'!$A$5</c:f>
              <c:strCache>
                <c:ptCount val="1"/>
                <c:pt idx="0">
                  <c:v>ÚVEROVÁ ZADLŽENOSŤ </c:v>
                </c:pt>
              </c:strCache>
            </c:strRef>
          </c:tx>
          <c:cat>
            <c:strRef>
              <c:f>'ukazovatele zadĺženosti'!$B$2:$D$2</c:f>
              <c:strCache>
                <c:ptCount val="3"/>
                <c:pt idx="0">
                  <c:v>ROK 2019</c:v>
                </c:pt>
                <c:pt idx="1">
                  <c:v>ROK 2018</c:v>
                </c:pt>
                <c:pt idx="2">
                  <c:v>ROK 2017</c:v>
                </c:pt>
              </c:strCache>
            </c:strRef>
          </c:cat>
          <c:val>
            <c:numRef>
              <c:f>'ukazovatele zadĺženosti'!$B$5:$D$5</c:f>
              <c:numCache>
                <c:formatCode>0.00%</c:formatCode>
                <c:ptCount val="3"/>
                <c:pt idx="0">
                  <c:v>9.3700000000000006E-2</c:v>
                </c:pt>
                <c:pt idx="1">
                  <c:v>9.9299999999999999E-2</c:v>
                </c:pt>
                <c:pt idx="2">
                  <c:v>3.6600000000000001E-2</c:v>
                </c:pt>
              </c:numCache>
            </c:numRef>
          </c:val>
          <c:smooth val="0"/>
        </c:ser>
        <c:dLbls>
          <c:showLegendKey val="0"/>
          <c:showVal val="0"/>
          <c:showCatName val="0"/>
          <c:showSerName val="0"/>
          <c:showPercent val="0"/>
          <c:showBubbleSize val="0"/>
        </c:dLbls>
        <c:marker val="1"/>
        <c:smooth val="0"/>
        <c:axId val="215668992"/>
        <c:axId val="216932352"/>
      </c:lineChart>
      <c:catAx>
        <c:axId val="21566899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16932352"/>
        <c:crosses val="autoZero"/>
        <c:auto val="1"/>
        <c:lblAlgn val="ctr"/>
        <c:lblOffset val="100"/>
        <c:noMultiLvlLbl val="0"/>
      </c:catAx>
      <c:valAx>
        <c:axId val="216932352"/>
        <c:scaling>
          <c:orientation val="minMax"/>
        </c:scaling>
        <c:delete val="0"/>
        <c:axPos val="l"/>
        <c:majorGridlines/>
        <c:numFmt formatCode="0.00%" sourceLinked="1"/>
        <c:majorTickMark val="none"/>
        <c:minorTickMark val="none"/>
        <c:tickLblPos val="nextTo"/>
        <c:spPr>
          <a:ln w="9525">
            <a:noFill/>
          </a:ln>
        </c:spPr>
        <c:txPr>
          <a:bodyPr rot="0" vert="horz"/>
          <a:lstStyle/>
          <a:p>
            <a:pPr>
              <a:defRPr sz="1000" b="0" i="0" u="none" strike="noStrike" baseline="0">
                <a:solidFill>
                  <a:srgbClr val="000000"/>
                </a:solidFill>
                <a:latin typeface="Calibri"/>
                <a:ea typeface="Calibri"/>
                <a:cs typeface="Calibri"/>
              </a:defRPr>
            </a:pPr>
            <a:endParaRPr lang="sk-SK"/>
          </a:p>
        </c:txPr>
        <c:crossAx val="215668992"/>
        <c:crosses val="autoZero"/>
        <c:crossBetween val="between"/>
      </c:valAx>
    </c:plotArea>
    <c:legend>
      <c:legendPos val="b"/>
      <c:layout>
        <c:manualLayout>
          <c:xMode val="edge"/>
          <c:yMode val="edge"/>
          <c:x val="0.1661648073325335"/>
          <c:y val="0.82251694028442524"/>
          <c:w val="0.74544800989193338"/>
          <c:h val="0.15129638206988838"/>
        </c:manualLayout>
      </c:layout>
      <c:overlay val="0"/>
      <c:txPr>
        <a:bodyPr/>
        <a:lstStyle/>
        <a:p>
          <a:pPr>
            <a:defRPr sz="845" b="0" i="0" u="none" strike="noStrike" baseline="0">
              <a:solidFill>
                <a:srgbClr val="000000"/>
              </a:solidFill>
              <a:latin typeface="Calibri"/>
              <a:ea typeface="Calibri"/>
              <a:cs typeface="Calibri"/>
            </a:defRPr>
          </a:pPr>
          <a:endParaRPr lang="sk-SK"/>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000000"/>
                </a:solidFill>
                <a:latin typeface="Calibri"/>
                <a:ea typeface="Calibri"/>
                <a:cs typeface="Calibri"/>
              </a:defRPr>
            </a:pPr>
            <a:r>
              <a:rPr lang="sk-SK"/>
              <a:t>UKAZOVATELE LIKVIDITY-Bio G spol.s r.o.                                v rokoch 2017 -2019</a:t>
            </a:r>
          </a:p>
        </c:rich>
      </c:tx>
      <c:layout>
        <c:manualLayout>
          <c:xMode val="edge"/>
          <c:yMode val="edge"/>
          <c:x val="0.13366628236890948"/>
          <c:y val="3.2407407407407406E-2"/>
        </c:manualLayout>
      </c:layout>
      <c:overlay val="0"/>
    </c:title>
    <c:autoTitleDeleted val="0"/>
    <c:plotArea>
      <c:layout/>
      <c:lineChart>
        <c:grouping val="standard"/>
        <c:varyColors val="0"/>
        <c:ser>
          <c:idx val="0"/>
          <c:order val="0"/>
          <c:tx>
            <c:strRef>
              <c:f>'ukazovat. likvidity a aktivity'!$A$2:$B$2</c:f>
              <c:strCache>
                <c:ptCount val="1"/>
                <c:pt idx="0">
                  <c:v>LIKVIDITA OKAMŽITÁ OPTIMUM:  1,0</c:v>
                </c:pt>
              </c:strCache>
            </c:strRef>
          </c:tx>
          <c:cat>
            <c:strRef>
              <c:f>'ukazovat. likvidity a aktivity'!$C$1:$E$1</c:f>
              <c:strCache>
                <c:ptCount val="3"/>
                <c:pt idx="0">
                  <c:v>ROK 2019</c:v>
                </c:pt>
                <c:pt idx="1">
                  <c:v>ROK 2018</c:v>
                </c:pt>
                <c:pt idx="2">
                  <c:v>ROK 2017</c:v>
                </c:pt>
              </c:strCache>
            </c:strRef>
          </c:cat>
          <c:val>
            <c:numRef>
              <c:f>'ukazovat. likvidity a aktivity'!$C$2:$E$2</c:f>
              <c:numCache>
                <c:formatCode>0.0000</c:formatCode>
                <c:ptCount val="3"/>
                <c:pt idx="0">
                  <c:v>4.3E-3</c:v>
                </c:pt>
                <c:pt idx="1">
                  <c:v>1.3899999999999999E-2</c:v>
                </c:pt>
                <c:pt idx="2">
                  <c:v>7.9000000000000008E-3</c:v>
                </c:pt>
              </c:numCache>
            </c:numRef>
          </c:val>
          <c:smooth val="0"/>
        </c:ser>
        <c:ser>
          <c:idx val="1"/>
          <c:order val="1"/>
          <c:tx>
            <c:strRef>
              <c:f>'ukazovat. likvidity a aktivity'!$A$3:$B$3</c:f>
              <c:strCache>
                <c:ptCount val="1"/>
                <c:pt idx="0">
                  <c:v>LIKVIDITA POHOTOVÁ OPTIMUM: 1,0 </c:v>
                </c:pt>
              </c:strCache>
            </c:strRef>
          </c:tx>
          <c:cat>
            <c:strRef>
              <c:f>'ukazovat. likvidity a aktivity'!$C$1:$E$1</c:f>
              <c:strCache>
                <c:ptCount val="3"/>
                <c:pt idx="0">
                  <c:v>ROK 2019</c:v>
                </c:pt>
                <c:pt idx="1">
                  <c:v>ROK 2018</c:v>
                </c:pt>
                <c:pt idx="2">
                  <c:v>ROK 2017</c:v>
                </c:pt>
              </c:strCache>
            </c:strRef>
          </c:cat>
          <c:val>
            <c:numRef>
              <c:f>'ukazovat. likvidity a aktivity'!$C$3:$E$3</c:f>
              <c:numCache>
                <c:formatCode>0.0000</c:formatCode>
                <c:ptCount val="3"/>
                <c:pt idx="0">
                  <c:v>1.3361000000000001</c:v>
                </c:pt>
                <c:pt idx="1">
                  <c:v>1.2709999999999999</c:v>
                </c:pt>
                <c:pt idx="2">
                  <c:v>1.1996</c:v>
                </c:pt>
              </c:numCache>
            </c:numRef>
          </c:val>
          <c:smooth val="0"/>
        </c:ser>
        <c:ser>
          <c:idx val="2"/>
          <c:order val="2"/>
          <c:tx>
            <c:strRef>
              <c:f>'ukazovat. likvidity a aktivity'!$A$4:$B$4</c:f>
              <c:strCache>
                <c:ptCount val="1"/>
                <c:pt idx="0">
                  <c:v>LIKVIDITA BEŽNÁ OPTIMUM: &gt; 1,5</c:v>
                </c:pt>
              </c:strCache>
            </c:strRef>
          </c:tx>
          <c:cat>
            <c:strRef>
              <c:f>'ukazovat. likvidity a aktivity'!$C$1:$E$1</c:f>
              <c:strCache>
                <c:ptCount val="3"/>
                <c:pt idx="0">
                  <c:v>ROK 2019</c:v>
                </c:pt>
                <c:pt idx="1">
                  <c:v>ROK 2018</c:v>
                </c:pt>
                <c:pt idx="2">
                  <c:v>ROK 2017</c:v>
                </c:pt>
              </c:strCache>
            </c:strRef>
          </c:cat>
          <c:val>
            <c:numRef>
              <c:f>'ukazovat. likvidity a aktivity'!$C$4:$E$4</c:f>
              <c:numCache>
                <c:formatCode>General</c:formatCode>
                <c:ptCount val="3"/>
                <c:pt idx="0">
                  <c:v>1.796</c:v>
                </c:pt>
                <c:pt idx="1">
                  <c:v>1.6967000000000001</c:v>
                </c:pt>
                <c:pt idx="2">
                  <c:v>1.5885</c:v>
                </c:pt>
              </c:numCache>
            </c:numRef>
          </c:val>
          <c:smooth val="0"/>
        </c:ser>
        <c:dLbls>
          <c:showLegendKey val="0"/>
          <c:showVal val="0"/>
          <c:showCatName val="0"/>
          <c:showSerName val="0"/>
          <c:showPercent val="0"/>
          <c:showBubbleSize val="0"/>
        </c:dLbls>
        <c:marker val="1"/>
        <c:smooth val="0"/>
        <c:axId val="230340096"/>
        <c:axId val="230341632"/>
      </c:lineChart>
      <c:catAx>
        <c:axId val="23034009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30341632"/>
        <c:crosses val="autoZero"/>
        <c:auto val="1"/>
        <c:lblAlgn val="ctr"/>
        <c:lblOffset val="100"/>
        <c:noMultiLvlLbl val="0"/>
      </c:catAx>
      <c:valAx>
        <c:axId val="230341632"/>
        <c:scaling>
          <c:orientation val="minMax"/>
        </c:scaling>
        <c:delete val="0"/>
        <c:axPos val="l"/>
        <c:majorGridlines/>
        <c:numFmt formatCode="0.0000" sourceLinked="1"/>
        <c:majorTickMark val="none"/>
        <c:minorTickMark val="none"/>
        <c:tickLblPos val="nextTo"/>
        <c:spPr>
          <a:ln w="9525">
            <a:noFill/>
          </a:ln>
        </c:spPr>
        <c:txPr>
          <a:bodyPr rot="0" vert="horz"/>
          <a:lstStyle/>
          <a:p>
            <a:pPr>
              <a:defRPr sz="1000" b="0" i="0" u="none" strike="noStrike" baseline="0">
                <a:solidFill>
                  <a:srgbClr val="000000"/>
                </a:solidFill>
                <a:latin typeface="Calibri"/>
                <a:ea typeface="Calibri"/>
                <a:cs typeface="Calibri"/>
              </a:defRPr>
            </a:pPr>
            <a:endParaRPr lang="sk-SK"/>
          </a:p>
        </c:txPr>
        <c:crossAx val="230340096"/>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sk-SK"/>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Ukazovatele aktivity</a:t>
            </a:r>
          </a:p>
        </c:rich>
      </c:tx>
      <c:overlay val="0"/>
    </c:title>
    <c:autoTitleDeleted val="0"/>
    <c:plotArea>
      <c:layout/>
      <c:lineChart>
        <c:grouping val="standard"/>
        <c:varyColors val="0"/>
        <c:ser>
          <c:idx val="0"/>
          <c:order val="0"/>
          <c:tx>
            <c:strRef>
              <c:f>'ukazovat. likvidity a aktivity'!$A$42</c:f>
              <c:strCache>
                <c:ptCount val="1"/>
                <c:pt idx="0">
                  <c:v>DOBA OBRATU ZÁSOB (z tržieb )</c:v>
                </c:pt>
              </c:strCache>
            </c:strRef>
          </c:tx>
          <c:cat>
            <c:strRef>
              <c:f>'ukazovat. likvidity a aktivity'!$B$41:$E$41</c:f>
              <c:strCache>
                <c:ptCount val="4"/>
                <c:pt idx="1">
                  <c:v>ROK 2019</c:v>
                </c:pt>
                <c:pt idx="2">
                  <c:v>ROK 2018</c:v>
                </c:pt>
                <c:pt idx="3">
                  <c:v>ROK 2017</c:v>
                </c:pt>
              </c:strCache>
            </c:strRef>
          </c:cat>
          <c:val>
            <c:numRef>
              <c:f>'ukazovat. likvidity a aktivity'!$B$42:$E$42</c:f>
              <c:numCache>
                <c:formatCode>0</c:formatCode>
                <c:ptCount val="4"/>
                <c:pt idx="1">
                  <c:v>38.5</c:v>
                </c:pt>
                <c:pt idx="2" formatCode="General">
                  <c:v>45</c:v>
                </c:pt>
                <c:pt idx="3" formatCode="General">
                  <c:v>48</c:v>
                </c:pt>
              </c:numCache>
            </c:numRef>
          </c:val>
          <c:smooth val="0"/>
        </c:ser>
        <c:ser>
          <c:idx val="1"/>
          <c:order val="1"/>
          <c:tx>
            <c:strRef>
              <c:f>'ukazovat. likvidity a aktivity'!$A$43</c:f>
              <c:strCache>
                <c:ptCount val="1"/>
                <c:pt idx="0">
                  <c:v>DOBA OBRATU KRÁTKODOBÝCH POHĽADÁVOK</c:v>
                </c:pt>
              </c:strCache>
            </c:strRef>
          </c:tx>
          <c:cat>
            <c:strRef>
              <c:f>'ukazovat. likvidity a aktivity'!$B$41:$E$41</c:f>
              <c:strCache>
                <c:ptCount val="4"/>
                <c:pt idx="1">
                  <c:v>ROK 2019</c:v>
                </c:pt>
                <c:pt idx="2">
                  <c:v>ROK 2018</c:v>
                </c:pt>
                <c:pt idx="3">
                  <c:v>ROK 2017</c:v>
                </c:pt>
              </c:strCache>
            </c:strRef>
          </c:cat>
          <c:val>
            <c:numRef>
              <c:f>'ukazovat. likvidity a aktivity'!$B$43:$E$43</c:f>
              <c:numCache>
                <c:formatCode>0</c:formatCode>
                <c:ptCount val="4"/>
                <c:pt idx="1">
                  <c:v>111.6</c:v>
                </c:pt>
                <c:pt idx="2">
                  <c:v>133</c:v>
                </c:pt>
                <c:pt idx="3">
                  <c:v>146</c:v>
                </c:pt>
              </c:numCache>
            </c:numRef>
          </c:val>
          <c:smooth val="0"/>
        </c:ser>
        <c:ser>
          <c:idx val="2"/>
          <c:order val="2"/>
          <c:tx>
            <c:strRef>
              <c:f>'ukazovat. likvidity a aktivity'!$A$44</c:f>
              <c:strCache>
                <c:ptCount val="1"/>
                <c:pt idx="0">
                  <c:v>DOBA SPLATNOSTI KRÁTKODOBÝCH ZÁVӒZKOV</c:v>
                </c:pt>
              </c:strCache>
            </c:strRef>
          </c:tx>
          <c:cat>
            <c:strRef>
              <c:f>'ukazovat. likvidity a aktivity'!$B$41:$E$41</c:f>
              <c:strCache>
                <c:ptCount val="4"/>
                <c:pt idx="1">
                  <c:v>ROK 2019</c:v>
                </c:pt>
                <c:pt idx="2">
                  <c:v>ROK 2018</c:v>
                </c:pt>
                <c:pt idx="3">
                  <c:v>ROK 2017</c:v>
                </c:pt>
              </c:strCache>
            </c:strRef>
          </c:cat>
          <c:val>
            <c:numRef>
              <c:f>'ukazovat. likvidity a aktivity'!$B$44:$E$44</c:f>
              <c:numCache>
                <c:formatCode>0</c:formatCode>
                <c:ptCount val="4"/>
                <c:pt idx="1">
                  <c:v>83.7</c:v>
                </c:pt>
                <c:pt idx="2" formatCode="General">
                  <c:v>106</c:v>
                </c:pt>
                <c:pt idx="3" formatCode="General">
                  <c:v>125</c:v>
                </c:pt>
              </c:numCache>
            </c:numRef>
          </c:val>
          <c:smooth val="0"/>
        </c:ser>
        <c:ser>
          <c:idx val="3"/>
          <c:order val="3"/>
          <c:tx>
            <c:strRef>
              <c:f>'ukazovat. likvidity a aktivity'!$A$45</c:f>
              <c:strCache>
                <c:ptCount val="1"/>
                <c:pt idx="0">
                  <c:v>DOBA OBRATU AKTÍV</c:v>
                </c:pt>
              </c:strCache>
            </c:strRef>
          </c:tx>
          <c:cat>
            <c:strRef>
              <c:f>'ukazovat. likvidity a aktivity'!$B$41:$E$41</c:f>
              <c:strCache>
                <c:ptCount val="4"/>
                <c:pt idx="1">
                  <c:v>ROK 2019</c:v>
                </c:pt>
                <c:pt idx="2">
                  <c:v>ROK 2018</c:v>
                </c:pt>
                <c:pt idx="3">
                  <c:v>ROK 2017</c:v>
                </c:pt>
              </c:strCache>
            </c:strRef>
          </c:cat>
          <c:val>
            <c:numRef>
              <c:f>'ukazovat. likvidity a aktivity'!$B$45:$E$45</c:f>
              <c:numCache>
                <c:formatCode>0</c:formatCode>
                <c:ptCount val="4"/>
                <c:pt idx="1">
                  <c:v>186</c:v>
                </c:pt>
                <c:pt idx="2" formatCode="General">
                  <c:v>219</c:v>
                </c:pt>
                <c:pt idx="3" formatCode="General">
                  <c:v>228</c:v>
                </c:pt>
              </c:numCache>
            </c:numRef>
          </c:val>
          <c:smooth val="0"/>
        </c:ser>
        <c:dLbls>
          <c:showLegendKey val="0"/>
          <c:showVal val="0"/>
          <c:showCatName val="0"/>
          <c:showSerName val="0"/>
          <c:showPercent val="0"/>
          <c:showBubbleSize val="0"/>
        </c:dLbls>
        <c:marker val="1"/>
        <c:smooth val="0"/>
        <c:axId val="230356480"/>
        <c:axId val="230358016"/>
      </c:lineChart>
      <c:catAx>
        <c:axId val="230356480"/>
        <c:scaling>
          <c:orientation val="minMax"/>
        </c:scaling>
        <c:delete val="0"/>
        <c:axPos val="b"/>
        <c:majorTickMark val="none"/>
        <c:minorTickMark val="none"/>
        <c:tickLblPos val="nextTo"/>
        <c:crossAx val="230358016"/>
        <c:crosses val="autoZero"/>
        <c:auto val="1"/>
        <c:lblAlgn val="ctr"/>
        <c:lblOffset val="100"/>
        <c:noMultiLvlLbl val="0"/>
      </c:catAx>
      <c:valAx>
        <c:axId val="230358016"/>
        <c:scaling>
          <c:orientation val="minMax"/>
        </c:scaling>
        <c:delete val="0"/>
        <c:axPos val="l"/>
        <c:majorGridlines/>
        <c:title>
          <c:tx>
            <c:rich>
              <a:bodyPr/>
              <a:lstStyle/>
              <a:p>
                <a:pPr>
                  <a:defRPr/>
                </a:pPr>
                <a:r>
                  <a:rPr lang="en-US"/>
                  <a:t>dni</a:t>
                </a:r>
              </a:p>
            </c:rich>
          </c:tx>
          <c:overlay val="0"/>
        </c:title>
        <c:numFmt formatCode="0" sourceLinked="1"/>
        <c:majorTickMark val="none"/>
        <c:minorTickMark val="none"/>
        <c:tickLblPos val="nextTo"/>
        <c:crossAx val="23035648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sk-SK"/>
              <a:t>UKAZOVATELE RENTABILITY  Bio G spol.s r.o. v rokoch 2017 - 2019</a:t>
            </a:r>
          </a:p>
        </c:rich>
      </c:tx>
      <c:layout>
        <c:manualLayout>
          <c:xMode val="edge"/>
          <c:yMode val="edge"/>
          <c:x val="0.11790793530487834"/>
          <c:y val="2.8498815696818385E-2"/>
        </c:manualLayout>
      </c:layout>
      <c:overlay val="0"/>
    </c:title>
    <c:autoTitleDeleted val="0"/>
    <c:plotArea>
      <c:layout/>
      <c:lineChart>
        <c:grouping val="standard"/>
        <c:varyColors val="0"/>
        <c:ser>
          <c:idx val="0"/>
          <c:order val="0"/>
          <c:tx>
            <c:strRef>
              <c:f>'ukazovatele rentability'!$A$3</c:f>
              <c:strCache>
                <c:ptCount val="1"/>
                <c:pt idx="0">
                  <c:v>RENTABILITA CELKOVÉHO KAPITÁLU   ROA</c:v>
                </c:pt>
              </c:strCache>
            </c:strRef>
          </c:tx>
          <c:cat>
            <c:strRef>
              <c:f>'ukazovatele rentability'!$B$2:$D$2</c:f>
              <c:strCache>
                <c:ptCount val="3"/>
                <c:pt idx="0">
                  <c:v>ROK 2019</c:v>
                </c:pt>
                <c:pt idx="1">
                  <c:v>ROK 2018</c:v>
                </c:pt>
                <c:pt idx="2">
                  <c:v>ROK 2017</c:v>
                </c:pt>
              </c:strCache>
            </c:strRef>
          </c:cat>
          <c:val>
            <c:numRef>
              <c:f>'ukazovatele rentability'!$B$3:$D$3</c:f>
              <c:numCache>
                <c:formatCode>0.00%</c:formatCode>
                <c:ptCount val="3"/>
                <c:pt idx="0">
                  <c:v>1.32E-2</c:v>
                </c:pt>
                <c:pt idx="1">
                  <c:v>2.8199999999999999E-2</c:v>
                </c:pt>
                <c:pt idx="2">
                  <c:v>1.61E-2</c:v>
                </c:pt>
              </c:numCache>
            </c:numRef>
          </c:val>
          <c:smooth val="0"/>
        </c:ser>
        <c:ser>
          <c:idx val="1"/>
          <c:order val="1"/>
          <c:tx>
            <c:strRef>
              <c:f>'ukazovatele rentability'!$A$4</c:f>
              <c:strCache>
                <c:ptCount val="1"/>
                <c:pt idx="0">
                  <c:v>RENTABILITA TRŽIEB                               ROS</c:v>
                </c:pt>
              </c:strCache>
            </c:strRef>
          </c:tx>
          <c:cat>
            <c:strRef>
              <c:f>'ukazovatele rentability'!$B$2:$D$2</c:f>
              <c:strCache>
                <c:ptCount val="3"/>
                <c:pt idx="0">
                  <c:v>ROK 2019</c:v>
                </c:pt>
                <c:pt idx="1">
                  <c:v>ROK 2018</c:v>
                </c:pt>
                <c:pt idx="2">
                  <c:v>ROK 2017</c:v>
                </c:pt>
              </c:strCache>
            </c:strRef>
          </c:cat>
          <c:val>
            <c:numRef>
              <c:f>'ukazovatele rentability'!$B$4:$D$4</c:f>
              <c:numCache>
                <c:formatCode>0.00%</c:formatCode>
                <c:ptCount val="3"/>
                <c:pt idx="0">
                  <c:v>6.7000000000000002E-3</c:v>
                </c:pt>
                <c:pt idx="1">
                  <c:v>1.6899999999999998E-2</c:v>
                </c:pt>
                <c:pt idx="2">
                  <c:v>0.01</c:v>
                </c:pt>
              </c:numCache>
            </c:numRef>
          </c:val>
          <c:smooth val="0"/>
        </c:ser>
        <c:ser>
          <c:idx val="2"/>
          <c:order val="2"/>
          <c:tx>
            <c:strRef>
              <c:f>'ukazovatele rentability'!$A$5</c:f>
              <c:strCache>
                <c:ptCount val="1"/>
                <c:pt idx="0">
                  <c:v>RENTABILITA VLASTNÉHO KAPITÁLU   ROE</c:v>
                </c:pt>
              </c:strCache>
            </c:strRef>
          </c:tx>
          <c:cat>
            <c:strRef>
              <c:f>'ukazovatele rentability'!$B$2:$D$2</c:f>
              <c:strCache>
                <c:ptCount val="3"/>
                <c:pt idx="0">
                  <c:v>ROK 2019</c:v>
                </c:pt>
                <c:pt idx="1">
                  <c:v>ROK 2018</c:v>
                </c:pt>
                <c:pt idx="2">
                  <c:v>ROK 2017</c:v>
                </c:pt>
              </c:strCache>
            </c:strRef>
          </c:cat>
          <c:val>
            <c:numRef>
              <c:f>'ukazovatele rentability'!$B$5:$D$5</c:f>
              <c:numCache>
                <c:formatCode>0.00%</c:formatCode>
                <c:ptCount val="3"/>
                <c:pt idx="0">
                  <c:v>3.0200000000000001E-2</c:v>
                </c:pt>
                <c:pt idx="1">
                  <c:v>7.1300000000000002E-2</c:v>
                </c:pt>
                <c:pt idx="2">
                  <c:v>4.0300000000000002E-2</c:v>
                </c:pt>
              </c:numCache>
            </c:numRef>
          </c:val>
          <c:smooth val="0"/>
        </c:ser>
        <c:dLbls>
          <c:showLegendKey val="0"/>
          <c:showVal val="0"/>
          <c:showCatName val="0"/>
          <c:showSerName val="0"/>
          <c:showPercent val="0"/>
          <c:showBubbleSize val="0"/>
        </c:dLbls>
        <c:marker val="1"/>
        <c:smooth val="0"/>
        <c:axId val="230306944"/>
        <c:axId val="230308480"/>
      </c:lineChart>
      <c:catAx>
        <c:axId val="23030694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30308480"/>
        <c:crosses val="autoZero"/>
        <c:auto val="1"/>
        <c:lblAlgn val="ctr"/>
        <c:lblOffset val="100"/>
        <c:noMultiLvlLbl val="0"/>
      </c:catAx>
      <c:valAx>
        <c:axId val="230308480"/>
        <c:scaling>
          <c:orientation val="minMax"/>
        </c:scaling>
        <c:delete val="0"/>
        <c:axPos val="l"/>
        <c:majorGridlines/>
        <c:numFmt formatCode="0.00%" sourceLinked="1"/>
        <c:majorTickMark val="none"/>
        <c:minorTickMark val="none"/>
        <c:tickLblPos val="nextTo"/>
        <c:spPr>
          <a:ln w="9525">
            <a:noFill/>
          </a:ln>
        </c:spPr>
        <c:txPr>
          <a:bodyPr rot="0" vert="horz"/>
          <a:lstStyle/>
          <a:p>
            <a:pPr>
              <a:defRPr sz="1000" b="0" i="0" u="none" strike="noStrike" baseline="0">
                <a:solidFill>
                  <a:srgbClr val="000000"/>
                </a:solidFill>
                <a:latin typeface="Calibri"/>
                <a:ea typeface="Calibri"/>
                <a:cs typeface="Calibri"/>
              </a:defRPr>
            </a:pPr>
            <a:endParaRPr lang="sk-SK"/>
          </a:p>
        </c:txPr>
        <c:crossAx val="230306944"/>
        <c:crosses val="autoZero"/>
        <c:crossBetween val="between"/>
      </c:valAx>
    </c:plotArea>
    <c:legend>
      <c:legendPos val="b"/>
      <c:overlay val="0"/>
      <c:txPr>
        <a:bodyPr/>
        <a:lstStyle/>
        <a:p>
          <a:pPr>
            <a:defRPr sz="920" b="0" i="0" u="none" strike="noStrike" baseline="0">
              <a:solidFill>
                <a:srgbClr val="000000"/>
              </a:solidFill>
              <a:latin typeface="Calibri"/>
              <a:ea typeface="Calibri"/>
              <a:cs typeface="Calibri"/>
            </a:defRPr>
          </a:pPr>
          <a:endParaRPr lang="sk-SK"/>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73C7E-ADA3-47CA-B320-6BD15F87F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3523</Words>
  <Characters>20082</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Výročná správa 2014</vt:lpstr>
    </vt:vector>
  </TitlesOfParts>
  <Company>ALFA s.r.o.</Company>
  <LinksUpToDate>false</LinksUpToDate>
  <CharactersWithSpaces>23558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Monika Žitná</cp:lastModifiedBy>
  <cp:revision>4</cp:revision>
  <cp:lastPrinted>2016-04-05T10:36:00Z</cp:lastPrinted>
  <dcterms:created xsi:type="dcterms:W3CDTF">2020-05-20T12:50:00Z</dcterms:created>
  <dcterms:modified xsi:type="dcterms:W3CDTF">2020-05-27T07:08:00Z</dcterms:modified>
</cp:coreProperties>
</file>