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4"/>
        <w:gridCol w:w="6602"/>
      </w:tblGrid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PENTES, s.r.o.</w:t>
            </w:r>
          </w:p>
        </w:tc>
      </w:tr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44539525</w:t>
            </w:r>
          </w:p>
        </w:tc>
      </w:tr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Mojš 8,01001 Žilina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8"/>
        <w:gridCol w:w="2126"/>
        <w:gridCol w:w="3343"/>
      </w:tblGrid>
      <w:tr>
        <w:trPr/>
        <w:tc>
          <w:tcPr>
            <w:tcW w:w="4218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8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Účtovná jednotka je zostavená za predpokladu , že bude naďalej pokračovať nepretržite vo svojej činnosti.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Menovitá hodnota 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Menovitá hodnota 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odpisový plán zostavuje prostredníctvom programu „MADO“.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Daňové odpisy sa rovnajú účtovným. Nakúpený majetok do 1700.- EUR účtuje priamo do spotreby na účet 501/AE. Majetok nad 1700.- EUR zaradí do odpisovej skupiny v zmysle zákona o daní z príjmu.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Automobil KIA odpisová skupina 1, rovnomerný odpis </w:t>
      </w:r>
      <w:r>
        <w:rPr>
          <w:rFonts w:cs="Arial" w:ascii="Arial" w:hAnsi="Arial"/>
          <w:sz w:val="22"/>
          <w:szCs w:val="22"/>
        </w:rPr>
        <w:t>, zostatková hodnota 0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Zdravotnícke zariadenie -ultrazvukový prístroj , rovnomerné odpisovanie , odpisová skupina 2 </w:t>
      </w:r>
      <w:r>
        <w:rPr>
          <w:rFonts w:cs="Arial" w:ascii="Arial" w:hAnsi="Arial"/>
          <w:sz w:val="22"/>
          <w:szCs w:val="22"/>
        </w:rPr>
        <w:t xml:space="preserve">zostatková hodnota 0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EKG Holter CardiUPI3-rovnomerný odpis odpisová skupina 1 , </w:t>
      </w:r>
      <w:r>
        <w:rPr>
          <w:rFonts w:cs="Arial" w:ascii="Arial" w:hAnsi="Arial"/>
          <w:sz w:val="22"/>
          <w:szCs w:val="22"/>
        </w:rPr>
        <w:t>zostaková hodnota 1881 EUR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Dlhodobý nehmotný majetok spoločnosť nevlastní, majetok do 2400,- EUR účtuje priamo na účet 518/AE.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>Účtovná jednotka počas roka 201</w:t>
      </w:r>
      <w:r>
        <w:rPr>
          <w:rFonts w:cs="Arial" w:ascii="Arial" w:hAnsi="Arial"/>
          <w:spacing w:val="-5"/>
          <w:sz w:val="22"/>
          <w:szCs w:val="22"/>
        </w:rPr>
        <w:t xml:space="preserve">9 </w:t>
      </w:r>
      <w:r>
        <w:rPr>
          <w:rFonts w:cs="Arial" w:ascii="Arial" w:hAnsi="Arial"/>
          <w:spacing w:val="-5"/>
          <w:sz w:val="22"/>
          <w:szCs w:val="22"/>
        </w:rPr>
        <w:t>nemenila účtovné metódy ani zásady nepretržite pokračuje vo svojej činnosti.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Účtovná jednotka v roku 201</w:t>
      </w:r>
      <w:r>
        <w:rPr>
          <w:rFonts w:cs="Arial" w:ascii="Arial" w:hAnsi="Arial"/>
          <w:spacing w:val="-4"/>
          <w:sz w:val="22"/>
          <w:szCs w:val="22"/>
        </w:rPr>
        <w:t>9</w:t>
      </w:r>
      <w:r>
        <w:rPr>
          <w:rFonts w:cs="Arial" w:ascii="Arial" w:hAnsi="Arial"/>
          <w:spacing w:val="-4"/>
          <w:sz w:val="22"/>
          <w:szCs w:val="22"/>
        </w:rPr>
        <w:t xml:space="preserve"> , účtovala o daroch, ktoré </w:t>
      </w:r>
      <w:r>
        <w:rPr>
          <w:rFonts w:cs="Arial" w:ascii="Arial" w:hAnsi="Arial"/>
          <w:spacing w:val="-4"/>
          <w:sz w:val="22"/>
          <w:szCs w:val="22"/>
        </w:rPr>
        <w:t xml:space="preserve"> sú pripočítateľnou položkou k ZD v roku 2019. M</w:t>
      </w:r>
      <w:r>
        <w:rPr>
          <w:rFonts w:cs="Arial" w:ascii="Arial" w:hAnsi="Arial"/>
          <w:spacing w:val="-4"/>
          <w:sz w:val="22"/>
          <w:szCs w:val="22"/>
        </w:rPr>
        <w:t>ali vplyv na účtovný zisk 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  <w:highlight w:val="yellow"/>
        </w:rPr>
        <w:t>2.</w:t>
      </w:r>
      <w:r>
        <w:rPr>
          <w:rFonts w:cs="Arial" w:ascii="Arial" w:hAnsi="Arial"/>
          <w:i/>
          <w:spacing w:val="-4"/>
          <w:sz w:val="22"/>
          <w:szCs w:val="22"/>
          <w:highlight w:val="yellow"/>
        </w:rPr>
        <w:t xml:space="preserve"> </w:t>
      </w:r>
      <w:r>
        <w:rPr>
          <w:rFonts w:cs="Arial" w:ascii="Arial" w:hAnsi="Arial"/>
          <w:spacing w:val="-4"/>
          <w:sz w:val="22"/>
          <w:szCs w:val="22"/>
          <w:highlight w:val="yellow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highlight w:val="yellow"/>
          <w:u w:val="single"/>
        </w:rPr>
        <w:t>n</w:t>
      </w:r>
      <w:r>
        <w:rPr>
          <w:rFonts w:cs="Arial" w:ascii="Arial" w:hAnsi="Arial"/>
          <w:sz w:val="22"/>
          <w:szCs w:val="22"/>
          <w:highlight w:val="yellow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highlight w:val="yellow"/>
          <w:u w:val="single"/>
        </w:rPr>
        <w:t>r</w:t>
      </w:r>
      <w:r>
        <w:rPr>
          <w:rFonts w:cs="Arial" w:ascii="Arial" w:hAnsi="Arial"/>
          <w:sz w:val="22"/>
          <w:szCs w:val="22"/>
          <w:highlight w:val="yellow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highlight w:val="yellow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highlight w:val="yellow"/>
          <w:u w:val="single"/>
        </w:rPr>
        <w:t>i</w:t>
      </w:r>
      <w:r>
        <w:rPr>
          <w:rFonts w:cs="Arial" w:ascii="Arial" w:hAnsi="Arial"/>
          <w:sz w:val="22"/>
          <w:szCs w:val="22"/>
          <w:highlight w:val="yellow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highlight w:val="yellow"/>
          <w:u w:val="single"/>
        </w:rPr>
        <w:t xml:space="preserve"> </w:t>
      </w:r>
      <w:r>
        <w:rPr>
          <w:rFonts w:cs="Arial" w:ascii="Arial" w:hAnsi="Arial"/>
          <w:sz w:val="22"/>
          <w:szCs w:val="22"/>
          <w:highlight w:val="yellow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highlight w:val="yellow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highlight w:val="yellow"/>
          <w:u w:val="single"/>
        </w:rPr>
        <w:t>á</w:t>
      </w:r>
      <w:r>
        <w:rPr>
          <w:rFonts w:cs="Arial" w:ascii="Arial" w:hAnsi="Arial"/>
          <w:sz w:val="22"/>
          <w:szCs w:val="22"/>
          <w:highlight w:val="yellow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highlight w:val="yellow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highlight w:val="yellow"/>
          <w:u w:val="single"/>
        </w:rPr>
        <w:t>z</w:t>
      </w:r>
      <w:r>
        <w:rPr>
          <w:rFonts w:cs="Arial" w:ascii="Arial" w:hAnsi="Arial"/>
          <w:sz w:val="22"/>
          <w:szCs w:val="22"/>
          <w:highlight w:val="yellow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highlight w:val="yellow"/>
          <w:u w:val="single"/>
        </w:rPr>
        <w:t>c</w:t>
      </w:r>
      <w:r>
        <w:rPr>
          <w:rFonts w:cs="Arial" w:ascii="Arial" w:hAnsi="Arial"/>
          <w:sz w:val="22"/>
          <w:szCs w:val="22"/>
          <w:highlight w:val="yellow"/>
          <w:u w:val="single"/>
        </w:rPr>
        <w:t>h</w:t>
      </w:r>
      <w:r>
        <w:rPr>
          <w:rFonts w:cs="Arial" w:ascii="Arial" w:hAnsi="Arial"/>
          <w:sz w:val="22"/>
          <w:szCs w:val="22"/>
          <w:highlight w:val="yellow"/>
        </w:rPr>
        <w:t>,</w:t>
      </w:r>
      <w:r>
        <w:rPr>
          <w:rFonts w:cs="Arial" w:ascii="Arial" w:hAnsi="Arial"/>
          <w:spacing w:val="2"/>
          <w:sz w:val="22"/>
          <w:szCs w:val="22"/>
          <w:highlight w:val="yellow"/>
        </w:rPr>
        <w:t xml:space="preserve"> </w:t>
      </w:r>
      <w:r>
        <w:rPr>
          <w:rFonts w:cs="Arial" w:ascii="Arial" w:hAnsi="Arial"/>
          <w:sz w:val="22"/>
          <w:szCs w:val="22"/>
          <w:highlight w:val="yellow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Celková suma záväzkov : </w:t>
      </w:r>
      <w:r>
        <w:rPr>
          <w:rFonts w:cs="Arial" w:ascii="Arial" w:hAnsi="Arial"/>
          <w:sz w:val="22"/>
          <w:szCs w:val="22"/>
        </w:rPr>
        <w:t>10.416</w:t>
      </w:r>
      <w:r>
        <w:rPr>
          <w:rFonts w:cs="Arial" w:ascii="Arial" w:hAnsi="Arial"/>
          <w:sz w:val="22"/>
          <w:szCs w:val="22"/>
        </w:rPr>
        <w:t xml:space="preserve"> EUR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Z toho z obchodného styku:  </w:t>
      </w:r>
      <w:r>
        <w:rPr>
          <w:rFonts w:cs="Arial" w:ascii="Arial" w:hAnsi="Arial"/>
          <w:sz w:val="22"/>
          <w:szCs w:val="22"/>
        </w:rPr>
        <w:t xml:space="preserve">122 </w:t>
      </w:r>
      <w:r>
        <w:rPr>
          <w:rFonts w:cs="Arial" w:ascii="Arial" w:hAnsi="Arial"/>
          <w:sz w:val="22"/>
          <w:szCs w:val="22"/>
        </w:rPr>
        <w:t xml:space="preserve"> EUR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 xml:space="preserve">- </w:t>
      </w:r>
      <w:r>
        <w:rPr>
          <w:rFonts w:cs="Arial" w:ascii="Arial" w:hAnsi="Arial"/>
          <w:sz w:val="22"/>
          <w:szCs w:val="22"/>
        </w:rPr>
        <w:t xml:space="preserve"> záväzky s</w:t>
      </w:r>
      <w:r>
        <w:rPr>
          <w:rFonts w:cs="Arial" w:ascii="Arial" w:hAnsi="Arial"/>
          <w:sz w:val="22"/>
          <w:szCs w:val="22"/>
        </w:rPr>
        <w:t>ú v lehote splatnosti.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  </w:t>
      </w:r>
      <w:r>
        <w:rPr>
          <w:rFonts w:cs="Arial" w:ascii="Arial" w:hAnsi="Arial"/>
          <w:sz w:val="22"/>
          <w:szCs w:val="22"/>
        </w:rPr>
        <w:t xml:space="preserve">Nad 5 rokov </w:t>
      </w:r>
      <w:r>
        <w:rPr>
          <w:rFonts w:cs="Arial" w:ascii="Arial" w:hAnsi="Arial"/>
          <w:sz w:val="22"/>
          <w:szCs w:val="22"/>
        </w:rPr>
        <w:t xml:space="preserve">spoločnosť </w:t>
      </w:r>
      <w:r>
        <w:rPr>
          <w:rFonts w:cs="Arial" w:ascii="Arial" w:hAnsi="Arial"/>
          <w:sz w:val="22"/>
          <w:szCs w:val="22"/>
        </w:rPr>
        <w:t xml:space="preserve"> neeviduj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z w:val="22"/>
          <w:szCs w:val="22"/>
        </w:rPr>
        <w:t xml:space="preserve"> žiadne záväzky.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 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  <w:r>
        <w:rPr>
          <w:rFonts w:cs="Arial" w:ascii="Arial" w:hAnsi="Arial"/>
          <w:sz w:val="22"/>
          <w:szCs w:val="22"/>
        </w:rPr>
        <w:t>- 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  <w:r>
        <w:rPr>
          <w:rFonts w:cs="Arial" w:ascii="Arial" w:hAnsi="Arial"/>
          <w:sz w:val="22"/>
          <w:szCs w:val="22"/>
        </w:rPr>
        <w:t>- 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  <w:r>
        <w:rPr>
          <w:rFonts w:cs="Arial" w:ascii="Arial" w:hAnsi="Arial"/>
          <w:sz w:val="22"/>
          <w:szCs w:val="22"/>
        </w:rPr>
        <w:t>- 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 </w:t>
      </w:r>
    </w:p>
    <w:p>
      <w:pPr>
        <w:pStyle w:val="Normal"/>
        <w:rPr/>
      </w:pPr>
      <w:r>
        <w:rPr/>
        <w:t xml:space="preserve">V Žiline , </w:t>
      </w:r>
      <w:r>
        <w:rPr>
          <w:lang w:val="sk-SK"/>
        </w:rPr>
        <w:t>15.05.2020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1" allowOverlap="1" relativeHeight="5" wp14:anchorId="4A22183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stroked="f" style="position:absolute;margin-left:483.9pt;margin-top:800.05pt;width:42.55pt;height:13.95pt;mso-position-horizontal-relative:page;mso-position-vertical-relative:page" wp14:anchorId="4A221832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4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ČO:44539525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2022725386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pPr>
      <w:widowControl w:val="false"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LibreOffice/6.3.1.2$Windows_x86 LibreOffice_project/b79626edf0065ac373bd1df5c28bd630b4424273</Application>
  <Pages>4</Pages>
  <Words>1124</Words>
  <Characters>6788</Characters>
  <CharactersWithSpaces>7981</CharactersWithSpaces>
  <Paragraphs>89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2019-03-22T13:22:00Z</dcterms:created>
  <dc:creator>maria</dc:creator>
  <dc:description/>
  <dc:language>sk-SK</dc:language>
  <cp:lastModifiedBy/>
  <cp:lastPrinted>2017-03-27T13:17:00Z</cp:lastPrinted>
  <dcterms:modified xsi:type="dcterms:W3CDTF">2020-03-21T17:27:19Z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