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ListParagraph"/>
        <w:numPr>
          <w:ilvl w:val="0"/>
          <w:numId w:val="2"/>
        </w:numPr>
        <w:rPr>
          <w:b/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Charakteristika nadácie</w:t>
      </w:r>
    </w:p>
    <w:p>
      <w:pPr>
        <w:pStyle w:val="ListParagraph"/>
        <w:rPr>
          <w:b/>
          <w:b/>
          <w:bCs/>
          <w:sz w:val="32"/>
          <w:szCs w:val="32"/>
        </w:rPr>
      </w:pPr>
      <w:r>
        <w:rPr>
          <w:b/>
          <w:bCs/>
          <w:sz w:val="32"/>
          <w:szCs w:val="32"/>
        </w:rPr>
      </w:r>
    </w:p>
    <w:p>
      <w:pPr>
        <w:pStyle w:val="ListParagraph"/>
        <w:rPr>
          <w:b/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Názov nadácie : Nadácia pre budúcnosť – a jövőért alapítvány</w:t>
      </w:r>
    </w:p>
    <w:p>
      <w:pPr>
        <w:pStyle w:val="ListParagraph"/>
        <w:rPr>
          <w:b/>
          <w:b/>
          <w:bCs/>
          <w:sz w:val="32"/>
          <w:szCs w:val="32"/>
        </w:rPr>
      </w:pPr>
      <w:r>
        <w:rPr>
          <w:b/>
          <w:bCs/>
          <w:sz w:val="32"/>
          <w:szCs w:val="32"/>
        </w:rPr>
      </w:r>
    </w:p>
    <w:p>
      <w:pPr>
        <w:pStyle w:val="ListParagraph"/>
        <w:rPr>
          <w:b/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Adresa : Budulov 35, 045 01 Moldava nad Bodvou</w:t>
      </w:r>
    </w:p>
    <w:p>
      <w:pPr>
        <w:pStyle w:val="ListParagraph"/>
        <w:rPr>
          <w:b/>
          <w:b/>
          <w:bCs/>
          <w:sz w:val="32"/>
          <w:szCs w:val="32"/>
        </w:rPr>
      </w:pPr>
      <w:r>
        <w:rPr>
          <w:b/>
          <w:bCs/>
          <w:sz w:val="32"/>
          <w:szCs w:val="32"/>
        </w:rPr>
      </w:r>
    </w:p>
    <w:p>
      <w:pPr>
        <w:pStyle w:val="ListParagraph"/>
        <w:rPr>
          <w:b/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IČO : 42328811</w:t>
      </w:r>
    </w:p>
    <w:p>
      <w:pPr>
        <w:pStyle w:val="ListParagraph"/>
        <w:rPr>
          <w:b/>
          <w:b/>
          <w:bCs/>
          <w:sz w:val="32"/>
          <w:szCs w:val="32"/>
        </w:rPr>
      </w:pPr>
      <w:r>
        <w:rPr>
          <w:b/>
          <w:bCs/>
          <w:sz w:val="32"/>
          <w:szCs w:val="32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Verejnoprospešný účel nadácie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Nadácia podporuje školskú výchovu, rozvoj národnostných menšín a etník , ako aj mladých talentovaných študentov, vydavateľskú a  osvetovú činnosť, usporadúvanie kultúrnych, spoločenských a umeleckých podujatí najmä v týchto oblastiach : vzdelanie, kultúra , duchovná osveta. Zabezpečuje televíznu tvorbu , vyhotovenie dokumentárnych a vzdelávacích filmov .</w:t>
      </w:r>
    </w:p>
    <w:p>
      <w:pPr>
        <w:pStyle w:val="Normal"/>
        <w:rPr/>
      </w:pPr>
      <w:r>
        <w:rPr/>
        <w:t>Nadácia pre budúcnosť – jövőért alapítvány bola založená nadačnou listinou dňa 5.5.2014 pod číslom 203/Na-2002/1086.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  <w:t>Zakladatelia nadácie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1. Mesto Moldava nad Bodvou</w:t>
      </w:r>
    </w:p>
    <w:p>
      <w:pPr>
        <w:pStyle w:val="Normal"/>
        <w:rPr/>
      </w:pPr>
      <w:r>
        <w:rPr/>
        <w:t>2. Reformovaná kresťanská cirkev na Slovensku</w:t>
      </w:r>
    </w:p>
    <w:p>
      <w:pPr>
        <w:pStyle w:val="Normal"/>
        <w:rPr/>
      </w:pPr>
      <w:r>
        <w:rPr/>
        <w:t>3. Rímskokatolícka cirkev, farnosť Moldava nad Bodvou</w:t>
      </w:r>
    </w:p>
    <w:p>
      <w:pPr>
        <w:pStyle w:val="Normal"/>
        <w:rPr/>
      </w:pPr>
      <w:r>
        <w:rPr/>
        <w:t>4. Maďarský spoločenský a kultúrny zväz na Slovensku-Csemadok</w:t>
      </w:r>
    </w:p>
    <w:p>
      <w:pPr>
        <w:pStyle w:val="Normal"/>
        <w:rPr/>
      </w:pPr>
      <w:r>
        <w:rPr/>
        <w:t>5. Združenie maďarských rodičov na Slovensku</w:t>
      </w:r>
    </w:p>
    <w:p>
      <w:pPr>
        <w:pStyle w:val="Normal"/>
        <w:rPr/>
      </w:pPr>
      <w:r>
        <w:rPr/>
        <w:t>6. Zväz maďarských pedagógov na Slovensku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2.Prehľad činností vykonávaných v hodnotenom období s uvedením vzťahu k verejnoprospešnému účelu nadácie</w:t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/>
      </w:pPr>
      <w:r>
        <w:rPr/>
        <w:t>V rámci podpory školskej výchovy nadácia vyvíjala potrebné aktivity k zabezpečeniu výstavby Cirkevnej školy (spolu s materskou školou) Moldava nad Bodvou.</w:t>
      </w:r>
    </w:p>
    <w:p>
      <w:pPr>
        <w:pStyle w:val="Normal"/>
        <w:rPr/>
      </w:pPr>
      <w:r>
        <w:rPr/>
        <w:t>Nadácia naďalej spolupracuje s vedením už existujúcej cirkevnej školy s vyučovacím jazykom maďarským a zúčastňuje sa spoločenských aktivít so združením rodičov a priateľov školy 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rámci programu Interreg V-A Maďarsko – Slovensko , kód SKHU/1601/4.1./156 sa zabezpečovalo v oblasti turizmu vypracovanie dvojjazyčnej turistickej príručky , zabezpečenie prednáškovej činnosti , televíznej kampane, výroby reklamného videa , výroba propagačného materiálu. V rámci uvedeného programu nadácia získala dotácie vo výške 63 503,27 eur.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priebehu roku 2017 nadácia vypracovala a podala EU projekt HUSKROUA/1701/LIP k výstavbe mediálneho a konferenčného centra 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roku 2018 sa vyvíjali aktivity smerujúce k vypracovaniu projektovej dokumentácie k výstavbe mediálneho a konferenčného centra. Uvedený projekt  HUSKROUA/1701/LIP však bol v priebehu roka 2019 EK zrušený.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3.Ročná účtovná závierka , zhodnotenie základných údajov zahrnutých v nej a výrok audítora</w:t>
      </w:r>
    </w:p>
    <w:p>
      <w:pPr>
        <w:pStyle w:val="ListParagraph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Cs/>
        </w:rPr>
      </w:pPr>
      <w:r>
        <w:rPr>
          <w:bCs/>
        </w:rPr>
        <w:t>V priebehu rokov 2016 až 2017 získala nadácia od Nadácie z Maďarska – Betlen Gábor alapítvány dotácie v celkovej výške 3 424 536,23 Eur na výstavbu cirkevnej školy spolu s materskou školou.</w:t>
      </w:r>
    </w:p>
    <w:p>
      <w:pPr>
        <w:pStyle w:val="Normal"/>
        <w:rPr>
          <w:bCs/>
        </w:rPr>
      </w:pPr>
      <w:r>
        <w:rPr>
          <w:bCs/>
        </w:rPr>
        <w:t>V decembri 2018 bola zahájená výstavba areálu školy.</w:t>
      </w:r>
    </w:p>
    <w:p>
      <w:pPr>
        <w:pStyle w:val="Normal"/>
        <w:rPr>
          <w:bCs/>
        </w:rPr>
      </w:pPr>
      <w:r>
        <w:rPr>
          <w:bCs/>
        </w:rPr>
        <w:t xml:space="preserve"> </w:t>
      </w:r>
      <w:r>
        <w:rPr>
          <w:bCs/>
        </w:rPr>
        <w:t xml:space="preserve">V roku 2019 nadácia získala ďaľšie finančné prostriedky na dostavbu areálu školy , a to vo výške 2 176 475,92 Eur. </w:t>
      </w:r>
    </w:p>
    <w:p>
      <w:pPr>
        <w:pStyle w:val="Normal"/>
        <w:rPr>
          <w:bCs/>
        </w:rPr>
      </w:pPr>
      <w:r>
        <w:rPr>
          <w:bCs/>
        </w:rPr>
        <w:t>V rámci projektu SKHU/1601/4.1./156 sa použili finančné prostriedky vo výške 53 394,24 eur. Celková výška žiadaných dotácií z EÚ fondov a štátneho rozpočtu k 31.12.2019 je vo výške 54 155,28 Eur.                                                                                                                              V roku 2019 sa celkovo  preinvestovalo na výstavbu školy 1484 259,76 Eur. Plánovaný  termín ukončenia výstavby areálu školy je do 31.8.2021.</w:t>
      </w:r>
    </w:p>
    <w:p>
      <w:pPr>
        <w:pStyle w:val="Normal"/>
        <w:rPr>
          <w:bCs/>
        </w:rPr>
      </w:pPr>
      <w:r>
        <w:rPr>
          <w:bCs/>
        </w:rPr>
        <w:t xml:space="preserve"> </w:t>
      </w:r>
    </w:p>
    <w:p>
      <w:pPr>
        <w:pStyle w:val="ListParagraph"/>
        <w:rPr>
          <w:bCs/>
        </w:rPr>
      </w:pPr>
      <w:r>
        <w:rPr>
          <w:bCs/>
        </w:rPr>
      </w:r>
    </w:p>
    <w:p>
      <w:pPr>
        <w:pStyle w:val="ListParagraph"/>
        <w:rPr>
          <w:bCs/>
        </w:rPr>
      </w:pPr>
      <w:r>
        <w:rPr>
          <w:bCs/>
        </w:rPr>
      </w:r>
    </w:p>
    <w:p>
      <w:pPr>
        <w:pStyle w:val="ListParagraph"/>
        <w:rPr>
          <w:bCs/>
        </w:rPr>
      </w:pPr>
      <w:r>
        <w:rPr>
          <w:bCs/>
        </w:rPr>
      </w:r>
    </w:p>
    <w:p>
      <w:pPr>
        <w:pStyle w:val="Normal"/>
        <w:rPr>
          <w:bCs/>
          <w:u w:val="single"/>
        </w:rPr>
      </w:pPr>
      <w:r>
        <w:rPr>
          <w:bCs/>
          <w:u w:val="single"/>
        </w:rPr>
        <w:t>Bilancia aktív /EUR/________________________r.2018_________r.2019</w:t>
      </w:r>
    </w:p>
    <w:p>
      <w:pPr>
        <w:pStyle w:val="ListParagraph"/>
        <w:rPr>
          <w:bCs/>
          <w:u w:val="single"/>
        </w:rPr>
      </w:pPr>
      <w:r>
        <w:rPr>
          <w:bCs/>
          <w:u w:val="single"/>
        </w:rPr>
      </w:r>
    </w:p>
    <w:p>
      <w:pPr>
        <w:pStyle w:val="Normal"/>
        <w:rPr/>
      </w:pPr>
      <w:r>
        <w:rPr>
          <w:bCs/>
        </w:rPr>
        <w:t>Dlhodobý majetok                                              666 937,85               2 4</w:t>
      </w:r>
      <w:r>
        <w:rPr>
          <w:bCs/>
        </w:rPr>
        <w:t>6</w:t>
      </w:r>
      <w:r>
        <w:rPr>
          <w:bCs/>
        </w:rPr>
        <w:t>1 014, 08</w:t>
      </w:r>
    </w:p>
    <w:p>
      <w:pPr>
        <w:pStyle w:val="Normal"/>
        <w:rPr/>
      </w:pPr>
      <w:r>
        <w:rPr>
          <w:bCs/>
        </w:rPr>
        <w:t xml:space="preserve">Krátkodobé pohľadávky                                       12 128,51                    </w:t>
      </w:r>
      <w:r>
        <w:rPr>
          <w:bCs/>
        </w:rPr>
        <w:t>7</w:t>
      </w:r>
      <w:r>
        <w:rPr>
          <w:bCs/>
        </w:rPr>
        <w:t>0 709, 95</w:t>
      </w:r>
    </w:p>
    <w:p>
      <w:pPr>
        <w:pStyle w:val="Normal"/>
        <w:rPr>
          <w:bCs/>
          <w:u w:val="single"/>
        </w:rPr>
      </w:pPr>
      <w:r>
        <w:rPr>
          <w:bCs/>
          <w:u w:val="single"/>
        </w:rPr>
        <w:t>Finančné účty____________________ __ ___2_749 604,79 ______3 123 976 , 72</w:t>
      </w:r>
    </w:p>
    <w:p>
      <w:pPr>
        <w:pStyle w:val="ListParagraph"/>
        <w:rPr>
          <w:bCs/>
          <w:u w:val="single"/>
        </w:rPr>
      </w:pPr>
      <w:r>
        <w:rPr>
          <w:bCs/>
          <w:u w:val="single"/>
        </w:rPr>
      </w:r>
    </w:p>
    <w:p>
      <w:pPr>
        <w:pStyle w:val="Normal"/>
        <w:rPr>
          <w:bCs/>
        </w:rPr>
      </w:pPr>
      <w:r>
        <w:rPr>
          <w:bCs/>
        </w:rPr>
        <w:t>Majetok spolu                                                      3 428 671,15              5 655 700 ,75</w:t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  <w:t>Bilancia pasív / EUR /_______           ________r.2018_____________r.2019</w:t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/>
      </w:pPr>
      <w:r>
        <w:rPr/>
        <w:t>Základné imanie                                                   6638                           6638</w:t>
      </w:r>
    </w:p>
    <w:p>
      <w:pPr>
        <w:pStyle w:val="Normal"/>
        <w:rPr/>
      </w:pPr>
      <w:r>
        <w:rPr/>
        <w:t>Nevysporiadaný výsledok hosp.</w:t>
      </w:r>
    </w:p>
    <w:p>
      <w:pPr>
        <w:pStyle w:val="Normal"/>
        <w:rPr/>
      </w:pPr>
      <w:r>
        <w:rPr/>
        <w:t>minulých rokov                                            - 10 770,84                   -  16 856, 06</w:t>
      </w:r>
    </w:p>
    <w:p>
      <w:pPr>
        <w:pStyle w:val="Normal"/>
        <w:rPr/>
      </w:pPr>
      <w:r>
        <w:rPr/>
        <w:t>Výsledok hospodárenia                               -    3 521,06                   -     1586, 45</w:t>
      </w:r>
    </w:p>
    <w:p>
      <w:pPr>
        <w:pStyle w:val="Normal"/>
        <w:rPr/>
      </w:pPr>
      <w:r>
        <w:rPr/>
        <w:t>Dlhodobé záväzky                                             8 505,45                           409,20</w:t>
      </w:r>
    </w:p>
    <w:p>
      <w:pPr>
        <w:pStyle w:val="Normal"/>
        <w:rPr/>
      </w:pPr>
      <w:r>
        <w:rPr/>
        <w:t>Krátkodobé rezervy                                           1 000                              2000, 00</w:t>
      </w:r>
    </w:p>
    <w:p>
      <w:pPr>
        <w:pStyle w:val="Normal"/>
        <w:rPr/>
      </w:pPr>
      <w:r>
        <w:rPr/>
        <w:t>Krátkodobé závazky                                       1 635,91                          12 024,75</w:t>
      </w:r>
    </w:p>
    <w:p>
      <w:pPr>
        <w:pStyle w:val="Normal"/>
        <w:rPr/>
      </w:pPr>
      <w:r>
        <w:rPr/>
        <w:t>Výnosy z budúcich období                       3 424 536,23                   5 601 012 ,15</w:t>
      </w:r>
    </w:p>
    <w:p>
      <w:pPr>
        <w:pStyle w:val="Normal"/>
        <w:rPr>
          <w:u w:val="single"/>
        </w:rPr>
      </w:pPr>
      <w:r>
        <w:rPr>
          <w:u w:val="single"/>
        </w:rPr>
        <w:t>Finančné výpomoci______________ _ _____ _647,46____________52059,16_________</w:t>
      </w:r>
    </w:p>
    <w:p>
      <w:pPr>
        <w:pStyle w:val="Normal"/>
        <w:rPr/>
      </w:pPr>
      <w:r>
        <w:rPr/>
        <w:t>Vlastné zdroje a cudzie zdroje                   3 428 671,15                    5 655 700, 75</w:t>
      </w:r>
    </w:p>
    <w:p>
      <w:pPr>
        <w:pStyle w:val="Normal"/>
        <w:rPr/>
      </w:pPr>
      <w:r>
        <w:rPr/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Ročná účtovná závierka a výrok audítora tvorí prílohu výročnej správy.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4.Prehľad príjmov (výnosov) podľa zdroja a ich pôvodu</w:t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/>
      </w:pPr>
      <w:r>
        <w:rPr/>
        <w:t xml:space="preserve">V roku 2019 nadácia vykázala výnosy – dotácie (Program Interreg V – A Maďarsko – Slovensko ) , v celkovej výške 54 155,28 Eur, z toho dotácie z EÚ fondov činia 48 454,73 Eur a dotácie zo štátneho rozpočtu 5 700,55 Eur. </w:t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5.Prehľad o darcoch, ak hodnota darov alebo výška prostriedkov od toho istého darcu presahuje 331 €.</w:t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/>
      </w:pPr>
      <w:r>
        <w:rPr/>
        <w:t>Nadácia neprijala žiadne dary.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6.Prehľad o fyzických osobách a právnických osobách, ktorým nadácia poskytla prostriedky na verejnoprospešný účel, na ktorý bola nadácia založená a informáciu , akým spôsobom sa tieto prostriedky použili</w:t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/>
      </w:pPr>
      <w:r>
        <w:rPr/>
        <w:t>Nadácia neposkytla žiadne prostriedky  na verejnoprospešný účel.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7.Celkové náklady v členení na výdavky podľa jednotlivých druhov činností nadácie a osobitne výška nákladov na správu nadácie</w:t>
      </w:r>
    </w:p>
    <w:p>
      <w:pPr>
        <w:pStyle w:val="Normal"/>
        <w:spacing w:lineRule="auto" w:line="360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/>
      </w:pPr>
      <w:r>
        <w:rPr/>
        <w:t xml:space="preserve">Celkové náklady (v eurách)                                         55 741,73 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3"/>
        </w:numPr>
        <w:rPr/>
      </w:pPr>
      <w:r>
        <w:rPr/>
        <w:t>Náklady k projektu SK/ HU                             53 394,24</w:t>
      </w:r>
    </w:p>
    <w:p>
      <w:pPr>
        <w:pStyle w:val="ListParagraph"/>
        <w:rPr/>
      </w:pPr>
      <w:r>
        <w:rPr/>
        <w:t xml:space="preserve">Z toho: </w:t>
      </w:r>
    </w:p>
    <w:p>
      <w:pPr>
        <w:pStyle w:val="ListParagraph"/>
        <w:ind w:left="1080" w:hanging="0"/>
        <w:rPr/>
      </w:pPr>
      <w:r>
        <w:rPr/>
        <w:t>Náklady na propagačný materiál                12 300</w:t>
      </w:r>
    </w:p>
    <w:p>
      <w:pPr>
        <w:pStyle w:val="ListParagraph"/>
        <w:ind w:left="1080" w:hanging="0"/>
        <w:rPr/>
      </w:pPr>
      <w:r>
        <w:rPr/>
        <w:t>Náklady na televíznu kampaň                      8 300</w:t>
      </w:r>
    </w:p>
    <w:p>
      <w:pPr>
        <w:pStyle w:val="ListParagraph"/>
        <w:ind w:left="1080" w:hanging="0"/>
        <w:rPr/>
      </w:pPr>
      <w:r>
        <w:rPr/>
        <w:t>Mzdové náklady                                           4 840                                                                Zákonné sociálne a zdravotné                      1 703,64</w:t>
      </w:r>
    </w:p>
    <w:p>
      <w:pPr>
        <w:pStyle w:val="ListParagraph"/>
        <w:ind w:left="1080" w:hanging="0"/>
        <w:rPr/>
      </w:pPr>
      <w:r>
        <w:rPr/>
        <w:t xml:space="preserve">poistenie                                                            </w:t>
      </w:r>
    </w:p>
    <w:p>
      <w:pPr>
        <w:pStyle w:val="ListParagraph"/>
        <w:ind w:left="1080" w:hanging="0"/>
        <w:rPr/>
      </w:pPr>
      <w:r>
        <w:rPr/>
        <w:t xml:space="preserve">Zákonné sociálne náklady                                 72,60                           </w:t>
      </w:r>
    </w:p>
    <w:p>
      <w:pPr>
        <w:pStyle w:val="ListParagraph"/>
        <w:ind w:left="1080" w:hanging="0"/>
        <w:rPr/>
      </w:pPr>
      <w:r>
        <w:rPr/>
      </w:r>
    </w:p>
    <w:p>
      <w:pPr>
        <w:pStyle w:val="ListParagraph"/>
        <w:ind w:left="1080" w:hanging="0"/>
        <w:rPr/>
      </w:pPr>
      <w:r>
        <w:rPr/>
        <w:t>Prieskum trhu, prednášky                           14 000                                                                                    Preklad                                                          1428</w:t>
      </w:r>
    </w:p>
    <w:p>
      <w:pPr>
        <w:pStyle w:val="ListParagraph"/>
        <w:ind w:left="1080" w:hanging="0"/>
        <w:rPr/>
      </w:pPr>
      <w:r>
        <w:rPr/>
        <w:t xml:space="preserve">Vypracovanie dvojjazyčnej príručky          10 750    </w:t>
      </w:r>
    </w:p>
    <w:p>
      <w:pPr>
        <w:pStyle w:val="Normal"/>
        <w:ind w:left="720" w:hanging="0"/>
        <w:rPr/>
      </w:pPr>
      <w:r>
        <w:rPr/>
      </w:r>
    </w:p>
    <w:p>
      <w:pPr>
        <w:pStyle w:val="Normal"/>
        <w:ind w:left="720" w:hanging="0"/>
        <w:rPr/>
      </w:pPr>
      <w:r>
        <w:rPr/>
      </w:r>
    </w:p>
    <w:p>
      <w:pPr>
        <w:pStyle w:val="ListParagraph"/>
        <w:numPr>
          <w:ilvl w:val="0"/>
          <w:numId w:val="3"/>
        </w:numPr>
        <w:rPr/>
      </w:pPr>
      <w:r>
        <w:rPr/>
        <w:t>Náklady na správu nadácie                              2347,49</w:t>
      </w:r>
    </w:p>
    <w:p>
      <w:pPr>
        <w:pStyle w:val="ListParagraph"/>
        <w:rPr/>
      </w:pPr>
      <w:r>
        <w:rPr/>
        <w:t>Z toho:</w:t>
      </w:r>
    </w:p>
    <w:p>
      <w:pPr>
        <w:pStyle w:val="ListParagraph"/>
        <w:rPr/>
      </w:pPr>
      <w:r>
        <w:rPr/>
        <w:t>Náklady na overenie účtovnej závierky           2000</w:t>
      </w:r>
    </w:p>
    <w:p>
      <w:pPr>
        <w:pStyle w:val="ListParagraph"/>
        <w:rPr/>
      </w:pPr>
      <w:r>
        <w:rPr/>
        <w:t>Náklady na reprezentáciu           75,75</w:t>
      </w:r>
    </w:p>
    <w:p>
      <w:pPr>
        <w:pStyle w:val="ListParagraph"/>
        <w:rPr/>
      </w:pPr>
      <w:r>
        <w:rPr/>
        <w:t>Bankové poplatky                     248,89</w:t>
      </w:r>
    </w:p>
    <w:p>
      <w:pPr>
        <w:pStyle w:val="ListParagraph"/>
        <w:rPr/>
      </w:pPr>
      <w:r>
        <w:rPr/>
        <w:t>Správne poplatky                        12</w:t>
      </w:r>
    </w:p>
    <w:p>
      <w:pPr>
        <w:pStyle w:val="ListParagraph"/>
        <w:rPr/>
      </w:pPr>
      <w:r>
        <w:rPr/>
        <w:t>Poštovné                                    10,85</w:t>
      </w:r>
    </w:p>
    <w:p>
      <w:pPr>
        <w:pStyle w:val="ListParagraph"/>
        <w:ind w:left="1080" w:hanging="0"/>
        <w:rPr/>
      </w:pPr>
      <w:r>
        <w:rPr/>
        <w:t xml:space="preserve">                                                                               </w:t>
      </w:r>
    </w:p>
    <w:p>
      <w:pPr>
        <w:pStyle w:val="ListParagraph"/>
        <w:ind w:left="1080" w:hanging="0"/>
        <w:rPr/>
      </w:pPr>
      <w:r>
        <w:rPr/>
        <w:t xml:space="preserve">                                                             </w:t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8.Zmeny vykonané v nadačnej listine a v zložení orgánov, ktoré nastali </w:t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v hodnotenom období</w:t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</w:r>
    </w:p>
    <w:p>
      <w:pPr>
        <w:pStyle w:val="Normal"/>
        <w:rPr/>
      </w:pPr>
      <w:r>
        <w:rPr/>
        <w:t>V priebehu roku 2019 došlo k  zmenám v nadačnej listine.</w:t>
      </w:r>
    </w:p>
    <w:p>
      <w:pPr>
        <w:pStyle w:val="Normal"/>
        <w:rPr/>
      </w:pPr>
      <w:r>
        <w:rPr/>
        <w:t>Na uvoľnené miesto , člena správnej rady Attila Haraszti ,  zakladatelia menovali nového člena správnej rady Dr. Norbert Csányi.</w:t>
      </w:r>
    </w:p>
    <w:p>
      <w:pPr>
        <w:pStyle w:val="Normal"/>
        <w:rPr/>
      </w:pPr>
      <w:r>
        <w:rPr/>
        <w:t>Nadačná listina sa menila a doplnila takto 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</w:t>
      </w:r>
      <w:r>
        <w:rPr/>
        <w:t>Za členov správnej rady zakladatelia vymenovali 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Csaba Bartók,  vznik funkcie 20.05. 2017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Ing. István Zachariás, vznik funkcie 20.05. 2017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Mons.JCDr. Bertalan Gábor ,PHD., vznik funkcie 20.05. 2017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Marianna Pathó , vznik funkcie 20.05. 2017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Dr. Norbert Csányi, vznik funkcie 13.5. 2019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Mgr. Anikó Koteles ,vznik funkcie 20.05. 2017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Mgr. Árpád Molnár, vznik funkcie 20.05. 2017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ThDr. Attila Vakles, PhD., vznik funkcie 20.05. 2017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Tamás Kovács, vznik funkcie 20.05. 2017 </w:t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9.Odmena za výkon funkcie správcu nadácie </w:t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/>
      </w:pPr>
      <w:r>
        <w:rPr/>
        <w:t>Správcovi nadácie za výkon funkcie nebola poskytnutá žiadna odmena.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</w:t>
      </w:r>
    </w:p>
    <w:p>
      <w:pPr>
        <w:pStyle w:val="Normal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10.Prehľad činnosti nadačných fondov</w:t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/>
      </w:pPr>
      <w:r>
        <w:rPr/>
        <w:t>Žiadna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 Moldave nad Bodvou 30.04.2020                                                    Ing.László Ivan</w:t>
      </w:r>
    </w:p>
    <w:p>
      <w:pPr>
        <w:pStyle w:val="Normal"/>
        <w:rPr/>
      </w:pPr>
      <w:r>
        <w:rPr/>
        <w:t xml:space="preserve">                                                                                                              </w:t>
      </w:r>
      <w:r>
        <w:rPr/>
        <w:t xml:space="preserve">správca nadácie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Nadpis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Nadpis3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sz w:val="32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false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sk-SK" w:eastAsia="zh-CN" w:bidi="hi-I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07d95"/>
    <w:pPr>
      <w:widowControl w:val="false"/>
      <w:suppressAutoHyphens w:val="true"/>
      <w:bidi w:val="0"/>
      <w:jc w:val="left"/>
    </w:pPr>
    <w:rPr>
      <w:rFonts w:ascii="Liberation Serif" w:hAnsi="Liberation Serif" w:eastAsia="SimSun" w:cs="Mangal"/>
      <w:color w:val="auto"/>
      <w:kern w:val="0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lotextu"/>
    <w:qFormat/>
    <w:rsid w:val="00307d95"/>
    <w:pPr>
      <w:numPr>
        <w:ilvl w:val="0"/>
        <w:numId w:val="1"/>
      </w:numPr>
      <w:outlineLvl w:val="0"/>
    </w:pPr>
    <w:rPr>
      <w:b/>
      <w:bCs/>
      <w:sz w:val="36"/>
      <w:szCs w:val="36"/>
    </w:rPr>
  </w:style>
  <w:style w:type="paragraph" w:styleId="Nadpis2">
    <w:name w:val="Heading 2"/>
    <w:basedOn w:val="Nadpis"/>
    <w:next w:val="Telotextu"/>
    <w:qFormat/>
    <w:rsid w:val="00307d95"/>
    <w:pPr>
      <w:numPr>
        <w:ilvl w:val="1"/>
        <w:numId w:val="1"/>
      </w:numPr>
      <w:spacing w:before="200" w:after="120"/>
      <w:outlineLvl w:val="1"/>
    </w:pPr>
    <w:rPr>
      <w:b/>
      <w:bCs/>
      <w:sz w:val="32"/>
      <w:szCs w:val="32"/>
    </w:rPr>
  </w:style>
  <w:style w:type="paragraph" w:styleId="Nadpis3">
    <w:name w:val="Heading 3"/>
    <w:basedOn w:val="Nadpis"/>
    <w:next w:val="Telotextu"/>
    <w:qFormat/>
    <w:rsid w:val="00307d95"/>
    <w:pPr>
      <w:numPr>
        <w:ilvl w:val="2"/>
        <w:numId w:val="1"/>
      </w:numPr>
      <w:spacing w:before="140" w:after="120"/>
      <w:outlineLvl w:val="2"/>
    </w:pPr>
    <w:rPr>
      <w:b/>
      <w:bCs/>
      <w:color w:val="80808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b/>
      <w:sz w:val="32"/>
    </w:rPr>
  </w:style>
  <w:style w:type="character" w:styleId="ListLabel2">
    <w:name w:val="ListLabel 2"/>
    <w:qFormat/>
    <w:rPr>
      <w:u w:val="none"/>
    </w:rPr>
  </w:style>
  <w:style w:type="character" w:styleId="ListLabel3">
    <w:name w:val="ListLabel 3"/>
    <w:qFormat/>
    <w:rPr>
      <w:rFonts w:eastAsia="SimSun" w:cs="Liberation Serif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b/>
      <w:sz w:val="32"/>
    </w:rPr>
  </w:style>
  <w:style w:type="character" w:styleId="ListLabel8">
    <w:name w:val="ListLabel 8"/>
    <w:qFormat/>
    <w:rPr>
      <w:u w:val="none"/>
    </w:rPr>
  </w:style>
  <w:style w:type="character" w:styleId="ListLabel9">
    <w:name w:val="ListLabel 9"/>
    <w:qFormat/>
    <w:rPr>
      <w:b/>
      <w:sz w:val="32"/>
    </w:rPr>
  </w:style>
  <w:style w:type="character" w:styleId="ListLabel10">
    <w:name w:val="ListLabel 10"/>
    <w:qFormat/>
    <w:rPr>
      <w:u w:val="none"/>
    </w:rPr>
  </w:style>
  <w:style w:type="character" w:styleId="ListLabel11">
    <w:name w:val="ListLabel 11"/>
    <w:qFormat/>
    <w:rPr>
      <w:b/>
      <w:sz w:val="32"/>
    </w:rPr>
  </w:style>
  <w:style w:type="character" w:styleId="ListLabel12">
    <w:name w:val="ListLabel 12"/>
    <w:qFormat/>
    <w:rPr>
      <w:u w:val="none"/>
    </w:rPr>
  </w:style>
  <w:style w:type="character" w:styleId="ListLabel13">
    <w:name w:val="ListLabel 13"/>
    <w:qFormat/>
    <w:rPr>
      <w:b/>
      <w:sz w:val="32"/>
    </w:rPr>
  </w:style>
  <w:style w:type="character" w:styleId="ListLabel14">
    <w:name w:val="ListLabel 14"/>
    <w:qFormat/>
    <w:rPr>
      <w:u w:val="none"/>
    </w:rPr>
  </w:style>
  <w:style w:type="character" w:styleId="ListLabel15">
    <w:name w:val="ListLabel 15"/>
    <w:qFormat/>
    <w:rPr>
      <w:b/>
      <w:sz w:val="32"/>
    </w:rPr>
  </w:style>
  <w:style w:type="character" w:styleId="ListLabel16">
    <w:name w:val="ListLabel 16"/>
    <w:qFormat/>
    <w:rPr>
      <w:u w:val="none"/>
    </w:rPr>
  </w:style>
  <w:style w:type="paragraph" w:styleId="Nadpis" w:customStyle="1">
    <w:name w:val="Nadpis"/>
    <w:basedOn w:val="Normal"/>
    <w:next w:val="Telotextu"/>
    <w:qFormat/>
    <w:rsid w:val="00307d95"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elotextu" w:customStyle="1">
    <w:name w:val="Body Text"/>
    <w:basedOn w:val="Normal"/>
    <w:rsid w:val="00307d95"/>
    <w:pPr>
      <w:spacing w:lineRule="auto" w:line="288" w:before="0" w:after="140"/>
    </w:pPr>
    <w:rPr/>
  </w:style>
  <w:style w:type="paragraph" w:styleId="Zoznam">
    <w:name w:val="List"/>
    <w:basedOn w:val="Telotextu"/>
    <w:rsid w:val="00307d95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307d95"/>
    <w:pPr>
      <w:suppressLineNumbers/>
    </w:pPr>
    <w:rPr/>
  </w:style>
  <w:style w:type="paragraph" w:styleId="Caption">
    <w:name w:val="caption"/>
    <w:basedOn w:val="Normal"/>
    <w:qFormat/>
    <w:rsid w:val="00307d95"/>
    <w:pPr>
      <w:suppressLineNumbers/>
      <w:spacing w:before="120" w:after="120"/>
    </w:pPr>
    <w:rPr>
      <w:i/>
      <w:iCs/>
    </w:rPr>
  </w:style>
  <w:style w:type="paragraph" w:styleId="Citcie" w:customStyle="1">
    <w:name w:val="Citácie"/>
    <w:basedOn w:val="Normal"/>
    <w:qFormat/>
    <w:rsid w:val="00307d95"/>
    <w:pPr>
      <w:spacing w:before="0" w:after="283"/>
      <w:ind w:left="567" w:right="567" w:hanging="0"/>
    </w:pPr>
    <w:rPr/>
  </w:style>
  <w:style w:type="paragraph" w:styleId="Nzov">
    <w:name w:val="Title"/>
    <w:basedOn w:val="Nadpis"/>
    <w:next w:val="Telotextu"/>
    <w:qFormat/>
    <w:rsid w:val="00307d95"/>
    <w:pPr>
      <w:jc w:val="center"/>
    </w:pPr>
    <w:rPr>
      <w:b/>
      <w:bCs/>
      <w:sz w:val="56"/>
      <w:szCs w:val="56"/>
    </w:rPr>
  </w:style>
  <w:style w:type="paragraph" w:styleId="Podnzov" w:customStyle="1">
    <w:name w:val="Podnázov"/>
    <w:basedOn w:val="Nadpis"/>
    <w:next w:val="Telotextu"/>
    <w:qFormat/>
    <w:rsid w:val="00307d95"/>
    <w:pPr>
      <w:spacing w:before="60" w:after="120"/>
      <w:jc w:val="center"/>
    </w:pPr>
    <w:rPr>
      <w:sz w:val="36"/>
      <w:szCs w:val="36"/>
    </w:rPr>
  </w:style>
  <w:style w:type="paragraph" w:styleId="ListParagraph">
    <w:name w:val="List Paragraph"/>
    <w:basedOn w:val="Normal"/>
    <w:uiPriority w:val="34"/>
    <w:qFormat/>
    <w:rsid w:val="00ca0205"/>
    <w:pPr>
      <w:spacing w:before="0" w:after="0"/>
      <w:ind w:left="720" w:hanging="0"/>
      <w:contextualSpacing/>
    </w:pPr>
    <w:rPr>
      <w:szCs w:val="2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LibreOffice/6.2.4.2$Windows_X86_64 LibreOffice_project/2412653d852ce75f65fbfa83fb7e7b669a126d64</Application>
  <Pages>7</Pages>
  <Words>874</Words>
  <Characters>5135</Characters>
  <CharactersWithSpaces>7727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2020-05-25T11:31:00Z</dcterms:created>
  <dc:creator>x</dc:creator>
  <dc:description/>
  <dc:language>sk-SK</dc:language>
  <cp:lastModifiedBy/>
  <cp:lastPrinted>2020-05-25T11:24:00Z</cp:lastPrinted>
  <dcterms:modified xsi:type="dcterms:W3CDTF">2020-05-28T12:38:08Z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