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D2D3C9" w14:textId="77777777" w:rsidR="00BD3BFB" w:rsidRDefault="00A70DF5">
      <w:pPr>
        <w:rPr>
          <w:u w:val="single"/>
        </w:rPr>
      </w:pPr>
      <w:r>
        <w:rPr>
          <w:u w:val="single"/>
        </w:rPr>
        <w:t>Poznámka:</w:t>
      </w:r>
    </w:p>
    <w:p w14:paraId="521389D4" w14:textId="77777777" w:rsidR="00BD3BFB" w:rsidRDefault="00BD3BFB"/>
    <w:p w14:paraId="529B729D" w14:textId="77777777" w:rsidR="00BD3BFB" w:rsidRDefault="00A70DF5">
      <w:r>
        <w:t>Všetky údaje a informácie uvedené v týchto poznámkach vychádzajú z účtovníctva a nadväzujú na účtovné výkazy. Hodnotové údaje sú uvedené v celých eurách (pokiaľ nie je uvedené inak). Čísla uvedené za položkou v zátvorkách alebo v stĺpcoch sú odvolávky na riadok alebo stĺpec príslušného výkazu (súvaha alebo výkaz ziskov a strát).</w:t>
      </w:r>
    </w:p>
    <w:p w14:paraId="3088E0C1" w14:textId="77777777" w:rsidR="00BD3BFB" w:rsidRDefault="00BD3BFB"/>
    <w:p w14:paraId="0E231F49" w14:textId="77777777" w:rsidR="00BD3BFB" w:rsidRDefault="00BD3BFB"/>
    <w:p w14:paraId="7473FED2" w14:textId="77777777" w:rsidR="00BD3BFB" w:rsidRDefault="00A70DF5">
      <w:pPr>
        <w:pStyle w:val="Nadpis1"/>
        <w:numPr>
          <w:ilvl w:val="0"/>
          <w:numId w:val="16"/>
        </w:numPr>
      </w:pPr>
      <w:r>
        <w:t>VŠEOBECNÉ INFORMÁCIE</w:t>
      </w:r>
    </w:p>
    <w:p w14:paraId="2103AD2F" w14:textId="77777777" w:rsidR="00BD3BFB" w:rsidRDefault="00BD3BFB">
      <w:pPr>
        <w:rPr>
          <w:b/>
          <w:u w:val="single"/>
        </w:rPr>
      </w:pPr>
    </w:p>
    <w:p w14:paraId="2517B752" w14:textId="77777777" w:rsidR="00BD3BFB" w:rsidRDefault="00A70DF5">
      <w:pPr>
        <w:pStyle w:val="Nadpis2"/>
        <w:numPr>
          <w:ilvl w:val="1"/>
          <w:numId w:val="16"/>
        </w:numPr>
      </w:pPr>
      <w:r>
        <w:t>Základné údaje o spoločnosti</w:t>
      </w:r>
    </w:p>
    <w:p w14:paraId="19E09710" w14:textId="77777777" w:rsidR="00BD3BFB" w:rsidRDefault="00BD3BFB">
      <w:pPr>
        <w:rPr>
          <w:b/>
          <w:u w:val="single"/>
        </w:rPr>
      </w:pPr>
    </w:p>
    <w:tbl>
      <w:tblPr>
        <w:tblStyle w:val="a0"/>
        <w:tblW w:w="9211" w:type="dxa"/>
        <w:tblInd w:w="52"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3969"/>
        <w:gridCol w:w="5242"/>
      </w:tblGrid>
      <w:tr w:rsidR="00BD3BFB" w14:paraId="3FB39EF2" w14:textId="77777777">
        <w:tc>
          <w:tcPr>
            <w:tcW w:w="3969" w:type="dxa"/>
          </w:tcPr>
          <w:p w14:paraId="58100539" w14:textId="77777777" w:rsidR="00BD3BFB" w:rsidRDefault="00A70DF5">
            <w:pPr>
              <w:rPr>
                <w:b/>
                <w:sz w:val="15"/>
                <w:szCs w:val="15"/>
              </w:rPr>
            </w:pPr>
            <w:r>
              <w:rPr>
                <w:b/>
                <w:sz w:val="15"/>
                <w:szCs w:val="15"/>
              </w:rPr>
              <w:t>Obchodné meno a sídlo</w:t>
            </w:r>
          </w:p>
        </w:tc>
        <w:tc>
          <w:tcPr>
            <w:tcW w:w="5242" w:type="dxa"/>
          </w:tcPr>
          <w:p w14:paraId="79A52F53" w14:textId="77777777" w:rsidR="00BD3BFB" w:rsidRDefault="00A70DF5">
            <w:pPr>
              <w:rPr>
                <w:sz w:val="15"/>
                <w:szCs w:val="15"/>
              </w:rPr>
            </w:pPr>
            <w:proofErr w:type="spellStart"/>
            <w:r>
              <w:rPr>
                <w:sz w:val="15"/>
                <w:szCs w:val="15"/>
              </w:rPr>
              <w:t>GymBeam</w:t>
            </w:r>
            <w:proofErr w:type="spellEnd"/>
            <w:r>
              <w:rPr>
                <w:sz w:val="15"/>
                <w:szCs w:val="15"/>
              </w:rPr>
              <w:t xml:space="preserve"> </w:t>
            </w:r>
            <w:proofErr w:type="spellStart"/>
            <w:r>
              <w:rPr>
                <w:sz w:val="15"/>
                <w:szCs w:val="15"/>
              </w:rPr>
              <w:t>s.r.o</w:t>
            </w:r>
            <w:proofErr w:type="spellEnd"/>
            <w:r>
              <w:rPr>
                <w:sz w:val="15"/>
                <w:szCs w:val="15"/>
              </w:rPr>
              <w:t>. („spoločnosť“)</w:t>
            </w:r>
          </w:p>
          <w:p w14:paraId="51157844" w14:textId="77777777" w:rsidR="00BD3BFB" w:rsidRDefault="00A70DF5">
            <w:pPr>
              <w:rPr>
                <w:sz w:val="15"/>
                <w:szCs w:val="15"/>
              </w:rPr>
            </w:pPr>
            <w:r>
              <w:rPr>
                <w:sz w:val="15"/>
                <w:szCs w:val="15"/>
              </w:rPr>
              <w:t>Rastislavova 93, 040 01 Košice – Juh</w:t>
            </w:r>
          </w:p>
        </w:tc>
      </w:tr>
      <w:tr w:rsidR="00BD3BFB" w14:paraId="49EDF695" w14:textId="77777777">
        <w:trPr>
          <w:trHeight w:val="287"/>
        </w:trPr>
        <w:tc>
          <w:tcPr>
            <w:tcW w:w="3969" w:type="dxa"/>
          </w:tcPr>
          <w:p w14:paraId="68E58660" w14:textId="77777777" w:rsidR="00BD3BFB" w:rsidRDefault="00A70DF5">
            <w:pPr>
              <w:rPr>
                <w:b/>
                <w:sz w:val="15"/>
                <w:szCs w:val="15"/>
              </w:rPr>
            </w:pPr>
            <w:r>
              <w:rPr>
                <w:b/>
                <w:sz w:val="15"/>
                <w:szCs w:val="15"/>
              </w:rPr>
              <w:t>Dátum založenia</w:t>
            </w:r>
          </w:p>
        </w:tc>
        <w:tc>
          <w:tcPr>
            <w:tcW w:w="5242" w:type="dxa"/>
          </w:tcPr>
          <w:p w14:paraId="4860F042" w14:textId="77777777" w:rsidR="00BD3BFB" w:rsidRDefault="00A70DF5">
            <w:pPr>
              <w:rPr>
                <w:sz w:val="15"/>
                <w:szCs w:val="15"/>
              </w:rPr>
            </w:pPr>
            <w:r>
              <w:rPr>
                <w:sz w:val="15"/>
                <w:szCs w:val="15"/>
              </w:rPr>
              <w:t>8. novembra 2011</w:t>
            </w:r>
          </w:p>
        </w:tc>
      </w:tr>
      <w:tr w:rsidR="00BD3BFB" w14:paraId="7AC1D067" w14:textId="77777777">
        <w:trPr>
          <w:trHeight w:val="277"/>
        </w:trPr>
        <w:tc>
          <w:tcPr>
            <w:tcW w:w="3969" w:type="dxa"/>
          </w:tcPr>
          <w:p w14:paraId="49198D77" w14:textId="77777777" w:rsidR="00BD3BFB" w:rsidRDefault="00A70DF5">
            <w:pPr>
              <w:rPr>
                <w:b/>
                <w:sz w:val="15"/>
                <w:szCs w:val="15"/>
              </w:rPr>
            </w:pPr>
            <w:r>
              <w:rPr>
                <w:b/>
                <w:sz w:val="15"/>
                <w:szCs w:val="15"/>
              </w:rPr>
              <w:t>Dátum zápisu (podľa obchodného registra)</w:t>
            </w:r>
          </w:p>
        </w:tc>
        <w:tc>
          <w:tcPr>
            <w:tcW w:w="5242" w:type="dxa"/>
          </w:tcPr>
          <w:p w14:paraId="7454F82D" w14:textId="77777777" w:rsidR="00BD3BFB" w:rsidRDefault="00A70DF5">
            <w:pPr>
              <w:rPr>
                <w:sz w:val="15"/>
                <w:szCs w:val="15"/>
              </w:rPr>
            </w:pPr>
            <w:r>
              <w:rPr>
                <w:sz w:val="15"/>
                <w:szCs w:val="15"/>
              </w:rPr>
              <w:t>29. novembra 2011</w:t>
            </w:r>
          </w:p>
        </w:tc>
      </w:tr>
      <w:tr w:rsidR="00BD3BFB" w14:paraId="600269E7" w14:textId="77777777">
        <w:tc>
          <w:tcPr>
            <w:tcW w:w="3969" w:type="dxa"/>
          </w:tcPr>
          <w:p w14:paraId="7864FB92" w14:textId="77777777" w:rsidR="00BD3BFB" w:rsidRDefault="00A70DF5">
            <w:pPr>
              <w:rPr>
                <w:b/>
                <w:sz w:val="15"/>
                <w:szCs w:val="15"/>
              </w:rPr>
            </w:pPr>
            <w:r>
              <w:rPr>
                <w:b/>
                <w:sz w:val="15"/>
                <w:szCs w:val="15"/>
              </w:rPr>
              <w:t>Hospodárska činnosť</w:t>
            </w:r>
          </w:p>
        </w:tc>
        <w:tc>
          <w:tcPr>
            <w:tcW w:w="5242" w:type="dxa"/>
          </w:tcPr>
          <w:p w14:paraId="55140F7E" w14:textId="77777777" w:rsidR="00BD3BFB" w:rsidRDefault="00A70DF5">
            <w:pPr>
              <w:numPr>
                <w:ilvl w:val="0"/>
                <w:numId w:val="1"/>
              </w:numPr>
              <w:pBdr>
                <w:top w:val="nil"/>
                <w:left w:val="nil"/>
                <w:bottom w:val="nil"/>
                <w:right w:val="nil"/>
                <w:between w:val="nil"/>
              </w:pBdr>
              <w:rPr>
                <w:color w:val="000000"/>
                <w:sz w:val="15"/>
                <w:szCs w:val="15"/>
              </w:rPr>
            </w:pPr>
            <w:r>
              <w:rPr>
                <w:color w:val="000000"/>
                <w:sz w:val="15"/>
                <w:szCs w:val="15"/>
              </w:rPr>
              <w:t>kúpa tovaru na účely jeho predaja konečnému spotrebiteľovi (maloobchod) alebo iným prevádzkovateľom živnosti (veľkoobchod);</w:t>
            </w:r>
          </w:p>
          <w:p w14:paraId="7DA32D8F" w14:textId="77777777" w:rsidR="00BD3BFB" w:rsidRDefault="00A70DF5">
            <w:pPr>
              <w:numPr>
                <w:ilvl w:val="0"/>
                <w:numId w:val="1"/>
              </w:numPr>
              <w:pBdr>
                <w:top w:val="nil"/>
                <w:left w:val="nil"/>
                <w:bottom w:val="nil"/>
                <w:right w:val="nil"/>
                <w:between w:val="nil"/>
              </w:pBdr>
              <w:rPr>
                <w:color w:val="000000"/>
                <w:sz w:val="15"/>
                <w:szCs w:val="15"/>
              </w:rPr>
            </w:pPr>
            <w:r>
              <w:rPr>
                <w:color w:val="000000"/>
                <w:sz w:val="15"/>
                <w:szCs w:val="15"/>
              </w:rPr>
              <w:t>sprostredkovateľská činnosť v oblasti obchodu</w:t>
            </w:r>
          </w:p>
          <w:p w14:paraId="7817D084" w14:textId="77777777" w:rsidR="00BD3BFB" w:rsidRDefault="00A70DF5">
            <w:pPr>
              <w:numPr>
                <w:ilvl w:val="0"/>
                <w:numId w:val="1"/>
              </w:numPr>
              <w:pBdr>
                <w:top w:val="nil"/>
                <w:left w:val="nil"/>
                <w:bottom w:val="nil"/>
                <w:right w:val="nil"/>
                <w:between w:val="nil"/>
              </w:pBdr>
              <w:rPr>
                <w:color w:val="000000"/>
                <w:sz w:val="15"/>
                <w:szCs w:val="15"/>
              </w:rPr>
            </w:pPr>
            <w:r>
              <w:rPr>
                <w:color w:val="000000"/>
                <w:sz w:val="15"/>
                <w:szCs w:val="15"/>
              </w:rPr>
              <w:t>sprostredkovateľská činnosť v oblasti služieb</w:t>
            </w:r>
          </w:p>
          <w:p w14:paraId="44A744AD" w14:textId="77777777" w:rsidR="00BD3BFB" w:rsidRDefault="00BD3BFB">
            <w:pPr>
              <w:rPr>
                <w:sz w:val="15"/>
                <w:szCs w:val="15"/>
              </w:rPr>
            </w:pPr>
          </w:p>
        </w:tc>
      </w:tr>
    </w:tbl>
    <w:p w14:paraId="57A5A094" w14:textId="77777777" w:rsidR="00BD3BFB" w:rsidRDefault="00BD3BFB"/>
    <w:p w14:paraId="080E298E" w14:textId="77777777" w:rsidR="00513128" w:rsidRDefault="00513128"/>
    <w:p w14:paraId="225CF39F" w14:textId="77777777" w:rsidR="00BD3BFB" w:rsidRDefault="00A70DF5">
      <w:pPr>
        <w:pStyle w:val="Nadpis2"/>
        <w:numPr>
          <w:ilvl w:val="1"/>
          <w:numId w:val="16"/>
        </w:numPr>
      </w:pPr>
      <w:r>
        <w:t>Zamestnanci</w:t>
      </w:r>
    </w:p>
    <w:p w14:paraId="62FAD5BA" w14:textId="77777777" w:rsidR="00BD3BFB" w:rsidRDefault="00BD3BFB"/>
    <w:bookmarkStart w:id="0" w:name="_heading=h.gjdgxs" w:colFirst="0" w:colLast="0"/>
    <w:bookmarkEnd w:id="0"/>
    <w:p w14:paraId="4BE63EE6" w14:textId="77777777" w:rsidR="00BD3BFB" w:rsidRDefault="00A70DF5">
      <w:r>
        <w:object w:dxaOrig="9102" w:dyaOrig="1580" w14:anchorId="3BE436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25pt;height:78.75pt" o:ole="">
            <v:imagedata r:id="rId9" o:title=""/>
          </v:shape>
          <o:OLEObject Type="Embed" ProgID="Excel.Sheet.12" ShapeID="_x0000_i1025" DrawAspect="Content" ObjectID="_1646998895" r:id="rId10"/>
        </w:object>
      </w:r>
    </w:p>
    <w:p w14:paraId="5B07E0D5" w14:textId="77777777" w:rsidR="00513128" w:rsidRDefault="00513128"/>
    <w:p w14:paraId="58493F11" w14:textId="77777777" w:rsidR="00513128" w:rsidRDefault="00513128"/>
    <w:p w14:paraId="0D055A67" w14:textId="77777777" w:rsidR="00BD3BFB" w:rsidRDefault="00A70DF5">
      <w:pPr>
        <w:pStyle w:val="Nadpis2"/>
        <w:numPr>
          <w:ilvl w:val="1"/>
          <w:numId w:val="16"/>
        </w:numPr>
      </w:pPr>
      <w:r>
        <w:t>Neobmedzené ručenie</w:t>
      </w:r>
    </w:p>
    <w:p w14:paraId="2169D220" w14:textId="77777777" w:rsidR="00BD3BFB" w:rsidRDefault="00BD3BFB"/>
    <w:p w14:paraId="73AECBA5" w14:textId="77777777" w:rsidR="00BD3BFB" w:rsidRDefault="00A70DF5">
      <w:pPr>
        <w:rPr>
          <w:i/>
          <w:color w:val="FF0000"/>
        </w:rPr>
      </w:pPr>
      <w:r>
        <w:t>Spoločnosť nie je neobmedzene ručiacim spoločníkom v iných spoločnostiach podľa § 56 ods. 5 Obchodného zákonníka.</w:t>
      </w:r>
    </w:p>
    <w:p w14:paraId="13C777B9" w14:textId="77777777" w:rsidR="00BD3BFB" w:rsidRDefault="00BD3BFB"/>
    <w:p w14:paraId="6648B492" w14:textId="77777777" w:rsidR="00BD3BFB" w:rsidRDefault="00BD3BFB"/>
    <w:p w14:paraId="0E442001" w14:textId="77777777" w:rsidR="00BD3BFB" w:rsidRDefault="00A70DF5">
      <w:pPr>
        <w:pStyle w:val="Nadpis2"/>
        <w:numPr>
          <w:ilvl w:val="1"/>
          <w:numId w:val="16"/>
        </w:numPr>
      </w:pPr>
      <w:r>
        <w:t>Právny dôvod zostavenia účtovnej závierky</w:t>
      </w:r>
    </w:p>
    <w:p w14:paraId="668C8D78" w14:textId="77777777" w:rsidR="00BD3BFB" w:rsidRDefault="00BD3BFB"/>
    <w:p w14:paraId="391C1CE5" w14:textId="77777777" w:rsidR="00BD3BFB" w:rsidRDefault="00A70DF5">
      <w:r>
        <w:t xml:space="preserve">Táto účtovná závierka je riadna individuálna účtovná závierka za </w:t>
      </w:r>
      <w:proofErr w:type="spellStart"/>
      <w:r>
        <w:t>GymBeam</w:t>
      </w:r>
      <w:proofErr w:type="spellEnd"/>
      <w:r>
        <w:t xml:space="preserve"> </w:t>
      </w:r>
      <w:proofErr w:type="spellStart"/>
      <w:r>
        <w:t>s.r.o</w:t>
      </w:r>
      <w:proofErr w:type="spellEnd"/>
      <w:r>
        <w:t>. Bola zostavená za účtovné obdobie od 1. januára do 31. decembra 2019 podľa slovenských právnych predpisov, a to zákona o účtovníctve a postupov účtovania pre podnikateľov.</w:t>
      </w:r>
    </w:p>
    <w:p w14:paraId="068D510A" w14:textId="77777777" w:rsidR="00BD3BFB" w:rsidRDefault="00BD3BFB"/>
    <w:p w14:paraId="766AA9EC" w14:textId="77777777" w:rsidR="00BD3BFB" w:rsidRDefault="00BD3BFB"/>
    <w:p w14:paraId="7505B2E6" w14:textId="77777777" w:rsidR="00BD3BFB" w:rsidRDefault="00A70DF5">
      <w:pPr>
        <w:pStyle w:val="Nadpis2"/>
        <w:numPr>
          <w:ilvl w:val="1"/>
          <w:numId w:val="16"/>
        </w:numPr>
      </w:pPr>
      <w:r>
        <w:t>Schválenie účtovnej závierky za rok 2018</w:t>
      </w:r>
    </w:p>
    <w:p w14:paraId="76AD1E9B" w14:textId="77777777" w:rsidR="00BD3BFB" w:rsidRDefault="00BD3BFB"/>
    <w:p w14:paraId="6A7C26A7" w14:textId="77777777" w:rsidR="00BD3BFB" w:rsidRDefault="00A70DF5">
      <w:r>
        <w:t xml:space="preserve">Účtovnú závierku spoločnosti </w:t>
      </w:r>
      <w:proofErr w:type="spellStart"/>
      <w:r>
        <w:t>GymBeam</w:t>
      </w:r>
      <w:proofErr w:type="spellEnd"/>
      <w:r>
        <w:t xml:space="preserve"> </w:t>
      </w:r>
      <w:proofErr w:type="spellStart"/>
      <w:r>
        <w:t>s.r.o</w:t>
      </w:r>
      <w:proofErr w:type="spellEnd"/>
      <w:r>
        <w:t xml:space="preserve">., za rok 2018 schválilo riadne valné zhromaždenie, ktoré sa konalo dňa 29. mája 2019. </w:t>
      </w:r>
    </w:p>
    <w:p w14:paraId="37E3C8BC" w14:textId="77777777" w:rsidR="00BD3BFB" w:rsidRDefault="00BD3BFB">
      <w:pPr>
        <w:pStyle w:val="Nadpis2"/>
        <w:ind w:left="539"/>
      </w:pPr>
    </w:p>
    <w:p w14:paraId="389895A3" w14:textId="77777777" w:rsidR="00BD3BFB" w:rsidRDefault="00A70DF5">
      <w:r>
        <w:t>Výsledok hospodárenia za predchádzajúce účtovné obdobie 2018 bol preúčtovaný na účet 428 Nerozdelený zisk minulých rokov vo výške 83 180 EUR a na účet 421 Zákonný rezervný fond vo výške 500 EUR.</w:t>
      </w:r>
    </w:p>
    <w:p w14:paraId="50B150AD" w14:textId="77777777" w:rsidR="00BD3BFB" w:rsidRDefault="00BD3BFB"/>
    <w:p w14:paraId="3D70DB1C" w14:textId="77777777" w:rsidR="00BD3BFB" w:rsidRDefault="00A70DF5" w:rsidP="00513128">
      <w:pPr>
        <w:pStyle w:val="Nadpis2"/>
        <w:numPr>
          <w:ilvl w:val="1"/>
          <w:numId w:val="16"/>
        </w:numPr>
      </w:pPr>
      <w:r>
        <w:br w:type="page"/>
      </w:r>
      <w:r>
        <w:lastRenderedPageBreak/>
        <w:t>Členovia orgánov spoločnosti</w:t>
      </w:r>
    </w:p>
    <w:p w14:paraId="2D9287FB" w14:textId="77777777" w:rsidR="00BD3BFB" w:rsidRDefault="00BD3BFB"/>
    <w:tbl>
      <w:tblPr>
        <w:tblStyle w:val="a1"/>
        <w:tblW w:w="9214" w:type="dxa"/>
        <w:tblInd w:w="0" w:type="dxa"/>
        <w:tblBorders>
          <w:top w:val="single" w:sz="8" w:space="0" w:color="000000"/>
          <w:bottom w:val="single" w:sz="8" w:space="0" w:color="000000"/>
        </w:tblBorders>
        <w:tblLayout w:type="fixed"/>
        <w:tblLook w:val="0000" w:firstRow="0" w:lastRow="0" w:firstColumn="0" w:lastColumn="0" w:noHBand="0" w:noVBand="0"/>
      </w:tblPr>
      <w:tblGrid>
        <w:gridCol w:w="1701"/>
        <w:gridCol w:w="3119"/>
        <w:gridCol w:w="4394"/>
      </w:tblGrid>
      <w:tr w:rsidR="00BD3BFB" w14:paraId="67AD616C" w14:textId="77777777">
        <w:trPr>
          <w:trHeight w:val="352"/>
        </w:trPr>
        <w:tc>
          <w:tcPr>
            <w:tcW w:w="1701" w:type="dxa"/>
            <w:tcBorders>
              <w:top w:val="single" w:sz="12" w:space="0" w:color="000000"/>
              <w:left w:val="single" w:sz="12" w:space="0" w:color="000000"/>
              <w:bottom w:val="nil"/>
              <w:right w:val="single" w:sz="12" w:space="0" w:color="000000"/>
            </w:tcBorders>
            <w:vAlign w:val="center"/>
          </w:tcPr>
          <w:p w14:paraId="6977749C" w14:textId="77777777" w:rsidR="00BD3BFB" w:rsidRDefault="00A70DF5">
            <w:pPr>
              <w:jc w:val="center"/>
              <w:rPr>
                <w:b/>
                <w:sz w:val="15"/>
                <w:szCs w:val="15"/>
              </w:rPr>
            </w:pPr>
            <w:bookmarkStart w:id="1" w:name="bookmark=id.30j0zll" w:colFirst="0" w:colLast="0"/>
            <w:bookmarkEnd w:id="1"/>
            <w:r>
              <w:rPr>
                <w:b/>
                <w:sz w:val="15"/>
                <w:szCs w:val="15"/>
              </w:rPr>
              <w:t>Orgán</w:t>
            </w:r>
          </w:p>
        </w:tc>
        <w:tc>
          <w:tcPr>
            <w:tcW w:w="3119" w:type="dxa"/>
            <w:tcBorders>
              <w:top w:val="single" w:sz="12" w:space="0" w:color="000000"/>
              <w:left w:val="single" w:sz="12" w:space="0" w:color="000000"/>
              <w:bottom w:val="nil"/>
              <w:right w:val="single" w:sz="12" w:space="0" w:color="000000"/>
            </w:tcBorders>
            <w:vAlign w:val="center"/>
          </w:tcPr>
          <w:p w14:paraId="26C16901" w14:textId="77777777" w:rsidR="00BD3BFB" w:rsidRDefault="00A70DF5">
            <w:pPr>
              <w:jc w:val="center"/>
              <w:rPr>
                <w:b/>
                <w:sz w:val="15"/>
                <w:szCs w:val="15"/>
              </w:rPr>
            </w:pPr>
            <w:r>
              <w:rPr>
                <w:b/>
                <w:sz w:val="15"/>
                <w:szCs w:val="15"/>
              </w:rPr>
              <w:t>Funkcia</w:t>
            </w:r>
          </w:p>
        </w:tc>
        <w:tc>
          <w:tcPr>
            <w:tcW w:w="4394" w:type="dxa"/>
            <w:tcBorders>
              <w:top w:val="single" w:sz="12" w:space="0" w:color="000000"/>
              <w:left w:val="single" w:sz="12" w:space="0" w:color="000000"/>
              <w:bottom w:val="nil"/>
              <w:right w:val="single" w:sz="12" w:space="0" w:color="000000"/>
            </w:tcBorders>
            <w:vAlign w:val="center"/>
          </w:tcPr>
          <w:p w14:paraId="64E60727" w14:textId="77777777" w:rsidR="00BD3BFB" w:rsidRDefault="00A70DF5">
            <w:pPr>
              <w:jc w:val="center"/>
              <w:rPr>
                <w:b/>
                <w:sz w:val="15"/>
                <w:szCs w:val="15"/>
              </w:rPr>
            </w:pPr>
            <w:r>
              <w:rPr>
                <w:b/>
                <w:sz w:val="15"/>
                <w:szCs w:val="15"/>
              </w:rPr>
              <w:t>Meno</w:t>
            </w:r>
          </w:p>
        </w:tc>
      </w:tr>
      <w:tr w:rsidR="00BD3BFB" w14:paraId="5EE7D42A" w14:textId="77777777">
        <w:trPr>
          <w:trHeight w:val="352"/>
        </w:trPr>
        <w:tc>
          <w:tcPr>
            <w:tcW w:w="1701" w:type="dxa"/>
            <w:tcBorders>
              <w:top w:val="nil"/>
              <w:left w:val="single" w:sz="12" w:space="0" w:color="000000"/>
              <w:bottom w:val="single" w:sz="12" w:space="0" w:color="000000"/>
              <w:right w:val="single" w:sz="12" w:space="0" w:color="000000"/>
            </w:tcBorders>
            <w:vAlign w:val="center"/>
          </w:tcPr>
          <w:p w14:paraId="017F488D" w14:textId="77777777" w:rsidR="00BD3BFB" w:rsidRDefault="00A70DF5">
            <w:pPr>
              <w:jc w:val="center"/>
              <w:rPr>
                <w:sz w:val="15"/>
                <w:szCs w:val="15"/>
              </w:rPr>
            </w:pPr>
            <w:r>
              <w:rPr>
                <w:sz w:val="15"/>
                <w:szCs w:val="15"/>
              </w:rPr>
              <w:t>a</w:t>
            </w:r>
          </w:p>
        </w:tc>
        <w:tc>
          <w:tcPr>
            <w:tcW w:w="3119" w:type="dxa"/>
            <w:tcBorders>
              <w:top w:val="nil"/>
              <w:left w:val="single" w:sz="12" w:space="0" w:color="000000"/>
              <w:bottom w:val="single" w:sz="12" w:space="0" w:color="000000"/>
              <w:right w:val="single" w:sz="12" w:space="0" w:color="000000"/>
            </w:tcBorders>
            <w:vAlign w:val="center"/>
          </w:tcPr>
          <w:p w14:paraId="0B0EF44F" w14:textId="77777777" w:rsidR="00BD3BFB" w:rsidRDefault="00A70DF5">
            <w:pPr>
              <w:jc w:val="center"/>
              <w:rPr>
                <w:sz w:val="15"/>
                <w:szCs w:val="15"/>
              </w:rPr>
            </w:pPr>
            <w:r>
              <w:rPr>
                <w:sz w:val="15"/>
                <w:szCs w:val="15"/>
              </w:rPr>
              <w:t>b</w:t>
            </w:r>
          </w:p>
        </w:tc>
        <w:tc>
          <w:tcPr>
            <w:tcW w:w="4394" w:type="dxa"/>
            <w:tcBorders>
              <w:top w:val="nil"/>
              <w:left w:val="single" w:sz="12" w:space="0" w:color="000000"/>
              <w:bottom w:val="single" w:sz="12" w:space="0" w:color="000000"/>
              <w:right w:val="single" w:sz="12" w:space="0" w:color="000000"/>
            </w:tcBorders>
            <w:vAlign w:val="center"/>
          </w:tcPr>
          <w:p w14:paraId="57BF3F2F" w14:textId="77777777" w:rsidR="00BD3BFB" w:rsidRDefault="00A70DF5">
            <w:pPr>
              <w:jc w:val="center"/>
              <w:rPr>
                <w:sz w:val="15"/>
                <w:szCs w:val="15"/>
              </w:rPr>
            </w:pPr>
            <w:r>
              <w:rPr>
                <w:sz w:val="15"/>
                <w:szCs w:val="15"/>
              </w:rPr>
              <w:t>c</w:t>
            </w:r>
          </w:p>
        </w:tc>
      </w:tr>
      <w:tr w:rsidR="00BD3BFB" w14:paraId="3CA03F8A" w14:textId="77777777">
        <w:trPr>
          <w:trHeight w:val="257"/>
        </w:trPr>
        <w:tc>
          <w:tcPr>
            <w:tcW w:w="1701" w:type="dxa"/>
            <w:tcBorders>
              <w:top w:val="single" w:sz="12" w:space="0" w:color="000000"/>
              <w:left w:val="single" w:sz="12" w:space="0" w:color="000000"/>
              <w:bottom w:val="single" w:sz="8" w:space="0" w:color="000000"/>
              <w:right w:val="single" w:sz="12" w:space="0" w:color="000000"/>
            </w:tcBorders>
            <w:vAlign w:val="center"/>
          </w:tcPr>
          <w:p w14:paraId="7EC32892" w14:textId="77777777" w:rsidR="00BD3BFB" w:rsidRDefault="00A70DF5">
            <w:pPr>
              <w:rPr>
                <w:sz w:val="15"/>
                <w:szCs w:val="15"/>
              </w:rPr>
            </w:pPr>
            <w:r>
              <w:rPr>
                <w:sz w:val="15"/>
                <w:szCs w:val="15"/>
              </w:rPr>
              <w:t>Štatutárny orgán</w:t>
            </w:r>
          </w:p>
        </w:tc>
        <w:tc>
          <w:tcPr>
            <w:tcW w:w="3119" w:type="dxa"/>
            <w:tcBorders>
              <w:top w:val="single" w:sz="12" w:space="0" w:color="000000"/>
              <w:left w:val="single" w:sz="12" w:space="0" w:color="000000"/>
              <w:bottom w:val="single" w:sz="8" w:space="0" w:color="000000"/>
              <w:right w:val="single" w:sz="4" w:space="0" w:color="000000"/>
            </w:tcBorders>
          </w:tcPr>
          <w:p w14:paraId="1FF856A9" w14:textId="77777777" w:rsidR="00BD3BFB" w:rsidRDefault="00A70DF5">
            <w:pPr>
              <w:rPr>
                <w:sz w:val="15"/>
                <w:szCs w:val="15"/>
              </w:rPr>
            </w:pPr>
            <w:r>
              <w:rPr>
                <w:sz w:val="15"/>
                <w:szCs w:val="15"/>
              </w:rPr>
              <w:t>konateľ</w:t>
            </w:r>
          </w:p>
        </w:tc>
        <w:tc>
          <w:tcPr>
            <w:tcW w:w="4394" w:type="dxa"/>
            <w:tcBorders>
              <w:top w:val="single" w:sz="12" w:space="0" w:color="000000"/>
              <w:left w:val="single" w:sz="4" w:space="0" w:color="000000"/>
              <w:bottom w:val="single" w:sz="8" w:space="0" w:color="000000"/>
              <w:right w:val="single" w:sz="12" w:space="0" w:color="000000"/>
            </w:tcBorders>
          </w:tcPr>
          <w:p w14:paraId="15216159" w14:textId="77777777" w:rsidR="00BD3BFB" w:rsidRDefault="00A70DF5">
            <w:pPr>
              <w:rPr>
                <w:sz w:val="15"/>
                <w:szCs w:val="15"/>
              </w:rPr>
            </w:pPr>
            <w:r>
              <w:rPr>
                <w:sz w:val="15"/>
                <w:szCs w:val="15"/>
              </w:rPr>
              <w:t xml:space="preserve">Dalibor </w:t>
            </w:r>
            <w:proofErr w:type="spellStart"/>
            <w:r>
              <w:rPr>
                <w:sz w:val="15"/>
                <w:szCs w:val="15"/>
              </w:rPr>
              <w:t>Cicman</w:t>
            </w:r>
            <w:proofErr w:type="spellEnd"/>
          </w:p>
        </w:tc>
      </w:tr>
      <w:tr w:rsidR="00BD3BFB" w14:paraId="4219CBE7" w14:textId="77777777">
        <w:trPr>
          <w:trHeight w:val="253"/>
        </w:trPr>
        <w:tc>
          <w:tcPr>
            <w:tcW w:w="1701" w:type="dxa"/>
            <w:vMerge w:val="restart"/>
            <w:tcBorders>
              <w:top w:val="single" w:sz="12" w:space="0" w:color="000000"/>
              <w:left w:val="single" w:sz="12" w:space="0" w:color="000000"/>
              <w:bottom w:val="single" w:sz="8" w:space="0" w:color="000000"/>
              <w:right w:val="single" w:sz="12" w:space="0" w:color="000000"/>
            </w:tcBorders>
            <w:vAlign w:val="center"/>
          </w:tcPr>
          <w:p w14:paraId="6AB2716A" w14:textId="77777777" w:rsidR="00BD3BFB" w:rsidRDefault="00A70DF5">
            <w:pPr>
              <w:rPr>
                <w:sz w:val="15"/>
                <w:szCs w:val="15"/>
              </w:rPr>
            </w:pPr>
            <w:r>
              <w:rPr>
                <w:sz w:val="15"/>
                <w:szCs w:val="15"/>
              </w:rPr>
              <w:t>Dozorná rada</w:t>
            </w:r>
          </w:p>
        </w:tc>
        <w:tc>
          <w:tcPr>
            <w:tcW w:w="3119" w:type="dxa"/>
            <w:tcBorders>
              <w:top w:val="single" w:sz="12" w:space="0" w:color="000000"/>
              <w:left w:val="single" w:sz="12" w:space="0" w:color="000000"/>
              <w:bottom w:val="single" w:sz="8" w:space="0" w:color="000000"/>
              <w:right w:val="single" w:sz="4" w:space="0" w:color="000000"/>
            </w:tcBorders>
            <w:shd w:val="clear" w:color="auto" w:fill="auto"/>
          </w:tcPr>
          <w:p w14:paraId="5AB5D901" w14:textId="77777777" w:rsidR="00BD3BFB" w:rsidRDefault="00A70DF5">
            <w:pPr>
              <w:rPr>
                <w:sz w:val="15"/>
                <w:szCs w:val="15"/>
              </w:rPr>
            </w:pPr>
            <w:r>
              <w:rPr>
                <w:sz w:val="15"/>
                <w:szCs w:val="15"/>
              </w:rPr>
              <w:t>predseda</w:t>
            </w:r>
          </w:p>
        </w:tc>
        <w:tc>
          <w:tcPr>
            <w:tcW w:w="4394" w:type="dxa"/>
            <w:tcBorders>
              <w:top w:val="single" w:sz="12" w:space="0" w:color="000000"/>
              <w:left w:val="single" w:sz="4" w:space="0" w:color="000000"/>
              <w:bottom w:val="single" w:sz="8" w:space="0" w:color="000000"/>
              <w:right w:val="single" w:sz="12" w:space="0" w:color="000000"/>
            </w:tcBorders>
            <w:shd w:val="clear" w:color="auto" w:fill="auto"/>
          </w:tcPr>
          <w:p w14:paraId="0D52F1FA" w14:textId="77777777" w:rsidR="00BD3BFB" w:rsidRDefault="00A70DF5">
            <w:pPr>
              <w:rPr>
                <w:sz w:val="15"/>
                <w:szCs w:val="15"/>
              </w:rPr>
            </w:pPr>
            <w:r>
              <w:rPr>
                <w:sz w:val="15"/>
                <w:szCs w:val="15"/>
              </w:rPr>
              <w:t>Daniel Gašpar (vznik funkcie od 6.9.2019)</w:t>
            </w:r>
          </w:p>
        </w:tc>
      </w:tr>
      <w:tr w:rsidR="00BD3BFB" w14:paraId="3E59E24B" w14:textId="77777777">
        <w:trPr>
          <w:trHeight w:val="225"/>
        </w:trPr>
        <w:tc>
          <w:tcPr>
            <w:tcW w:w="1701" w:type="dxa"/>
            <w:vMerge/>
            <w:tcBorders>
              <w:top w:val="single" w:sz="12" w:space="0" w:color="000000"/>
              <w:left w:val="single" w:sz="12" w:space="0" w:color="000000"/>
              <w:bottom w:val="single" w:sz="8" w:space="0" w:color="000000"/>
              <w:right w:val="single" w:sz="12" w:space="0" w:color="000000"/>
            </w:tcBorders>
            <w:vAlign w:val="center"/>
          </w:tcPr>
          <w:p w14:paraId="72B02CB7" w14:textId="77777777" w:rsidR="00BD3BFB" w:rsidRDefault="00BD3BFB">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8" w:space="0" w:color="000000"/>
              <w:right w:val="single" w:sz="4" w:space="0" w:color="000000"/>
            </w:tcBorders>
            <w:shd w:val="clear" w:color="auto" w:fill="auto"/>
          </w:tcPr>
          <w:p w14:paraId="6BB0537A" w14:textId="77777777" w:rsidR="00BD3BFB" w:rsidRDefault="00A70DF5">
            <w:pPr>
              <w:rPr>
                <w:sz w:val="15"/>
                <w:szCs w:val="15"/>
              </w:rPr>
            </w:pPr>
            <w:r>
              <w:rPr>
                <w:sz w:val="15"/>
                <w:szCs w:val="15"/>
              </w:rPr>
              <w:t>člen</w:t>
            </w:r>
          </w:p>
        </w:tc>
        <w:tc>
          <w:tcPr>
            <w:tcW w:w="4394" w:type="dxa"/>
            <w:tcBorders>
              <w:top w:val="single" w:sz="8" w:space="0" w:color="000000"/>
              <w:left w:val="single" w:sz="4" w:space="0" w:color="000000"/>
              <w:bottom w:val="single" w:sz="8" w:space="0" w:color="000000"/>
              <w:right w:val="single" w:sz="12" w:space="0" w:color="000000"/>
            </w:tcBorders>
            <w:shd w:val="clear" w:color="auto" w:fill="auto"/>
          </w:tcPr>
          <w:p w14:paraId="667F57D8" w14:textId="77777777" w:rsidR="00BD3BFB" w:rsidRDefault="00A70DF5">
            <w:pPr>
              <w:rPr>
                <w:sz w:val="15"/>
                <w:szCs w:val="15"/>
              </w:rPr>
            </w:pPr>
            <w:r>
              <w:rPr>
                <w:sz w:val="15"/>
                <w:szCs w:val="15"/>
              </w:rPr>
              <w:t>Michal Nešpor (vznik funkcie od 6.9.2019)</w:t>
            </w:r>
          </w:p>
        </w:tc>
      </w:tr>
      <w:tr w:rsidR="00BD3BFB" w14:paraId="52B6DCFE" w14:textId="77777777" w:rsidTr="001A7A2C">
        <w:trPr>
          <w:trHeight w:val="265"/>
        </w:trPr>
        <w:tc>
          <w:tcPr>
            <w:tcW w:w="1701" w:type="dxa"/>
            <w:vMerge/>
            <w:tcBorders>
              <w:top w:val="single" w:sz="12" w:space="0" w:color="000000"/>
              <w:left w:val="single" w:sz="12" w:space="0" w:color="000000"/>
              <w:bottom w:val="single" w:sz="12" w:space="0" w:color="000000"/>
              <w:right w:val="single" w:sz="12" w:space="0" w:color="000000"/>
            </w:tcBorders>
            <w:vAlign w:val="center"/>
          </w:tcPr>
          <w:p w14:paraId="194B3582" w14:textId="77777777" w:rsidR="00BD3BFB" w:rsidRDefault="00BD3BFB">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12" w:space="0" w:color="000000"/>
              <w:right w:val="single" w:sz="4" w:space="0" w:color="000000"/>
            </w:tcBorders>
            <w:shd w:val="clear" w:color="auto" w:fill="auto"/>
          </w:tcPr>
          <w:p w14:paraId="75508308" w14:textId="77777777" w:rsidR="00BD3BFB" w:rsidRDefault="00A70DF5">
            <w:pPr>
              <w:rPr>
                <w:sz w:val="15"/>
                <w:szCs w:val="15"/>
              </w:rPr>
            </w:pPr>
            <w:r>
              <w:rPr>
                <w:sz w:val="15"/>
                <w:szCs w:val="15"/>
              </w:rPr>
              <w:t>člen</w:t>
            </w:r>
          </w:p>
        </w:tc>
        <w:tc>
          <w:tcPr>
            <w:tcW w:w="4394" w:type="dxa"/>
            <w:tcBorders>
              <w:top w:val="single" w:sz="8" w:space="0" w:color="000000"/>
              <w:left w:val="single" w:sz="4" w:space="0" w:color="000000"/>
              <w:bottom w:val="single" w:sz="12" w:space="0" w:color="000000"/>
              <w:right w:val="single" w:sz="12" w:space="0" w:color="000000"/>
            </w:tcBorders>
            <w:shd w:val="clear" w:color="auto" w:fill="auto"/>
          </w:tcPr>
          <w:p w14:paraId="2CBFBCB3" w14:textId="77777777" w:rsidR="00BD3BFB" w:rsidRDefault="00A70DF5">
            <w:pPr>
              <w:rPr>
                <w:sz w:val="15"/>
                <w:szCs w:val="15"/>
              </w:rPr>
            </w:pPr>
            <w:r>
              <w:rPr>
                <w:sz w:val="15"/>
                <w:szCs w:val="15"/>
              </w:rPr>
              <w:t>Oliver Juhász (vznik funkcie od 6.9.2019)</w:t>
            </w:r>
          </w:p>
        </w:tc>
      </w:tr>
      <w:tr w:rsidR="00BD3BFB" w14:paraId="7EDDD8AC" w14:textId="77777777" w:rsidTr="001A7A2C">
        <w:trPr>
          <w:trHeight w:val="245"/>
        </w:trPr>
        <w:tc>
          <w:tcPr>
            <w:tcW w:w="1701" w:type="dxa"/>
            <w:vMerge w:val="restart"/>
            <w:tcBorders>
              <w:top w:val="single" w:sz="12" w:space="0" w:color="000000"/>
              <w:left w:val="single" w:sz="12" w:space="0" w:color="000000"/>
              <w:bottom w:val="single" w:sz="12" w:space="0" w:color="000000"/>
              <w:right w:val="single" w:sz="12" w:space="0" w:color="000000"/>
            </w:tcBorders>
            <w:vAlign w:val="center"/>
          </w:tcPr>
          <w:p w14:paraId="4C48DE6E" w14:textId="77777777" w:rsidR="00BD3BFB" w:rsidRDefault="00A70DF5">
            <w:pPr>
              <w:rPr>
                <w:sz w:val="15"/>
                <w:szCs w:val="15"/>
              </w:rPr>
            </w:pPr>
            <w:r>
              <w:rPr>
                <w:sz w:val="15"/>
                <w:szCs w:val="15"/>
              </w:rPr>
              <w:t>Výkonné vedenie</w:t>
            </w:r>
          </w:p>
        </w:tc>
        <w:tc>
          <w:tcPr>
            <w:tcW w:w="3119" w:type="dxa"/>
            <w:tcBorders>
              <w:top w:val="single" w:sz="12" w:space="0" w:color="000000"/>
              <w:left w:val="single" w:sz="12" w:space="0" w:color="000000"/>
              <w:bottom w:val="single" w:sz="8" w:space="0" w:color="000000"/>
              <w:right w:val="single" w:sz="4" w:space="0" w:color="000000"/>
            </w:tcBorders>
            <w:shd w:val="clear" w:color="auto" w:fill="auto"/>
          </w:tcPr>
          <w:p w14:paraId="2289F9DB" w14:textId="77777777" w:rsidR="00BD3BFB" w:rsidRDefault="00A70DF5">
            <w:pPr>
              <w:rPr>
                <w:sz w:val="15"/>
                <w:szCs w:val="15"/>
              </w:rPr>
            </w:pPr>
            <w:r>
              <w:rPr>
                <w:sz w:val="15"/>
                <w:szCs w:val="15"/>
              </w:rPr>
              <w:t>CEO</w:t>
            </w:r>
          </w:p>
        </w:tc>
        <w:tc>
          <w:tcPr>
            <w:tcW w:w="4394" w:type="dxa"/>
            <w:tcBorders>
              <w:top w:val="single" w:sz="12" w:space="0" w:color="000000"/>
              <w:left w:val="single" w:sz="4" w:space="0" w:color="000000"/>
              <w:bottom w:val="single" w:sz="8" w:space="0" w:color="000000"/>
              <w:right w:val="single" w:sz="12" w:space="0" w:color="000000"/>
            </w:tcBorders>
            <w:shd w:val="clear" w:color="auto" w:fill="auto"/>
          </w:tcPr>
          <w:p w14:paraId="2242FC82" w14:textId="77777777" w:rsidR="00BD3BFB" w:rsidRDefault="00A70DF5">
            <w:pPr>
              <w:rPr>
                <w:sz w:val="15"/>
                <w:szCs w:val="15"/>
              </w:rPr>
            </w:pPr>
            <w:r>
              <w:rPr>
                <w:sz w:val="15"/>
                <w:szCs w:val="15"/>
              </w:rPr>
              <w:t xml:space="preserve">Dalibor </w:t>
            </w:r>
            <w:proofErr w:type="spellStart"/>
            <w:r>
              <w:rPr>
                <w:sz w:val="15"/>
                <w:szCs w:val="15"/>
              </w:rPr>
              <w:t>Cicman</w:t>
            </w:r>
            <w:proofErr w:type="spellEnd"/>
          </w:p>
        </w:tc>
      </w:tr>
      <w:tr w:rsidR="001A7A2C" w14:paraId="31D57F08" w14:textId="77777777" w:rsidTr="001A7A2C">
        <w:trPr>
          <w:trHeight w:val="273"/>
        </w:trPr>
        <w:tc>
          <w:tcPr>
            <w:tcW w:w="1701" w:type="dxa"/>
            <w:vMerge/>
            <w:tcBorders>
              <w:top w:val="single" w:sz="12" w:space="0" w:color="000000"/>
              <w:left w:val="single" w:sz="12" w:space="0" w:color="000000"/>
              <w:bottom w:val="single" w:sz="12" w:space="0" w:color="000000"/>
              <w:right w:val="single" w:sz="12" w:space="0" w:color="000000"/>
            </w:tcBorders>
            <w:vAlign w:val="center"/>
          </w:tcPr>
          <w:p w14:paraId="1FCE2956" w14:textId="77777777" w:rsidR="001A7A2C" w:rsidRDefault="001A7A2C" w:rsidP="001A7A2C">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8" w:space="0" w:color="000000"/>
              <w:right w:val="single" w:sz="4" w:space="0" w:color="000000"/>
            </w:tcBorders>
            <w:shd w:val="clear" w:color="auto" w:fill="auto"/>
          </w:tcPr>
          <w:p w14:paraId="43147C9E" w14:textId="77777777" w:rsidR="001A7A2C" w:rsidRDefault="001A7A2C" w:rsidP="001A7A2C">
            <w:pPr>
              <w:rPr>
                <w:sz w:val="15"/>
                <w:szCs w:val="15"/>
              </w:rPr>
            </w:pPr>
            <w:r>
              <w:rPr>
                <w:sz w:val="15"/>
                <w:szCs w:val="15"/>
              </w:rPr>
              <w:t>CTO</w:t>
            </w:r>
          </w:p>
        </w:tc>
        <w:tc>
          <w:tcPr>
            <w:tcW w:w="4394" w:type="dxa"/>
            <w:tcBorders>
              <w:top w:val="single" w:sz="8" w:space="0" w:color="000000"/>
              <w:left w:val="single" w:sz="4" w:space="0" w:color="000000"/>
              <w:bottom w:val="single" w:sz="8" w:space="0" w:color="000000"/>
              <w:right w:val="single" w:sz="12" w:space="0" w:color="000000"/>
            </w:tcBorders>
            <w:shd w:val="clear" w:color="auto" w:fill="auto"/>
          </w:tcPr>
          <w:p w14:paraId="03FD91F8" w14:textId="77777777" w:rsidR="001A7A2C" w:rsidRDefault="001A7A2C" w:rsidP="001A7A2C">
            <w:pPr>
              <w:rPr>
                <w:sz w:val="15"/>
                <w:szCs w:val="15"/>
              </w:rPr>
            </w:pPr>
            <w:r>
              <w:rPr>
                <w:sz w:val="15"/>
                <w:szCs w:val="15"/>
              </w:rPr>
              <w:t xml:space="preserve">Pavol </w:t>
            </w:r>
            <w:proofErr w:type="spellStart"/>
            <w:r>
              <w:rPr>
                <w:sz w:val="15"/>
                <w:szCs w:val="15"/>
              </w:rPr>
              <w:t>Jasem</w:t>
            </w:r>
            <w:proofErr w:type="spellEnd"/>
          </w:p>
        </w:tc>
      </w:tr>
      <w:tr w:rsidR="001A7A2C" w14:paraId="08E99F12" w14:textId="77777777" w:rsidTr="001A7A2C">
        <w:trPr>
          <w:trHeight w:val="276"/>
        </w:trPr>
        <w:tc>
          <w:tcPr>
            <w:tcW w:w="1701" w:type="dxa"/>
            <w:vMerge/>
            <w:tcBorders>
              <w:top w:val="single" w:sz="12" w:space="0" w:color="000000"/>
              <w:left w:val="single" w:sz="12" w:space="0" w:color="000000"/>
              <w:bottom w:val="single" w:sz="12" w:space="0" w:color="000000"/>
              <w:right w:val="single" w:sz="12" w:space="0" w:color="000000"/>
            </w:tcBorders>
            <w:vAlign w:val="center"/>
          </w:tcPr>
          <w:p w14:paraId="667728A0" w14:textId="77777777" w:rsidR="001A7A2C" w:rsidRDefault="001A7A2C" w:rsidP="001A7A2C">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8" w:space="0" w:color="000000"/>
              <w:right w:val="single" w:sz="4" w:space="0" w:color="000000"/>
            </w:tcBorders>
            <w:shd w:val="clear" w:color="auto" w:fill="auto"/>
          </w:tcPr>
          <w:p w14:paraId="045E7059" w14:textId="77777777" w:rsidR="001A7A2C" w:rsidRDefault="001A7A2C" w:rsidP="001A7A2C">
            <w:pPr>
              <w:rPr>
                <w:sz w:val="15"/>
                <w:szCs w:val="15"/>
              </w:rPr>
            </w:pPr>
            <w:r>
              <w:rPr>
                <w:sz w:val="15"/>
                <w:szCs w:val="15"/>
              </w:rPr>
              <w:t>CSO</w:t>
            </w:r>
          </w:p>
        </w:tc>
        <w:tc>
          <w:tcPr>
            <w:tcW w:w="4394" w:type="dxa"/>
            <w:tcBorders>
              <w:top w:val="single" w:sz="8" w:space="0" w:color="000000"/>
              <w:left w:val="single" w:sz="4" w:space="0" w:color="000000"/>
              <w:bottom w:val="single" w:sz="8" w:space="0" w:color="000000"/>
              <w:right w:val="single" w:sz="12" w:space="0" w:color="000000"/>
            </w:tcBorders>
            <w:shd w:val="clear" w:color="auto" w:fill="auto"/>
          </w:tcPr>
          <w:p w14:paraId="3608C13A" w14:textId="77777777" w:rsidR="001A7A2C" w:rsidRDefault="001A7A2C" w:rsidP="001A7A2C">
            <w:pPr>
              <w:rPr>
                <w:sz w:val="15"/>
                <w:szCs w:val="15"/>
              </w:rPr>
            </w:pPr>
            <w:r>
              <w:rPr>
                <w:sz w:val="15"/>
                <w:szCs w:val="15"/>
              </w:rPr>
              <w:t xml:space="preserve">Richard </w:t>
            </w:r>
            <w:proofErr w:type="spellStart"/>
            <w:r>
              <w:rPr>
                <w:sz w:val="15"/>
                <w:szCs w:val="15"/>
              </w:rPr>
              <w:t>Parev</w:t>
            </w:r>
            <w:proofErr w:type="spellEnd"/>
          </w:p>
        </w:tc>
      </w:tr>
      <w:tr w:rsidR="001A7A2C" w14:paraId="2521DD62" w14:textId="77777777" w:rsidTr="001A7A2C">
        <w:trPr>
          <w:trHeight w:val="253"/>
        </w:trPr>
        <w:tc>
          <w:tcPr>
            <w:tcW w:w="1701" w:type="dxa"/>
            <w:vMerge/>
            <w:tcBorders>
              <w:top w:val="single" w:sz="12" w:space="0" w:color="000000"/>
              <w:left w:val="single" w:sz="12" w:space="0" w:color="000000"/>
              <w:bottom w:val="single" w:sz="12" w:space="0" w:color="000000"/>
              <w:right w:val="single" w:sz="12" w:space="0" w:color="000000"/>
            </w:tcBorders>
            <w:vAlign w:val="center"/>
          </w:tcPr>
          <w:p w14:paraId="05883695" w14:textId="77777777" w:rsidR="001A7A2C" w:rsidRDefault="001A7A2C" w:rsidP="001A7A2C">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8" w:space="0" w:color="000000"/>
              <w:right w:val="single" w:sz="4" w:space="0" w:color="000000"/>
            </w:tcBorders>
            <w:shd w:val="clear" w:color="auto" w:fill="auto"/>
          </w:tcPr>
          <w:p w14:paraId="55A298B7" w14:textId="77777777" w:rsidR="001A7A2C" w:rsidRDefault="001A7A2C" w:rsidP="001A7A2C">
            <w:pPr>
              <w:rPr>
                <w:sz w:val="15"/>
                <w:szCs w:val="15"/>
              </w:rPr>
            </w:pPr>
            <w:r>
              <w:rPr>
                <w:sz w:val="15"/>
                <w:szCs w:val="15"/>
              </w:rPr>
              <w:t>CMO</w:t>
            </w:r>
          </w:p>
        </w:tc>
        <w:tc>
          <w:tcPr>
            <w:tcW w:w="4394" w:type="dxa"/>
            <w:tcBorders>
              <w:top w:val="single" w:sz="8" w:space="0" w:color="000000"/>
              <w:left w:val="single" w:sz="4" w:space="0" w:color="000000"/>
              <w:bottom w:val="single" w:sz="8" w:space="0" w:color="000000"/>
              <w:right w:val="single" w:sz="12" w:space="0" w:color="000000"/>
            </w:tcBorders>
            <w:shd w:val="clear" w:color="auto" w:fill="auto"/>
          </w:tcPr>
          <w:p w14:paraId="59C99339" w14:textId="77777777" w:rsidR="001A7A2C" w:rsidRDefault="001A7A2C" w:rsidP="001A7A2C">
            <w:pPr>
              <w:rPr>
                <w:sz w:val="15"/>
                <w:szCs w:val="15"/>
              </w:rPr>
            </w:pPr>
            <w:r>
              <w:rPr>
                <w:sz w:val="15"/>
                <w:szCs w:val="15"/>
              </w:rPr>
              <w:t xml:space="preserve">Mária </w:t>
            </w:r>
            <w:proofErr w:type="spellStart"/>
            <w:r>
              <w:rPr>
                <w:sz w:val="15"/>
                <w:szCs w:val="15"/>
              </w:rPr>
              <w:t>Cicmanová</w:t>
            </w:r>
            <w:proofErr w:type="spellEnd"/>
          </w:p>
        </w:tc>
      </w:tr>
      <w:tr w:rsidR="001A7A2C" w14:paraId="0AD909D2" w14:textId="77777777" w:rsidTr="001A7A2C">
        <w:trPr>
          <w:trHeight w:val="271"/>
        </w:trPr>
        <w:tc>
          <w:tcPr>
            <w:tcW w:w="1701" w:type="dxa"/>
            <w:vMerge/>
            <w:tcBorders>
              <w:top w:val="single" w:sz="12" w:space="0" w:color="000000"/>
              <w:left w:val="single" w:sz="12" w:space="0" w:color="000000"/>
              <w:bottom w:val="single" w:sz="12" w:space="0" w:color="000000"/>
              <w:right w:val="single" w:sz="12" w:space="0" w:color="000000"/>
            </w:tcBorders>
            <w:vAlign w:val="center"/>
          </w:tcPr>
          <w:p w14:paraId="1F36ACC1" w14:textId="77777777" w:rsidR="001A7A2C" w:rsidRDefault="001A7A2C" w:rsidP="001A7A2C">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8" w:space="0" w:color="000000"/>
              <w:right w:val="single" w:sz="4" w:space="0" w:color="000000"/>
            </w:tcBorders>
            <w:shd w:val="clear" w:color="auto" w:fill="auto"/>
          </w:tcPr>
          <w:p w14:paraId="0F8E2BC7" w14:textId="77777777" w:rsidR="001A7A2C" w:rsidRDefault="001A7A2C" w:rsidP="001A7A2C">
            <w:pPr>
              <w:rPr>
                <w:sz w:val="15"/>
                <w:szCs w:val="15"/>
              </w:rPr>
            </w:pPr>
            <w:r>
              <w:rPr>
                <w:sz w:val="15"/>
                <w:szCs w:val="15"/>
              </w:rPr>
              <w:t>CBDO</w:t>
            </w:r>
          </w:p>
        </w:tc>
        <w:tc>
          <w:tcPr>
            <w:tcW w:w="4394" w:type="dxa"/>
            <w:tcBorders>
              <w:top w:val="single" w:sz="8" w:space="0" w:color="000000"/>
              <w:left w:val="single" w:sz="4" w:space="0" w:color="000000"/>
              <w:bottom w:val="single" w:sz="8" w:space="0" w:color="000000"/>
              <w:right w:val="single" w:sz="12" w:space="0" w:color="000000"/>
            </w:tcBorders>
            <w:shd w:val="clear" w:color="auto" w:fill="auto"/>
          </w:tcPr>
          <w:p w14:paraId="5C322597" w14:textId="77777777" w:rsidR="001A7A2C" w:rsidRDefault="001A7A2C" w:rsidP="001A7A2C">
            <w:pPr>
              <w:rPr>
                <w:sz w:val="15"/>
                <w:szCs w:val="15"/>
              </w:rPr>
            </w:pPr>
            <w:r>
              <w:rPr>
                <w:sz w:val="15"/>
                <w:szCs w:val="15"/>
              </w:rPr>
              <w:t xml:space="preserve">Lukáš </w:t>
            </w:r>
            <w:proofErr w:type="spellStart"/>
            <w:r>
              <w:rPr>
                <w:sz w:val="15"/>
                <w:szCs w:val="15"/>
              </w:rPr>
              <w:t>Jakab</w:t>
            </w:r>
            <w:proofErr w:type="spellEnd"/>
          </w:p>
        </w:tc>
      </w:tr>
      <w:tr w:rsidR="001A7A2C" w14:paraId="2A138B82" w14:textId="77777777" w:rsidTr="001A7A2C">
        <w:trPr>
          <w:trHeight w:val="247"/>
        </w:trPr>
        <w:tc>
          <w:tcPr>
            <w:tcW w:w="1701" w:type="dxa"/>
            <w:vMerge/>
            <w:tcBorders>
              <w:top w:val="single" w:sz="12" w:space="0" w:color="000000"/>
              <w:left w:val="single" w:sz="12" w:space="0" w:color="000000"/>
              <w:bottom w:val="single" w:sz="12" w:space="0" w:color="000000"/>
              <w:right w:val="single" w:sz="12" w:space="0" w:color="000000"/>
            </w:tcBorders>
            <w:vAlign w:val="center"/>
          </w:tcPr>
          <w:p w14:paraId="435A6959" w14:textId="77777777" w:rsidR="001A7A2C" w:rsidRDefault="001A7A2C" w:rsidP="001A7A2C">
            <w:pPr>
              <w:widowControl w:val="0"/>
              <w:pBdr>
                <w:top w:val="nil"/>
                <w:left w:val="nil"/>
                <w:bottom w:val="nil"/>
                <w:right w:val="nil"/>
                <w:between w:val="nil"/>
              </w:pBdr>
              <w:spacing w:line="276" w:lineRule="auto"/>
              <w:jc w:val="left"/>
              <w:rPr>
                <w:sz w:val="15"/>
                <w:szCs w:val="15"/>
              </w:rPr>
            </w:pPr>
          </w:p>
        </w:tc>
        <w:tc>
          <w:tcPr>
            <w:tcW w:w="3119" w:type="dxa"/>
            <w:tcBorders>
              <w:top w:val="single" w:sz="8" w:space="0" w:color="000000"/>
              <w:left w:val="single" w:sz="12" w:space="0" w:color="000000"/>
              <w:bottom w:val="single" w:sz="12" w:space="0" w:color="000000"/>
              <w:right w:val="single" w:sz="4" w:space="0" w:color="000000"/>
            </w:tcBorders>
            <w:shd w:val="clear" w:color="auto" w:fill="auto"/>
          </w:tcPr>
          <w:p w14:paraId="7E884DAD" w14:textId="77777777" w:rsidR="001A7A2C" w:rsidRDefault="001A7A2C" w:rsidP="001A7A2C">
            <w:pPr>
              <w:rPr>
                <w:sz w:val="15"/>
                <w:szCs w:val="15"/>
              </w:rPr>
            </w:pPr>
            <w:r>
              <w:rPr>
                <w:sz w:val="15"/>
                <w:szCs w:val="15"/>
              </w:rPr>
              <w:t>CFO</w:t>
            </w:r>
          </w:p>
        </w:tc>
        <w:tc>
          <w:tcPr>
            <w:tcW w:w="4394" w:type="dxa"/>
            <w:tcBorders>
              <w:top w:val="single" w:sz="8" w:space="0" w:color="000000"/>
              <w:left w:val="single" w:sz="4" w:space="0" w:color="000000"/>
              <w:bottom w:val="single" w:sz="12" w:space="0" w:color="000000"/>
              <w:right w:val="single" w:sz="12" w:space="0" w:color="000000"/>
            </w:tcBorders>
            <w:shd w:val="clear" w:color="auto" w:fill="auto"/>
          </w:tcPr>
          <w:p w14:paraId="4E18D797" w14:textId="77777777" w:rsidR="001A7A2C" w:rsidRDefault="001A7A2C" w:rsidP="001A7A2C">
            <w:pPr>
              <w:rPr>
                <w:sz w:val="15"/>
                <w:szCs w:val="15"/>
              </w:rPr>
            </w:pPr>
            <w:r>
              <w:rPr>
                <w:sz w:val="15"/>
                <w:szCs w:val="15"/>
              </w:rPr>
              <w:t>Juraj Tobák</w:t>
            </w:r>
          </w:p>
        </w:tc>
      </w:tr>
    </w:tbl>
    <w:p w14:paraId="4ADBB0ED" w14:textId="77777777" w:rsidR="00BD3BFB" w:rsidRDefault="00BD3BFB">
      <w:pPr>
        <w:rPr>
          <w:i/>
          <w:color w:val="FF0000"/>
        </w:rPr>
      </w:pPr>
    </w:p>
    <w:p w14:paraId="691F3E80" w14:textId="77777777" w:rsidR="00BD3BFB" w:rsidRDefault="00BD3BFB"/>
    <w:p w14:paraId="6EAD9C7F" w14:textId="77777777" w:rsidR="00BD3BFB" w:rsidRDefault="00A70DF5">
      <w:pPr>
        <w:pStyle w:val="Nadpis2"/>
        <w:numPr>
          <w:ilvl w:val="1"/>
          <w:numId w:val="16"/>
        </w:numPr>
      </w:pPr>
      <w:r>
        <w:t>Štruktúra spoločníkov a akcionárov a ich podiel na základnom imaní</w:t>
      </w:r>
    </w:p>
    <w:p w14:paraId="1559B8D6" w14:textId="77777777" w:rsidR="00BD3BFB" w:rsidRDefault="00BD3BFB"/>
    <w:bookmarkStart w:id="2" w:name="_heading=h.1fob9te" w:colFirst="0" w:colLast="0"/>
    <w:bookmarkEnd w:id="2"/>
    <w:p w14:paraId="2E14B798" w14:textId="77777777" w:rsidR="00BD3BFB" w:rsidRDefault="00A70DF5">
      <w:pPr>
        <w:ind w:left="-85"/>
      </w:pPr>
      <w:r>
        <w:object w:dxaOrig="9081" w:dyaOrig="1795" w14:anchorId="3D06FDEE">
          <v:shape id="_x0000_i1026" type="#_x0000_t75" style="width:453.75pt;height:90pt" o:ole="" o:bordertopcolor="this" o:borderleftcolor="this">
            <v:imagedata r:id="rId11" o:title=""/>
            <w10:bordertop type="single" width="4"/>
            <w10:borderleft type="single" width="4"/>
          </v:shape>
          <o:OLEObject Type="Embed" ProgID="Excel.Sheet.12" ShapeID="_x0000_i1026" DrawAspect="Content" ObjectID="_1646998896" r:id="rId12"/>
        </w:object>
      </w:r>
    </w:p>
    <w:p w14:paraId="6BD4117E" w14:textId="77777777" w:rsidR="00BD3BFB" w:rsidRDefault="00BD3BFB">
      <w:pPr>
        <w:rPr>
          <w:i/>
          <w:color w:val="FF0000"/>
        </w:rPr>
      </w:pPr>
    </w:p>
    <w:p w14:paraId="41AFEF5B" w14:textId="77777777" w:rsidR="00BD3BFB" w:rsidRDefault="00BD3BFB">
      <w:pPr>
        <w:rPr>
          <w:i/>
          <w:color w:val="FF0000"/>
        </w:rPr>
      </w:pPr>
    </w:p>
    <w:bookmarkStart w:id="3" w:name="_heading=h.3znysh7" w:colFirst="0" w:colLast="0"/>
    <w:bookmarkEnd w:id="3"/>
    <w:p w14:paraId="157E5525" w14:textId="77777777" w:rsidR="00BD3BFB" w:rsidRDefault="00A70DF5">
      <w:pPr>
        <w:ind w:left="-85"/>
        <w:rPr>
          <w:sz w:val="20"/>
          <w:szCs w:val="20"/>
        </w:rPr>
      </w:pPr>
      <w:r>
        <w:rPr>
          <w:sz w:val="20"/>
          <w:szCs w:val="20"/>
        </w:rPr>
        <w:object w:dxaOrig="9081" w:dyaOrig="1827" w14:anchorId="5048735E">
          <v:shape id="_x0000_i1027" type="#_x0000_t75" style="width:453.75pt;height:91.5pt" o:ole="">
            <v:imagedata r:id="rId13" o:title=""/>
          </v:shape>
          <o:OLEObject Type="Embed" ProgID="Excel.Sheet.12" ShapeID="_x0000_i1027" DrawAspect="Content" ObjectID="_1646998897" r:id="rId14"/>
        </w:object>
      </w:r>
    </w:p>
    <w:p w14:paraId="2A95332D" w14:textId="77777777" w:rsidR="00BD3BFB" w:rsidRDefault="00BD3BFB">
      <w:pPr>
        <w:rPr>
          <w:sz w:val="20"/>
          <w:szCs w:val="20"/>
        </w:rPr>
      </w:pPr>
    </w:p>
    <w:p w14:paraId="38D90ACF" w14:textId="77777777" w:rsidR="00513128" w:rsidRDefault="00513128">
      <w:pPr>
        <w:rPr>
          <w:sz w:val="20"/>
          <w:szCs w:val="20"/>
        </w:rPr>
      </w:pPr>
    </w:p>
    <w:p w14:paraId="79806948" w14:textId="77777777" w:rsidR="00BD3BFB" w:rsidRDefault="00A70DF5">
      <w:pPr>
        <w:pStyle w:val="Nadpis2"/>
        <w:numPr>
          <w:ilvl w:val="1"/>
          <w:numId w:val="16"/>
        </w:numPr>
      </w:pPr>
      <w:r>
        <w:t>Konsolidovaná účtovná závierka</w:t>
      </w:r>
    </w:p>
    <w:p w14:paraId="4E53F74D" w14:textId="77777777" w:rsidR="00BD3BFB" w:rsidRDefault="00BD3BFB"/>
    <w:p w14:paraId="06432077" w14:textId="1E2748B9" w:rsidR="00BD3BFB" w:rsidRDefault="00A70DF5">
      <w:r>
        <w:t>Účtovná závierka spoločnosti sa nezahrňuje do konsolidovanej účtovnej závierky užšieho ani širšieho konsolidačného poľa žiadnej inej spoločnosti.</w:t>
      </w:r>
    </w:p>
    <w:p w14:paraId="641D9BCD" w14:textId="0D85C8E4" w:rsidR="002D7A3D" w:rsidRDefault="002D7A3D"/>
    <w:p w14:paraId="60789E47" w14:textId="064FBF23" w:rsidR="002D7A3D" w:rsidRDefault="002D7A3D">
      <w:r>
        <w:t xml:space="preserve">Spoločnosť nezostavuje konsolidovanú účtovnú závierku z dôvodu oslobodenia </w:t>
      </w:r>
      <w:r w:rsidRPr="00BF70C8">
        <w:t>podľa § 22 ods. 10 a 12 zákona</w:t>
      </w:r>
      <w:r>
        <w:t xml:space="preserve"> ú účtovníctve v platnom znení. </w:t>
      </w:r>
    </w:p>
    <w:p w14:paraId="58412063" w14:textId="77777777" w:rsidR="00BD3BFB" w:rsidRDefault="00BD3BFB">
      <w:pPr>
        <w:rPr>
          <w:b/>
          <w:sz w:val="20"/>
          <w:szCs w:val="20"/>
        </w:rPr>
      </w:pPr>
    </w:p>
    <w:p w14:paraId="558467C8" w14:textId="77777777" w:rsidR="00BD3BFB" w:rsidRDefault="00A70DF5">
      <w:pPr>
        <w:pStyle w:val="Nadpis1"/>
        <w:numPr>
          <w:ilvl w:val="0"/>
          <w:numId w:val="16"/>
        </w:numPr>
      </w:pPr>
      <w:bookmarkStart w:id="4" w:name="_heading=h.2et92p0" w:colFirst="0" w:colLast="0"/>
      <w:bookmarkEnd w:id="4"/>
      <w:r>
        <w:br w:type="page"/>
      </w:r>
      <w:r>
        <w:lastRenderedPageBreak/>
        <w:t>POUŽITÉ ÚČTOVNÉ ZÁSADY A ÚČTOVNÉ METÓDY</w:t>
      </w:r>
    </w:p>
    <w:p w14:paraId="538E3A1F" w14:textId="77777777" w:rsidR="00BD3BFB" w:rsidRDefault="00BD3BFB"/>
    <w:p w14:paraId="1258A8A2" w14:textId="77777777" w:rsidR="00BD3BFB" w:rsidRDefault="00A70DF5">
      <w:pPr>
        <w:numPr>
          <w:ilvl w:val="0"/>
          <w:numId w:val="4"/>
        </w:numPr>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6E49FB82" w14:textId="77777777" w:rsidR="00BD3BFB" w:rsidRDefault="00BD3BFB">
      <w:pPr>
        <w:ind w:left="540" w:hanging="540"/>
      </w:pPr>
    </w:p>
    <w:p w14:paraId="27428DF5" w14:textId="77777777" w:rsidR="001A7A2C" w:rsidRDefault="00A70DF5" w:rsidP="001A7A2C">
      <w:pPr>
        <w:numPr>
          <w:ilvl w:val="0"/>
          <w:numId w:val="4"/>
        </w:numPr>
      </w:pPr>
      <w:r>
        <w:t>Účtovná závierka za rok 2019 bola spracovaná za predpokladu nepretržitého pokračovania činnosti</w:t>
      </w:r>
      <w:r w:rsidR="001A7A2C">
        <w:t>:</w:t>
      </w:r>
    </w:p>
    <w:p w14:paraId="3F4CC0DA" w14:textId="77777777" w:rsidR="001A7A2C" w:rsidRDefault="001A7A2C" w:rsidP="001A7A2C">
      <w:pPr>
        <w:pStyle w:val="Odsekzoznamu"/>
      </w:pPr>
    </w:p>
    <w:p w14:paraId="7E8F44A8" w14:textId="77777777" w:rsidR="00932ABB" w:rsidRDefault="00932ABB" w:rsidP="00932ABB">
      <w:pPr>
        <w:ind w:left="539"/>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Výmenné kurzy, ktoré používa účtovná jednotka oslabili, hodnota akcií na trhoch klesla a ceny komodít zaznamenávajú významné fluktuácie. Pretože sa situácia stále vyvíja, vedenie účtovnej jednotky si nemyslí, že je možné poskytnúť spoľahlivé kvantitatívne odhady potenciálneho vplyvu súčasnej situácie na účtovnú jednotku. Akýkoľvek negatívny vplyv resp. straty zahrnie účtovná jednotka do účtovníctva a účtovnej závierky v roku 2020.</w:t>
      </w:r>
    </w:p>
    <w:p w14:paraId="5949DC96" w14:textId="77777777" w:rsidR="00932ABB" w:rsidRDefault="00932ABB" w:rsidP="00932ABB">
      <w:pPr>
        <w:ind w:left="539"/>
      </w:pPr>
    </w:p>
    <w:p w14:paraId="01A05491" w14:textId="77777777" w:rsidR="001A7A2C" w:rsidRDefault="001A7A2C" w:rsidP="00932ABB">
      <w:pPr>
        <w:ind w:left="539"/>
      </w:pPr>
      <w:r>
        <w:t xml:space="preserve">Manažment spoločnosti zvážil všetky </w:t>
      </w:r>
      <w:r w:rsidR="00932ABB">
        <w:t xml:space="preserve">známe </w:t>
      </w:r>
      <w:r>
        <w:t>potenciálne dopady COVID</w:t>
      </w:r>
      <w:r w:rsidR="00932ABB">
        <w:t>-</w:t>
      </w:r>
      <w:r>
        <w:t>19 na naše podnikateľské aktivity a dospel k záveru, že nemajú významný negatívny vplyv na našu schopnosť pokračovať nepretržite v činnosti a fungovať ako zdravý subjekt nasledujúcich 12.</w:t>
      </w:r>
    </w:p>
    <w:p w14:paraId="7ED8EBA1" w14:textId="77777777" w:rsidR="00932ABB" w:rsidRDefault="00932ABB" w:rsidP="00932ABB">
      <w:pPr>
        <w:ind w:left="539"/>
      </w:pPr>
    </w:p>
    <w:p w14:paraId="62D47F17" w14:textId="77777777" w:rsidR="00932ABB" w:rsidRDefault="00932ABB" w:rsidP="00932ABB">
      <w:pPr>
        <w:ind w:left="539"/>
      </w:pPr>
      <w:r>
        <w:t>Manažment bude pokračovať v monitorovaní potenciálneho dopadu a podnikne všetky možné kroky na zmiernenie akýchkoľvek negatívnych účinkov na spoločnosť a jej zamestnancov.</w:t>
      </w:r>
    </w:p>
    <w:p w14:paraId="0D1C87A0" w14:textId="77777777" w:rsidR="00BD3BFB" w:rsidRDefault="00BD3BFB">
      <w:pPr>
        <w:ind w:left="540" w:hanging="540"/>
      </w:pPr>
    </w:p>
    <w:p w14:paraId="1A8BB8AE" w14:textId="77777777" w:rsidR="00BD3BFB" w:rsidRDefault="00A70DF5">
      <w:pPr>
        <w:numPr>
          <w:ilvl w:val="0"/>
          <w:numId w:val="4"/>
        </w:numPr>
      </w:pPr>
      <w:r>
        <w:t xml:space="preserve">Účtovníctvo sa vedie na základe dodržania časovej a vecnej súvislosti nákladov a výnosov. Za základ sa berú všetky náklady a výnosy, ktoré sa vzťahujú na účtovné obdobie bez ohľadu na dátum ich platenia. </w:t>
      </w:r>
    </w:p>
    <w:p w14:paraId="7D389D7C" w14:textId="77777777" w:rsidR="00BD3BFB" w:rsidRDefault="00BD3BFB">
      <w:pPr>
        <w:ind w:left="540" w:hanging="540"/>
      </w:pPr>
    </w:p>
    <w:p w14:paraId="7FFE99AD" w14:textId="77777777" w:rsidR="00BD3BFB" w:rsidRDefault="00A70DF5">
      <w:pPr>
        <w:numPr>
          <w:ilvl w:val="0"/>
          <w:numId w:val="4"/>
        </w:numPr>
      </w:pPr>
      <w:r>
        <w:t>Pri oceňovaní majetku a záväzkov sa uplatňuje zásada opatrnosti, t. j. berú sa za základ všetky riziká, straty a zníženia hodnoty, ktoré sa týkajú majetku a záväzkov a ktoré sú známe ku dňu, ku ktorému sa zostavuje účtovná závierka.</w:t>
      </w:r>
    </w:p>
    <w:p w14:paraId="655A76F5" w14:textId="77777777" w:rsidR="00BD3BFB" w:rsidRDefault="00BD3BFB">
      <w:pPr>
        <w:ind w:left="540" w:hanging="540"/>
      </w:pPr>
    </w:p>
    <w:p w14:paraId="5A92919C" w14:textId="77777777" w:rsidR="00BD3BFB" w:rsidRDefault="00A70DF5">
      <w:pPr>
        <w:numPr>
          <w:ilvl w:val="0"/>
          <w:numId w:val="4"/>
        </w:numPr>
      </w:pPr>
      <w:r>
        <w:t>Moment zaúčtovania výnosov – výnosy sa účtujú pri splnení dodacích podmienok, nakoľko v tomto okamihu prechádzajú na odberateľa významné riziká a vlastnícke práva.</w:t>
      </w:r>
    </w:p>
    <w:p w14:paraId="43E8EA22" w14:textId="77777777" w:rsidR="00BD3BFB" w:rsidRDefault="00BD3BFB">
      <w:pPr>
        <w:ind w:left="540" w:hanging="540"/>
      </w:pPr>
    </w:p>
    <w:p w14:paraId="596AF9BC" w14:textId="77777777" w:rsidR="00BD3BFB" w:rsidRDefault="00A70DF5">
      <w:pPr>
        <w:numPr>
          <w:ilvl w:val="0"/>
          <w:numId w:val="4"/>
        </w:numPr>
      </w:pPr>
      <w: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7FB83E6" w14:textId="77777777" w:rsidR="00BD3BFB" w:rsidRDefault="00BD3BFB">
      <w:pPr>
        <w:ind w:left="540" w:hanging="540"/>
      </w:pPr>
    </w:p>
    <w:p w14:paraId="07001042" w14:textId="77777777" w:rsidR="00BD3BFB" w:rsidRDefault="00A70DF5">
      <w:pPr>
        <w:numPr>
          <w:ilvl w:val="0"/>
          <w:numId w:val="4"/>
        </w:numPr>
      </w:pPr>
      <w: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87C77A3" w14:textId="77777777" w:rsidR="00BD3BFB" w:rsidRDefault="00BD3BFB">
      <w:pPr>
        <w:ind w:left="540" w:hanging="540"/>
      </w:pPr>
    </w:p>
    <w:p w14:paraId="4A0682E1" w14:textId="77777777" w:rsidR="00BD3BFB" w:rsidRDefault="00A70DF5">
      <w:pPr>
        <w:numPr>
          <w:ilvl w:val="0"/>
          <w:numId w:val="4"/>
        </w:numPr>
      </w:pPr>
      <w:r>
        <w:t>Vykázané dane – slovenské daňové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6D7C355" w14:textId="77777777" w:rsidR="00BD3BFB" w:rsidRDefault="00BD3BFB">
      <w:pPr>
        <w:ind w:left="539"/>
      </w:pPr>
    </w:p>
    <w:p w14:paraId="4E6D8CAA" w14:textId="77777777" w:rsidR="00BD3BFB" w:rsidRDefault="00A70DF5">
      <w:pPr>
        <w:numPr>
          <w:ilvl w:val="0"/>
          <w:numId w:val="4"/>
        </w:numPr>
      </w:pPr>
      <w:r>
        <w:t xml:space="preserve">Zostatky účtov, ktoré obsahuje súvaha, a ktorými sa účtovné obdobie začína, nadväzujú na zostatky účtov, ktorými sa predchádzajúce účtovné obdobie uzavrelo. </w:t>
      </w:r>
    </w:p>
    <w:p w14:paraId="5BBA281A" w14:textId="77777777" w:rsidR="00BD3BFB" w:rsidRDefault="00BD3BFB"/>
    <w:p w14:paraId="0FA15F31" w14:textId="77777777" w:rsidR="00BD3BFB" w:rsidRDefault="00BD3BFB"/>
    <w:p w14:paraId="3CCD83F0" w14:textId="77777777" w:rsidR="00BD3BFB" w:rsidRDefault="00A70DF5">
      <w:pPr>
        <w:pStyle w:val="Nadpis2"/>
        <w:numPr>
          <w:ilvl w:val="0"/>
          <w:numId w:val="4"/>
        </w:numPr>
      </w:pPr>
      <w:bookmarkStart w:id="5" w:name="_heading=h.tyjcwt" w:colFirst="0" w:colLast="0"/>
      <w:bookmarkEnd w:id="5"/>
      <w:r>
        <w:t>Spôsob ocenenia jednotlivých zložiek majetku a záväzkov – prvé ocenenie</w:t>
      </w:r>
    </w:p>
    <w:p w14:paraId="334B5D50" w14:textId="77777777" w:rsidR="00BD3BFB" w:rsidRDefault="00BD3BFB">
      <w:pPr>
        <w:rPr>
          <w:sz w:val="20"/>
          <w:szCs w:val="20"/>
        </w:rPr>
      </w:pPr>
    </w:p>
    <w:p w14:paraId="6D4798B5" w14:textId="77777777" w:rsidR="00BD3BFB" w:rsidRDefault="00A70DF5">
      <w:r>
        <w:t>Pri obstaraní majetku sa uplatňuje princíp obstarávacích cien (t. j. historických cien). Ocenenie jednotlivých položiek majetku a záväzkov je takéto:</w:t>
      </w:r>
    </w:p>
    <w:p w14:paraId="6EBA3F01" w14:textId="77777777" w:rsidR="00BD3BFB" w:rsidRDefault="00BD3BFB">
      <w:pPr>
        <w:rPr>
          <w:sz w:val="20"/>
          <w:szCs w:val="20"/>
        </w:rPr>
      </w:pPr>
    </w:p>
    <w:p w14:paraId="7A0FEEE3" w14:textId="77777777" w:rsidR="00BD3BFB" w:rsidRDefault="00A70DF5">
      <w:pPr>
        <w:numPr>
          <w:ilvl w:val="0"/>
          <w:numId w:val="2"/>
        </w:numPr>
      </w:pPr>
      <w:r>
        <w:t>Dlhodobý hmotný a nehmotný majetok obstaraný kúpou – obstarávacou cenou. Obstarávacia cena je cena, za ktorú sa majetok obstaral, a náklady súvisiace s jeho obstaraním (prepravné a clo).</w:t>
      </w:r>
    </w:p>
    <w:p w14:paraId="504C7F76" w14:textId="77777777" w:rsidR="00BD3BFB" w:rsidRDefault="00BD3BFB"/>
    <w:p w14:paraId="21C2BB98" w14:textId="77777777" w:rsidR="00BD3BFB" w:rsidRDefault="00A70DF5">
      <w:pPr>
        <w:numPr>
          <w:ilvl w:val="0"/>
          <w:numId w:val="2"/>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46A37502" w14:textId="77777777" w:rsidR="00BD3BFB" w:rsidRDefault="00BD3BFB"/>
    <w:p w14:paraId="5281691F" w14:textId="0CBFB993" w:rsidR="00BD3BFB" w:rsidRDefault="00A70DF5" w:rsidP="002D7A3D">
      <w:pPr>
        <w:numPr>
          <w:ilvl w:val="0"/>
          <w:numId w:val="2"/>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7E4D2F99" w14:textId="77777777" w:rsidR="002D7A3D" w:rsidRDefault="002D7A3D" w:rsidP="002D7A3D">
      <w:pPr>
        <w:ind w:left="539"/>
      </w:pPr>
    </w:p>
    <w:p w14:paraId="49AAAAB2" w14:textId="2B33D3B2" w:rsidR="00BD3BFB" w:rsidRPr="004A54E8" w:rsidRDefault="00A70DF5">
      <w:pPr>
        <w:numPr>
          <w:ilvl w:val="0"/>
          <w:numId w:val="2"/>
        </w:numPr>
      </w:pPr>
      <w:r w:rsidRPr="004A54E8">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33633FBD" w14:textId="77777777" w:rsidR="00BD3BFB" w:rsidRPr="004A54E8" w:rsidRDefault="00BD3BFB"/>
    <w:p w14:paraId="0190FDAC" w14:textId="77777777" w:rsidR="00BD3BFB" w:rsidRPr="004A54E8" w:rsidRDefault="00A70DF5">
      <w:pPr>
        <w:numPr>
          <w:ilvl w:val="0"/>
          <w:numId w:val="2"/>
        </w:numPr>
      </w:pPr>
      <w:r w:rsidRPr="004A54E8">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iných dlhodobých záväzkoch (r. 115 súvahy) a krátkodobá časť v iných záväzkoch (r. 135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326051F4" w14:textId="77777777" w:rsidR="00BD3BFB" w:rsidRPr="004A54E8" w:rsidRDefault="00BD3BFB">
      <w:pPr>
        <w:ind w:left="539"/>
        <w:rPr>
          <w:i/>
          <w:color w:val="FF0000"/>
        </w:rPr>
      </w:pPr>
    </w:p>
    <w:p w14:paraId="3434C666" w14:textId="77777777" w:rsidR="00BD3BFB" w:rsidRPr="004A54E8" w:rsidRDefault="00A70DF5">
      <w:pPr>
        <w:numPr>
          <w:ilvl w:val="0"/>
          <w:numId w:val="2"/>
        </w:numPr>
      </w:pPr>
      <w:r w:rsidRPr="004A54E8">
        <w:t>Dlhodobý finančný majetok – obstarávacou cenou. Obstarávacia cena predstavuje cenu, za ktorú sa majetok obstaral, a náklady súvisiace s jeho obstaraním (poplatky a provízie maklérom, poradcom, burzám).</w:t>
      </w:r>
    </w:p>
    <w:p w14:paraId="67AC0457" w14:textId="77777777" w:rsidR="00BD3BFB" w:rsidRPr="004A54E8" w:rsidRDefault="00BD3BFB"/>
    <w:p w14:paraId="4D2F7886" w14:textId="77777777" w:rsidR="00BD3BFB" w:rsidRPr="004A54E8" w:rsidRDefault="00A70DF5">
      <w:pPr>
        <w:numPr>
          <w:ilvl w:val="0"/>
          <w:numId w:val="2"/>
        </w:numPr>
      </w:pPr>
      <w:r w:rsidRPr="004A54E8">
        <w:t>Zásoby obstarané kúpou:</w:t>
      </w:r>
    </w:p>
    <w:p w14:paraId="312F9907" w14:textId="77777777" w:rsidR="00BD3BFB" w:rsidRPr="004A54E8" w:rsidRDefault="00A70DF5">
      <w:pPr>
        <w:numPr>
          <w:ilvl w:val="0"/>
          <w:numId w:val="5"/>
        </w:numPr>
      </w:pPr>
      <w:r w:rsidRPr="004A54E8">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0A0E6E0C" w14:textId="77777777" w:rsidR="00BD3BFB" w:rsidRPr="004A54E8" w:rsidRDefault="00A70DF5">
      <w:pPr>
        <w:numPr>
          <w:ilvl w:val="0"/>
          <w:numId w:val="5"/>
        </w:numPr>
      </w:pPr>
      <w:r w:rsidRPr="004A54E8">
        <w:t>Nakupovaný tovar – obstarávacou cenou. Pri úbytku rovnakého druhu zásob sa používa metóda váženého aritmetického priemeru. Do vedľajších nákladov patrí prepravné, clo a provízie.</w:t>
      </w:r>
    </w:p>
    <w:p w14:paraId="66A0874B" w14:textId="77777777" w:rsidR="00BD3BFB" w:rsidRPr="004A54E8" w:rsidRDefault="00BD3BFB">
      <w:pPr>
        <w:rPr>
          <w:sz w:val="20"/>
          <w:szCs w:val="20"/>
        </w:rPr>
      </w:pPr>
    </w:p>
    <w:p w14:paraId="37732648" w14:textId="77777777" w:rsidR="00BD3BFB" w:rsidRPr="004A54E8" w:rsidRDefault="00A70DF5">
      <w:pPr>
        <w:numPr>
          <w:ilvl w:val="0"/>
          <w:numId w:val="2"/>
        </w:numPr>
      </w:pPr>
      <w:r w:rsidRPr="004A54E8">
        <w:t>Zásoby vytvorené vlastnou činnosťou:</w:t>
      </w:r>
    </w:p>
    <w:p w14:paraId="5790706C" w14:textId="77777777" w:rsidR="00BD3BFB" w:rsidRPr="004A54E8" w:rsidRDefault="00A70DF5">
      <w:pPr>
        <w:numPr>
          <w:ilvl w:val="0"/>
          <w:numId w:val="9"/>
        </w:numPr>
      </w:pPr>
      <w:r w:rsidRPr="004A54E8">
        <w:t>Nedokončená výroba, polotovary a výrobky sa oceňujú vlastnými nákladmi, ktoré zahŕňajú priame náklady vynaložené na výrobu alebo inú činnosť, prípadne aj časť nepriamych nákladov, ktoré sa vzťahujú na výrobu alebo inú činnosť.</w:t>
      </w:r>
    </w:p>
    <w:p w14:paraId="5B35B806" w14:textId="77777777" w:rsidR="00BD3BFB" w:rsidRPr="004A54E8" w:rsidRDefault="00BD3BFB">
      <w:pPr>
        <w:rPr>
          <w:sz w:val="20"/>
          <w:szCs w:val="20"/>
        </w:rPr>
      </w:pPr>
    </w:p>
    <w:p w14:paraId="36E1A163" w14:textId="77777777" w:rsidR="00BD3BFB" w:rsidRPr="004A54E8" w:rsidRDefault="00A70DF5">
      <w:pPr>
        <w:numPr>
          <w:ilvl w:val="0"/>
          <w:numId w:val="2"/>
        </w:numPr>
      </w:pPr>
      <w:r w:rsidRPr="004A54E8">
        <w:t>Zásoby obstarané iným spôsobom – reprodukčnou obstarávacou cenou v prípade bezodplatného nadobudnutia zásob alebo zásob novo zistených pri inventarizácii, t. j. cenou, za ktorú by sa majetok obstaral v čase, keď sa o ňom účtuje.</w:t>
      </w:r>
    </w:p>
    <w:p w14:paraId="08F91954" w14:textId="77777777" w:rsidR="00BD3BFB" w:rsidRPr="004A54E8" w:rsidRDefault="00BD3BFB"/>
    <w:p w14:paraId="574D4E22" w14:textId="77777777" w:rsidR="00BD3BFB" w:rsidRPr="004A54E8" w:rsidRDefault="00A70DF5">
      <w:pPr>
        <w:numPr>
          <w:ilvl w:val="0"/>
          <w:numId w:val="2"/>
        </w:numPr>
      </w:pPr>
      <w:r w:rsidRPr="004A54E8">
        <w:t>Pohľadávky:</w:t>
      </w:r>
    </w:p>
    <w:p w14:paraId="4BBB450B" w14:textId="77777777" w:rsidR="00BD3BFB" w:rsidRPr="004A54E8" w:rsidRDefault="00BD3BFB">
      <w:pPr>
        <w:ind w:left="539"/>
      </w:pPr>
    </w:p>
    <w:p w14:paraId="6A5496E7" w14:textId="77777777" w:rsidR="00BD3BFB" w:rsidRDefault="00A70DF5">
      <w:pPr>
        <w:ind w:left="539"/>
      </w:pPr>
      <w:r w:rsidRPr="004A54E8">
        <w:t>Pri dlhodobých pohľadávkach</w:t>
      </w:r>
      <w:r>
        <w:t xml:space="preserve"> a dlhodobých pôžičkách sa uvádza opravná položka v stĺpci korekcia, čím sa upravuje hodnota tejto pohľadávky a pôžičky na jej súčasnú hodnotu, napríklad metódou efektívnej úrokovej miery.</w:t>
      </w:r>
    </w:p>
    <w:p w14:paraId="4A2E08F0" w14:textId="77777777" w:rsidR="00BD3BFB" w:rsidRDefault="00BD3BFB">
      <w:pPr>
        <w:ind w:left="539"/>
      </w:pPr>
    </w:p>
    <w:p w14:paraId="6319C40A" w14:textId="77777777" w:rsidR="00BD3BFB" w:rsidRDefault="00A70DF5">
      <w:pPr>
        <w:numPr>
          <w:ilvl w:val="0"/>
          <w:numId w:val="2"/>
        </w:numPr>
      </w:pPr>
      <w:r>
        <w:t>Krátkodobý finančný majetok – obstarávacou cenou. Obstarávacia cena je cena, za ktorú sa majetok obstaral, a náklady súvisiace s jeho obstaraním (poplatky a provízie maklérom, poradcom, burzám).</w:t>
      </w:r>
    </w:p>
    <w:p w14:paraId="6E82A034" w14:textId="77777777" w:rsidR="00BD3BFB" w:rsidRDefault="00BD3BFB"/>
    <w:p w14:paraId="2448CC4D" w14:textId="77777777" w:rsidR="00BD3BFB" w:rsidRDefault="00A70DF5">
      <w:pPr>
        <w:numPr>
          <w:ilvl w:val="0"/>
          <w:numId w:val="2"/>
        </w:numPr>
      </w:pPr>
      <w:r>
        <w:t>Časové rozlíšenie na strane aktív súvahy – očakávanou menovitou hodnotou.</w:t>
      </w:r>
    </w:p>
    <w:p w14:paraId="17D25E8C" w14:textId="77777777" w:rsidR="00BD3BFB" w:rsidRDefault="00BD3BFB"/>
    <w:p w14:paraId="7C81D9A7" w14:textId="77777777" w:rsidR="00BD3BFB" w:rsidRDefault="00A70DF5">
      <w:pPr>
        <w:numPr>
          <w:ilvl w:val="0"/>
          <w:numId w:val="2"/>
        </w:numPr>
      </w:pPr>
      <w:r>
        <w:t>Záväzky:</w:t>
      </w:r>
    </w:p>
    <w:p w14:paraId="1C87CFBC" w14:textId="77777777" w:rsidR="00BD3BFB" w:rsidRDefault="00A70DF5">
      <w:pPr>
        <w:numPr>
          <w:ilvl w:val="0"/>
          <w:numId w:val="6"/>
        </w:numPr>
      </w:pPr>
      <w:r>
        <w:t>pri ich vzniku – menovitou hodnotou,</w:t>
      </w:r>
    </w:p>
    <w:p w14:paraId="213920B6" w14:textId="77777777" w:rsidR="00BD3BFB" w:rsidRDefault="00A70DF5">
      <w:pPr>
        <w:numPr>
          <w:ilvl w:val="0"/>
          <w:numId w:val="6"/>
        </w:numPr>
      </w:pPr>
      <w:r>
        <w:t>pri prevzatí – obstarávacou cenou.</w:t>
      </w:r>
    </w:p>
    <w:p w14:paraId="27A8AF8C" w14:textId="77777777" w:rsidR="00BD3BFB" w:rsidRDefault="00BD3BFB"/>
    <w:p w14:paraId="0D636800" w14:textId="77777777" w:rsidR="00BD3BFB" w:rsidRDefault="00A70DF5">
      <w:pPr>
        <w:numPr>
          <w:ilvl w:val="0"/>
          <w:numId w:val="2"/>
        </w:numPr>
      </w:pPr>
      <w:r>
        <w:t xml:space="preserve">Rezervy – v očakávanej výške záväzku alebo </w:t>
      </w:r>
      <w:proofErr w:type="spellStart"/>
      <w:r>
        <w:t>poistnomatematickými</w:t>
      </w:r>
      <w:proofErr w:type="spellEnd"/>
      <w:r>
        <w:t xml:space="preserve"> metódami.</w:t>
      </w:r>
    </w:p>
    <w:p w14:paraId="39998F2F" w14:textId="77777777" w:rsidR="00BD3BFB" w:rsidRDefault="00BD3BFB"/>
    <w:p w14:paraId="5316C6FB" w14:textId="77777777" w:rsidR="00BD3BFB" w:rsidRDefault="00A70DF5">
      <w:pPr>
        <w:numPr>
          <w:ilvl w:val="0"/>
          <w:numId w:val="2"/>
        </w:numPr>
      </w:pPr>
      <w:r>
        <w:t xml:space="preserve">Dlhopisy, pôžičky, úvery: </w:t>
      </w:r>
    </w:p>
    <w:p w14:paraId="2BDC5AE9" w14:textId="77777777" w:rsidR="00BD3BFB" w:rsidRDefault="00A70DF5">
      <w:pPr>
        <w:numPr>
          <w:ilvl w:val="0"/>
          <w:numId w:val="10"/>
        </w:numPr>
      </w:pPr>
      <w:r>
        <w:t>pri ich vzniku – menovitou hodnotou,</w:t>
      </w:r>
    </w:p>
    <w:p w14:paraId="3F985A50" w14:textId="77777777" w:rsidR="00BD3BFB" w:rsidRDefault="00A70DF5">
      <w:pPr>
        <w:numPr>
          <w:ilvl w:val="0"/>
          <w:numId w:val="10"/>
        </w:numPr>
      </w:pPr>
      <w:r>
        <w:t>pri prevzatí – obstarávacou cenou.</w:t>
      </w:r>
    </w:p>
    <w:p w14:paraId="52CD7558" w14:textId="77777777" w:rsidR="00BD3BFB" w:rsidRDefault="00BD3BFB">
      <w:pPr>
        <w:ind w:left="539"/>
        <w:rPr>
          <w:sz w:val="20"/>
          <w:szCs w:val="20"/>
        </w:rPr>
      </w:pPr>
    </w:p>
    <w:p w14:paraId="2F1B9958" w14:textId="77777777" w:rsidR="00BD3BFB" w:rsidRDefault="00A70DF5">
      <w:pPr>
        <w:ind w:left="539"/>
      </w:pPr>
      <w:r>
        <w:t>Úroky z dlhopisov, pôžičiek a úverov sa účtujú do obdobia, s ktorým časovo a vecne súvisia.</w:t>
      </w:r>
    </w:p>
    <w:p w14:paraId="50D69FC8" w14:textId="77777777" w:rsidR="00BD3BFB" w:rsidRDefault="00BD3BFB">
      <w:pPr>
        <w:ind w:left="539"/>
      </w:pPr>
    </w:p>
    <w:p w14:paraId="54BC9B30" w14:textId="77777777" w:rsidR="00BD3BFB" w:rsidRDefault="00A70DF5">
      <w:pPr>
        <w:numPr>
          <w:ilvl w:val="0"/>
          <w:numId w:val="2"/>
        </w:numPr>
      </w:pPr>
      <w:r>
        <w:t>Časové rozlíšenie na strane pasív súvahy – očakávanou menovitou hodnotou.</w:t>
      </w:r>
    </w:p>
    <w:p w14:paraId="629A70FA" w14:textId="77777777" w:rsidR="00BD3BFB" w:rsidRDefault="00BD3BFB"/>
    <w:p w14:paraId="59ED2047" w14:textId="77777777" w:rsidR="00BD3BFB" w:rsidRDefault="00A70DF5">
      <w:pPr>
        <w:numPr>
          <w:ilvl w:val="0"/>
          <w:numId w:val="2"/>
        </w:numPr>
      </w:pPr>
      <w:r>
        <w:t>Deriváty – nakúpené deriváty sa oceňujú obstarávacou cenou.</w:t>
      </w:r>
    </w:p>
    <w:p w14:paraId="78FC2E7D" w14:textId="77777777" w:rsidR="00BD3BFB" w:rsidRDefault="00BD3BFB"/>
    <w:p w14:paraId="7D90646C" w14:textId="77777777" w:rsidR="00BD3BFB" w:rsidRDefault="00A70DF5">
      <w:pPr>
        <w:numPr>
          <w:ilvl w:val="0"/>
          <w:numId w:val="2"/>
        </w:numPr>
      </w:pPr>
      <w:r>
        <w:t>Daň z príjmov splatná – podľa slovenského zákona o </w:t>
      </w:r>
      <w:r w:rsidR="004B4AC9">
        <w:t>dani</w:t>
      </w:r>
      <w:r>
        <w:t xml:space="preserve"> z príjmov sa splatn</w:t>
      </w:r>
      <w:r w:rsidR="004B4AC9">
        <w:t>á</w:t>
      </w:r>
      <w:r>
        <w:t xml:space="preserve"> da</w:t>
      </w:r>
      <w:r w:rsidR="004B4AC9">
        <w:t>ň</w:t>
      </w:r>
      <w:r>
        <w:t xml:space="preserve"> z príjmov určujú z účtovného zisku pri sadzbe 21% po úpravách o niektoré položky na daňové účely.</w:t>
      </w:r>
    </w:p>
    <w:p w14:paraId="27697C8C" w14:textId="77777777" w:rsidR="00BD3BFB" w:rsidRDefault="00BD3BFB"/>
    <w:p w14:paraId="14DBBD56" w14:textId="77777777" w:rsidR="00BD3BFB" w:rsidRDefault="00A70DF5">
      <w:pPr>
        <w:numPr>
          <w:ilvl w:val="0"/>
          <w:numId w:val="2"/>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w:t>
      </w:r>
    </w:p>
    <w:p w14:paraId="4CFB41BE" w14:textId="77777777" w:rsidR="00513128" w:rsidRDefault="00513128" w:rsidP="00513128"/>
    <w:p w14:paraId="5E15E406" w14:textId="77777777" w:rsidR="00BD3BFB" w:rsidRDefault="00A70DF5">
      <w:pPr>
        <w:pStyle w:val="Nadpis2"/>
        <w:numPr>
          <w:ilvl w:val="0"/>
          <w:numId w:val="4"/>
        </w:numPr>
      </w:pPr>
      <w:bookmarkStart w:id="6" w:name="_heading=h.3dy6vkm" w:colFirst="0" w:colLast="0"/>
      <w:bookmarkEnd w:id="6"/>
      <w:r>
        <w:t>Spôsob ocenenia jednotlivých zložiek majetku a záväzkov – nasledujúce ocenenie</w:t>
      </w:r>
    </w:p>
    <w:p w14:paraId="08D99765" w14:textId="77777777" w:rsidR="00BD3BFB" w:rsidRDefault="00BD3BFB"/>
    <w:p w14:paraId="1E91AFAC" w14:textId="77777777" w:rsidR="00BD3BFB" w:rsidRDefault="00A70DF5">
      <w:pPr>
        <w:numPr>
          <w:ilvl w:val="0"/>
          <w:numId w:val="19"/>
        </w:numPr>
      </w:pPr>
      <w:bookmarkStart w:id="7" w:name="_heading=h.1t3h5sf" w:colFirst="0" w:colLast="0"/>
      <w:bookmarkEnd w:id="7"/>
      <w:r>
        <w:t xml:space="preserve">Predpokladané riziká, straty a zníženia hodnoty, ktoré sa týkajú majetku a záväzkov, sa vyjadrujú prostredníctvom rezerv, opravných položiek a odpisov. </w:t>
      </w:r>
    </w:p>
    <w:p w14:paraId="560D12E1" w14:textId="77777777" w:rsidR="00BD3BFB" w:rsidRDefault="00BD3BFB"/>
    <w:p w14:paraId="4E9A20D2" w14:textId="77777777" w:rsidR="00BD3BFB" w:rsidRDefault="00A70DF5">
      <w:pPr>
        <w:numPr>
          <w:ilvl w:val="0"/>
          <w:numId w:val="11"/>
        </w:numPr>
        <w:ind w:left="900" w:hanging="360"/>
      </w:pPr>
      <w:r>
        <w:rPr>
          <w:u w:val="single"/>
        </w:rPr>
        <w:t>Rezervy</w:t>
      </w:r>
      <w:r>
        <w:t xml:space="preserve"> – účtujú sa v očakávanej výške záväzku. Spoločnosť vytvára rezervu na súdne spory, rezervu na možné daňové záväzky, audit a účtovnú závierku, rezervu na nevyčerpanú dovolenku a rezervu na odchodné a iné dlhodobé zamestnanecké požitky. Ku dňu, ku ktorému sa zostavuje účtovná závierka, sa posudzuje ich výška a odôvodnenosť. </w:t>
      </w:r>
    </w:p>
    <w:p w14:paraId="09EA0563" w14:textId="77777777" w:rsidR="00BD3BFB" w:rsidRDefault="00BD3BFB">
      <w:pPr>
        <w:ind w:left="539"/>
      </w:pPr>
    </w:p>
    <w:p w14:paraId="71DD6C6C" w14:textId="77777777" w:rsidR="00BD3BFB" w:rsidRDefault="00A70DF5">
      <w:pPr>
        <w:numPr>
          <w:ilvl w:val="0"/>
          <w:numId w:val="13"/>
        </w:numPr>
        <w:ind w:left="900" w:hanging="360"/>
      </w:pPr>
      <w:r>
        <w:rPr>
          <w:u w:val="single"/>
        </w:rPr>
        <w:t>Opravné položky</w:t>
      </w:r>
      <w:r>
        <w:t xml:space="preserve"> – účtujú sa v sume opodstatneného predpokladu zníženia hodnoty majetku oproti jeho oceneniu v účtovníctve, a to:</w:t>
      </w:r>
    </w:p>
    <w:p w14:paraId="569553AF" w14:textId="77777777" w:rsidR="00BD3BFB" w:rsidRDefault="00A70DF5">
      <w:pPr>
        <w:numPr>
          <w:ilvl w:val="1"/>
          <w:numId w:val="18"/>
        </w:numPr>
        <w:ind w:left="1260" w:hanging="360"/>
      </w:pPr>
      <w:r>
        <w:t>k podielom na základnom imaní v obchodných spoločnostiach na základe metódy vlastného imania,</w:t>
      </w:r>
    </w:p>
    <w:p w14:paraId="39B84282" w14:textId="77777777" w:rsidR="00BD3BFB" w:rsidRDefault="00A70DF5">
      <w:pPr>
        <w:numPr>
          <w:ilvl w:val="1"/>
          <w:numId w:val="18"/>
        </w:numPr>
        <w:ind w:left="1260" w:hanging="360"/>
      </w:pPr>
      <w:r>
        <w:t>k zásobám bez obratu nad 360 dní vo výške 50% podľa posúdenia ich využiteľnosti v spoločnosti alebo možného odpredaja,</w:t>
      </w:r>
    </w:p>
    <w:p w14:paraId="6CDC3836" w14:textId="77777777" w:rsidR="00BD3BFB" w:rsidRDefault="00A70DF5">
      <w:pPr>
        <w:numPr>
          <w:ilvl w:val="1"/>
          <w:numId w:val="18"/>
        </w:numPr>
        <w:ind w:left="1260" w:hanging="360"/>
      </w:pPr>
      <w:r>
        <w:t>k zásobám tovaru, ktorých trhová cena klesla pod obstarávaciu cenu, podľa prepočtu podielu obstarávacej ceny na možnej trhovej cene,</w:t>
      </w:r>
    </w:p>
    <w:p w14:paraId="5765584A" w14:textId="77777777" w:rsidR="00BD3BFB" w:rsidRDefault="00A70DF5">
      <w:pPr>
        <w:numPr>
          <w:ilvl w:val="1"/>
          <w:numId w:val="18"/>
        </w:numPr>
        <w:ind w:left="1260" w:hanging="360"/>
      </w:pPr>
      <w:r>
        <w:t>k pohľadávkam po lehote splatnosti nad 360 dní 100%, nad 180 dní 50%, z ostatných pohľadávok po lehote splatnosti 10%.</w:t>
      </w:r>
    </w:p>
    <w:p w14:paraId="65F905A4" w14:textId="77777777" w:rsidR="00BD3BFB" w:rsidRDefault="00BD3BFB"/>
    <w:p w14:paraId="1D5A60F6" w14:textId="77777777" w:rsidR="00BD3BFB" w:rsidRDefault="00A70DF5">
      <w:pPr>
        <w:numPr>
          <w:ilvl w:val="0"/>
          <w:numId w:val="14"/>
        </w:numPr>
        <w:ind w:left="900" w:hanging="360"/>
      </w:pPr>
      <w:r>
        <w:rPr>
          <w:u w:val="single"/>
        </w:rPr>
        <w:t xml:space="preserve">Plán odpisov </w:t>
      </w:r>
    </w:p>
    <w:p w14:paraId="2F4684ED" w14:textId="77777777" w:rsidR="00BD3BFB" w:rsidRDefault="00BD3BFB">
      <w:pPr>
        <w:ind w:left="900"/>
      </w:pPr>
    </w:p>
    <w:p w14:paraId="3F663D7B" w14:textId="77777777" w:rsidR="00BD3BFB" w:rsidRDefault="00A70DF5">
      <w:pPr>
        <w:ind w:left="900"/>
      </w:pPr>
      <w: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5051792A" w14:textId="77777777" w:rsidR="00BD3BFB" w:rsidRDefault="00BD3BFB">
      <w:pPr>
        <w:ind w:left="900"/>
        <w:rPr>
          <w:b/>
        </w:rPr>
      </w:pPr>
    </w:p>
    <w:p w14:paraId="60A22629" w14:textId="77777777" w:rsidR="00BD3BFB" w:rsidRDefault="00A70DF5">
      <w:pPr>
        <w:ind w:left="900"/>
      </w:pPr>
      <w:r>
        <w:t>Priemerné životnosti podľa plánu odpisov sú:</w:t>
      </w:r>
    </w:p>
    <w:p w14:paraId="479ECDEF" w14:textId="77777777" w:rsidR="00BD3BFB" w:rsidRDefault="00BD3BFB">
      <w:pPr>
        <w:ind w:left="539"/>
        <w:rPr>
          <w:b/>
        </w:rPr>
      </w:pPr>
    </w:p>
    <w:tbl>
      <w:tblPr>
        <w:tblStyle w:val="a2"/>
        <w:tblW w:w="8172" w:type="dxa"/>
        <w:tblInd w:w="0" w:type="dxa"/>
        <w:tblLayout w:type="fixed"/>
        <w:tblLook w:val="0000" w:firstRow="0" w:lastRow="0" w:firstColumn="0" w:lastColumn="0" w:noHBand="0" w:noVBand="0"/>
      </w:tblPr>
      <w:tblGrid>
        <w:gridCol w:w="3211"/>
        <w:gridCol w:w="2268"/>
        <w:gridCol w:w="2693"/>
      </w:tblGrid>
      <w:tr w:rsidR="00BD3BFB" w14:paraId="7CE68E15" w14:textId="77777777">
        <w:trPr>
          <w:trHeight w:val="257"/>
        </w:trPr>
        <w:tc>
          <w:tcPr>
            <w:tcW w:w="3211" w:type="dxa"/>
            <w:tcBorders>
              <w:top w:val="single" w:sz="12" w:space="0" w:color="000000"/>
              <w:left w:val="single" w:sz="12" w:space="0" w:color="000000"/>
              <w:right w:val="single" w:sz="12" w:space="0" w:color="000000"/>
            </w:tcBorders>
            <w:vAlign w:val="center"/>
          </w:tcPr>
          <w:p w14:paraId="324F17E7" w14:textId="77777777" w:rsidR="00BD3BFB" w:rsidRDefault="00A70DF5">
            <w:pPr>
              <w:jc w:val="center"/>
              <w:rPr>
                <w:b/>
                <w:sz w:val="15"/>
                <w:szCs w:val="15"/>
              </w:rPr>
            </w:pPr>
            <w:r>
              <w:rPr>
                <w:b/>
                <w:sz w:val="15"/>
                <w:szCs w:val="15"/>
              </w:rPr>
              <w:t>Druh majetku</w:t>
            </w:r>
          </w:p>
        </w:tc>
        <w:tc>
          <w:tcPr>
            <w:tcW w:w="2268" w:type="dxa"/>
            <w:tcBorders>
              <w:top w:val="single" w:sz="12" w:space="0" w:color="000000"/>
              <w:left w:val="single" w:sz="12" w:space="0" w:color="000000"/>
              <w:right w:val="single" w:sz="12" w:space="0" w:color="000000"/>
            </w:tcBorders>
            <w:vAlign w:val="center"/>
          </w:tcPr>
          <w:p w14:paraId="1F54B6BC" w14:textId="77777777" w:rsidR="00BD3BFB" w:rsidRDefault="00A70DF5">
            <w:pPr>
              <w:jc w:val="center"/>
              <w:rPr>
                <w:b/>
                <w:sz w:val="15"/>
                <w:szCs w:val="15"/>
              </w:rPr>
            </w:pPr>
            <w:r>
              <w:rPr>
                <w:b/>
                <w:sz w:val="15"/>
                <w:szCs w:val="15"/>
              </w:rPr>
              <w:t>Životnosť</w:t>
            </w:r>
          </w:p>
        </w:tc>
        <w:tc>
          <w:tcPr>
            <w:tcW w:w="2693" w:type="dxa"/>
            <w:tcBorders>
              <w:top w:val="single" w:sz="12" w:space="0" w:color="000000"/>
              <w:left w:val="single" w:sz="12" w:space="0" w:color="000000"/>
              <w:right w:val="single" w:sz="12" w:space="0" w:color="000000"/>
            </w:tcBorders>
            <w:vAlign w:val="center"/>
          </w:tcPr>
          <w:p w14:paraId="0FF31E85" w14:textId="77777777" w:rsidR="00BD3BFB" w:rsidRDefault="00A70DF5">
            <w:pPr>
              <w:jc w:val="center"/>
              <w:rPr>
                <w:b/>
                <w:sz w:val="15"/>
                <w:szCs w:val="15"/>
              </w:rPr>
            </w:pPr>
            <w:r>
              <w:rPr>
                <w:b/>
                <w:sz w:val="15"/>
                <w:szCs w:val="15"/>
              </w:rPr>
              <w:t>Ročná sadzba odpisov</w:t>
            </w:r>
          </w:p>
        </w:tc>
      </w:tr>
      <w:tr w:rsidR="00BD3BFB" w14:paraId="495F5734" w14:textId="77777777">
        <w:trPr>
          <w:trHeight w:val="257"/>
        </w:trPr>
        <w:tc>
          <w:tcPr>
            <w:tcW w:w="3211" w:type="dxa"/>
            <w:tcBorders>
              <w:left w:val="single" w:sz="12" w:space="0" w:color="000000"/>
              <w:bottom w:val="single" w:sz="12" w:space="0" w:color="000000"/>
              <w:right w:val="single" w:sz="12" w:space="0" w:color="000000"/>
            </w:tcBorders>
            <w:vAlign w:val="center"/>
          </w:tcPr>
          <w:p w14:paraId="33E5BD8E" w14:textId="77777777" w:rsidR="00BD3BFB" w:rsidRDefault="00A70DF5">
            <w:pPr>
              <w:jc w:val="center"/>
              <w:rPr>
                <w:sz w:val="15"/>
                <w:szCs w:val="15"/>
              </w:rPr>
            </w:pPr>
            <w:r>
              <w:rPr>
                <w:sz w:val="15"/>
                <w:szCs w:val="15"/>
              </w:rPr>
              <w:t>a</w:t>
            </w:r>
          </w:p>
        </w:tc>
        <w:tc>
          <w:tcPr>
            <w:tcW w:w="2268" w:type="dxa"/>
            <w:tcBorders>
              <w:left w:val="single" w:sz="12" w:space="0" w:color="000000"/>
              <w:bottom w:val="single" w:sz="12" w:space="0" w:color="000000"/>
              <w:right w:val="single" w:sz="12" w:space="0" w:color="000000"/>
            </w:tcBorders>
            <w:vAlign w:val="center"/>
          </w:tcPr>
          <w:p w14:paraId="0FA5C93B" w14:textId="77777777" w:rsidR="00BD3BFB" w:rsidRDefault="00A70DF5">
            <w:pPr>
              <w:jc w:val="center"/>
              <w:rPr>
                <w:sz w:val="15"/>
                <w:szCs w:val="15"/>
              </w:rPr>
            </w:pPr>
            <w:r>
              <w:rPr>
                <w:sz w:val="15"/>
                <w:szCs w:val="15"/>
              </w:rPr>
              <w:t>b</w:t>
            </w:r>
          </w:p>
        </w:tc>
        <w:tc>
          <w:tcPr>
            <w:tcW w:w="2693" w:type="dxa"/>
            <w:tcBorders>
              <w:left w:val="single" w:sz="12" w:space="0" w:color="000000"/>
              <w:bottom w:val="single" w:sz="12" w:space="0" w:color="000000"/>
              <w:right w:val="single" w:sz="12" w:space="0" w:color="000000"/>
            </w:tcBorders>
            <w:vAlign w:val="center"/>
          </w:tcPr>
          <w:p w14:paraId="66258B56" w14:textId="77777777" w:rsidR="00BD3BFB" w:rsidRDefault="00A70DF5">
            <w:pPr>
              <w:jc w:val="center"/>
              <w:rPr>
                <w:sz w:val="15"/>
                <w:szCs w:val="15"/>
              </w:rPr>
            </w:pPr>
            <w:r>
              <w:rPr>
                <w:sz w:val="15"/>
                <w:szCs w:val="15"/>
              </w:rPr>
              <w:t>c</w:t>
            </w:r>
          </w:p>
        </w:tc>
      </w:tr>
      <w:tr w:rsidR="00BD3BFB" w14:paraId="3CD15A92" w14:textId="77777777">
        <w:trPr>
          <w:trHeight w:val="246"/>
        </w:trPr>
        <w:tc>
          <w:tcPr>
            <w:tcW w:w="3211" w:type="dxa"/>
            <w:tcBorders>
              <w:top w:val="single" w:sz="12" w:space="0" w:color="000000"/>
              <w:left w:val="single" w:sz="12" w:space="0" w:color="000000"/>
              <w:bottom w:val="single" w:sz="8" w:space="0" w:color="000000"/>
              <w:right w:val="single" w:sz="12" w:space="0" w:color="000000"/>
            </w:tcBorders>
          </w:tcPr>
          <w:p w14:paraId="69A1547C" w14:textId="77777777" w:rsidR="00BD3BFB" w:rsidRDefault="00A70DF5">
            <w:pPr>
              <w:rPr>
                <w:b/>
                <w:sz w:val="15"/>
                <w:szCs w:val="15"/>
              </w:rPr>
            </w:pPr>
            <w:r>
              <w:rPr>
                <w:sz w:val="15"/>
                <w:szCs w:val="15"/>
              </w:rPr>
              <w:t>Budovy a stavby</w:t>
            </w:r>
          </w:p>
        </w:tc>
        <w:tc>
          <w:tcPr>
            <w:tcW w:w="2268" w:type="dxa"/>
            <w:tcBorders>
              <w:top w:val="single" w:sz="12" w:space="0" w:color="000000"/>
              <w:left w:val="single" w:sz="12" w:space="0" w:color="000000"/>
              <w:bottom w:val="single" w:sz="8" w:space="0" w:color="000000"/>
              <w:right w:val="single" w:sz="8" w:space="0" w:color="000000"/>
            </w:tcBorders>
          </w:tcPr>
          <w:p w14:paraId="6D32F6C8" w14:textId="77777777" w:rsidR="00BD3BFB" w:rsidRDefault="00A70DF5">
            <w:pPr>
              <w:jc w:val="center"/>
              <w:rPr>
                <w:sz w:val="15"/>
                <w:szCs w:val="15"/>
              </w:rPr>
            </w:pPr>
            <w:r>
              <w:rPr>
                <w:sz w:val="15"/>
                <w:szCs w:val="15"/>
              </w:rPr>
              <w:t>20 rokov</w:t>
            </w:r>
          </w:p>
        </w:tc>
        <w:tc>
          <w:tcPr>
            <w:tcW w:w="2693" w:type="dxa"/>
            <w:tcBorders>
              <w:top w:val="single" w:sz="12" w:space="0" w:color="000000"/>
              <w:left w:val="single" w:sz="8" w:space="0" w:color="000000"/>
              <w:bottom w:val="single" w:sz="8" w:space="0" w:color="000000"/>
              <w:right w:val="single" w:sz="12" w:space="0" w:color="000000"/>
            </w:tcBorders>
          </w:tcPr>
          <w:p w14:paraId="57323969" w14:textId="77777777" w:rsidR="00BD3BFB" w:rsidRDefault="00A70DF5">
            <w:pPr>
              <w:jc w:val="center"/>
              <w:rPr>
                <w:sz w:val="15"/>
                <w:szCs w:val="15"/>
              </w:rPr>
            </w:pPr>
            <w:r>
              <w:rPr>
                <w:sz w:val="15"/>
                <w:szCs w:val="15"/>
              </w:rPr>
              <w:t>5,00%</w:t>
            </w:r>
          </w:p>
        </w:tc>
      </w:tr>
      <w:tr w:rsidR="00BD3BFB" w14:paraId="5C8CE72F" w14:textId="77777777">
        <w:trPr>
          <w:trHeight w:val="261"/>
        </w:trPr>
        <w:tc>
          <w:tcPr>
            <w:tcW w:w="3211" w:type="dxa"/>
            <w:tcBorders>
              <w:top w:val="single" w:sz="8" w:space="0" w:color="000000"/>
              <w:left w:val="single" w:sz="12" w:space="0" w:color="000000"/>
              <w:bottom w:val="single" w:sz="8" w:space="0" w:color="000000"/>
              <w:right w:val="single" w:sz="12" w:space="0" w:color="000000"/>
            </w:tcBorders>
          </w:tcPr>
          <w:p w14:paraId="468C5C52" w14:textId="77777777" w:rsidR="00BD3BFB" w:rsidRDefault="00A70DF5">
            <w:pPr>
              <w:rPr>
                <w:b/>
                <w:sz w:val="15"/>
                <w:szCs w:val="15"/>
              </w:rPr>
            </w:pPr>
            <w:r>
              <w:rPr>
                <w:sz w:val="15"/>
                <w:szCs w:val="15"/>
              </w:rPr>
              <w:t>Stroje a zariadenia</w:t>
            </w:r>
          </w:p>
        </w:tc>
        <w:tc>
          <w:tcPr>
            <w:tcW w:w="2268" w:type="dxa"/>
            <w:tcBorders>
              <w:top w:val="single" w:sz="8" w:space="0" w:color="000000"/>
              <w:left w:val="single" w:sz="12" w:space="0" w:color="000000"/>
              <w:bottom w:val="single" w:sz="8" w:space="0" w:color="000000"/>
              <w:right w:val="single" w:sz="8" w:space="0" w:color="000000"/>
            </w:tcBorders>
          </w:tcPr>
          <w:p w14:paraId="11BE81FF" w14:textId="77777777" w:rsidR="00BD3BFB" w:rsidRDefault="00A70DF5">
            <w:pPr>
              <w:jc w:val="center"/>
              <w:rPr>
                <w:sz w:val="15"/>
                <w:szCs w:val="15"/>
              </w:rPr>
            </w:pPr>
            <w:r>
              <w:rPr>
                <w:sz w:val="15"/>
                <w:szCs w:val="15"/>
              </w:rPr>
              <w:t>6 rokov</w:t>
            </w:r>
          </w:p>
        </w:tc>
        <w:tc>
          <w:tcPr>
            <w:tcW w:w="2693" w:type="dxa"/>
            <w:tcBorders>
              <w:top w:val="single" w:sz="8" w:space="0" w:color="000000"/>
              <w:left w:val="single" w:sz="8" w:space="0" w:color="000000"/>
              <w:bottom w:val="single" w:sz="8" w:space="0" w:color="000000"/>
              <w:right w:val="single" w:sz="12" w:space="0" w:color="000000"/>
            </w:tcBorders>
          </w:tcPr>
          <w:p w14:paraId="548DBCB2" w14:textId="77777777" w:rsidR="00BD3BFB" w:rsidRDefault="00A70DF5">
            <w:pPr>
              <w:jc w:val="center"/>
              <w:rPr>
                <w:sz w:val="15"/>
                <w:szCs w:val="15"/>
              </w:rPr>
            </w:pPr>
            <w:r>
              <w:rPr>
                <w:sz w:val="15"/>
                <w:szCs w:val="15"/>
              </w:rPr>
              <w:t>16,67%</w:t>
            </w:r>
          </w:p>
        </w:tc>
      </w:tr>
      <w:tr w:rsidR="00BD3BFB" w14:paraId="260642DC" w14:textId="77777777">
        <w:trPr>
          <w:trHeight w:val="279"/>
        </w:trPr>
        <w:tc>
          <w:tcPr>
            <w:tcW w:w="3211" w:type="dxa"/>
            <w:tcBorders>
              <w:top w:val="single" w:sz="8" w:space="0" w:color="000000"/>
              <w:left w:val="single" w:sz="12" w:space="0" w:color="000000"/>
              <w:bottom w:val="single" w:sz="8" w:space="0" w:color="000000"/>
              <w:right w:val="single" w:sz="12" w:space="0" w:color="000000"/>
            </w:tcBorders>
          </w:tcPr>
          <w:p w14:paraId="248DCCD8" w14:textId="77777777" w:rsidR="00BD3BFB" w:rsidRDefault="00A70DF5">
            <w:pPr>
              <w:rPr>
                <w:b/>
                <w:sz w:val="15"/>
                <w:szCs w:val="15"/>
              </w:rPr>
            </w:pPr>
            <w:r>
              <w:rPr>
                <w:sz w:val="15"/>
                <w:szCs w:val="15"/>
              </w:rPr>
              <w:t>Dopravné prostriedky</w:t>
            </w:r>
          </w:p>
        </w:tc>
        <w:tc>
          <w:tcPr>
            <w:tcW w:w="2268" w:type="dxa"/>
            <w:tcBorders>
              <w:top w:val="single" w:sz="8" w:space="0" w:color="000000"/>
              <w:left w:val="single" w:sz="12" w:space="0" w:color="000000"/>
              <w:bottom w:val="single" w:sz="8" w:space="0" w:color="000000"/>
              <w:right w:val="single" w:sz="8" w:space="0" w:color="000000"/>
            </w:tcBorders>
          </w:tcPr>
          <w:p w14:paraId="6EF83AFB" w14:textId="77777777" w:rsidR="00BD3BFB" w:rsidRDefault="00A70DF5">
            <w:pPr>
              <w:jc w:val="center"/>
              <w:rPr>
                <w:sz w:val="15"/>
                <w:szCs w:val="15"/>
              </w:rPr>
            </w:pPr>
            <w:r>
              <w:rPr>
                <w:sz w:val="15"/>
                <w:szCs w:val="15"/>
              </w:rPr>
              <w:t>4 roky</w:t>
            </w:r>
          </w:p>
        </w:tc>
        <w:tc>
          <w:tcPr>
            <w:tcW w:w="2693" w:type="dxa"/>
            <w:tcBorders>
              <w:top w:val="single" w:sz="8" w:space="0" w:color="000000"/>
              <w:left w:val="single" w:sz="8" w:space="0" w:color="000000"/>
              <w:bottom w:val="single" w:sz="8" w:space="0" w:color="000000"/>
              <w:right w:val="single" w:sz="12" w:space="0" w:color="000000"/>
            </w:tcBorders>
          </w:tcPr>
          <w:p w14:paraId="43FB9815" w14:textId="77777777" w:rsidR="00BD3BFB" w:rsidRDefault="00A70DF5">
            <w:pPr>
              <w:jc w:val="center"/>
              <w:rPr>
                <w:sz w:val="15"/>
                <w:szCs w:val="15"/>
              </w:rPr>
            </w:pPr>
            <w:r>
              <w:rPr>
                <w:sz w:val="15"/>
                <w:szCs w:val="15"/>
              </w:rPr>
              <w:t>25,00%</w:t>
            </w:r>
          </w:p>
        </w:tc>
      </w:tr>
      <w:tr w:rsidR="00BD3BFB" w14:paraId="0638BFC2" w14:textId="77777777">
        <w:trPr>
          <w:trHeight w:val="255"/>
        </w:trPr>
        <w:tc>
          <w:tcPr>
            <w:tcW w:w="3211" w:type="dxa"/>
            <w:tcBorders>
              <w:top w:val="single" w:sz="8" w:space="0" w:color="000000"/>
              <w:left w:val="single" w:sz="12" w:space="0" w:color="000000"/>
              <w:bottom w:val="single" w:sz="8" w:space="0" w:color="000000"/>
              <w:right w:val="single" w:sz="12" w:space="0" w:color="000000"/>
            </w:tcBorders>
          </w:tcPr>
          <w:p w14:paraId="593FB49B" w14:textId="77777777" w:rsidR="00BD3BFB" w:rsidRDefault="00A70DF5">
            <w:pPr>
              <w:rPr>
                <w:b/>
                <w:sz w:val="15"/>
                <w:szCs w:val="15"/>
              </w:rPr>
            </w:pPr>
            <w:r>
              <w:rPr>
                <w:sz w:val="15"/>
                <w:szCs w:val="15"/>
              </w:rPr>
              <w:t>Inventár</w:t>
            </w:r>
          </w:p>
        </w:tc>
        <w:tc>
          <w:tcPr>
            <w:tcW w:w="2268" w:type="dxa"/>
            <w:tcBorders>
              <w:top w:val="single" w:sz="8" w:space="0" w:color="000000"/>
              <w:left w:val="single" w:sz="12" w:space="0" w:color="000000"/>
              <w:bottom w:val="single" w:sz="8" w:space="0" w:color="000000"/>
              <w:right w:val="single" w:sz="8" w:space="0" w:color="000000"/>
            </w:tcBorders>
          </w:tcPr>
          <w:p w14:paraId="7C009178" w14:textId="77777777" w:rsidR="00BD3BFB" w:rsidRDefault="00A70DF5">
            <w:pPr>
              <w:jc w:val="center"/>
              <w:rPr>
                <w:sz w:val="15"/>
                <w:szCs w:val="15"/>
              </w:rPr>
            </w:pPr>
            <w:r>
              <w:rPr>
                <w:sz w:val="15"/>
                <w:szCs w:val="15"/>
              </w:rPr>
              <w:t>4 roky</w:t>
            </w:r>
          </w:p>
        </w:tc>
        <w:tc>
          <w:tcPr>
            <w:tcW w:w="2693" w:type="dxa"/>
            <w:tcBorders>
              <w:top w:val="single" w:sz="8" w:space="0" w:color="000000"/>
              <w:left w:val="single" w:sz="8" w:space="0" w:color="000000"/>
              <w:bottom w:val="single" w:sz="8" w:space="0" w:color="000000"/>
              <w:right w:val="single" w:sz="12" w:space="0" w:color="000000"/>
            </w:tcBorders>
          </w:tcPr>
          <w:p w14:paraId="3CD9AFC4" w14:textId="77777777" w:rsidR="00BD3BFB" w:rsidRDefault="00A70DF5">
            <w:pPr>
              <w:jc w:val="center"/>
              <w:rPr>
                <w:sz w:val="15"/>
                <w:szCs w:val="15"/>
              </w:rPr>
            </w:pPr>
            <w:r>
              <w:rPr>
                <w:sz w:val="15"/>
                <w:szCs w:val="15"/>
              </w:rPr>
              <w:t>25,00%</w:t>
            </w:r>
          </w:p>
        </w:tc>
      </w:tr>
      <w:tr w:rsidR="00BD3BFB" w14:paraId="5EA15829" w14:textId="77777777">
        <w:trPr>
          <w:trHeight w:val="255"/>
        </w:trPr>
        <w:tc>
          <w:tcPr>
            <w:tcW w:w="3211" w:type="dxa"/>
            <w:tcBorders>
              <w:top w:val="single" w:sz="8" w:space="0" w:color="000000"/>
              <w:left w:val="single" w:sz="12" w:space="0" w:color="000000"/>
              <w:bottom w:val="single" w:sz="8" w:space="0" w:color="000000"/>
              <w:right w:val="single" w:sz="12" w:space="0" w:color="000000"/>
            </w:tcBorders>
          </w:tcPr>
          <w:p w14:paraId="4A2128E1" w14:textId="77777777" w:rsidR="00BD3BFB" w:rsidRDefault="00A70DF5">
            <w:pPr>
              <w:rPr>
                <w:sz w:val="15"/>
                <w:szCs w:val="15"/>
              </w:rPr>
            </w:pPr>
            <w:r>
              <w:rPr>
                <w:sz w:val="15"/>
                <w:szCs w:val="15"/>
              </w:rPr>
              <w:t>Drobný dlhodobý hmotný majetok</w:t>
            </w:r>
          </w:p>
        </w:tc>
        <w:tc>
          <w:tcPr>
            <w:tcW w:w="2268" w:type="dxa"/>
            <w:tcBorders>
              <w:top w:val="single" w:sz="8" w:space="0" w:color="000000"/>
              <w:left w:val="single" w:sz="12" w:space="0" w:color="000000"/>
              <w:bottom w:val="single" w:sz="8" w:space="0" w:color="000000"/>
              <w:right w:val="single" w:sz="8" w:space="0" w:color="000000"/>
            </w:tcBorders>
          </w:tcPr>
          <w:p w14:paraId="752A0A70" w14:textId="77777777" w:rsidR="00BD3BFB" w:rsidRDefault="00A70DF5">
            <w:pPr>
              <w:jc w:val="center"/>
              <w:rPr>
                <w:sz w:val="15"/>
                <w:szCs w:val="15"/>
              </w:rPr>
            </w:pPr>
            <w:r>
              <w:rPr>
                <w:sz w:val="15"/>
                <w:szCs w:val="15"/>
              </w:rPr>
              <w:t>4 roky</w:t>
            </w:r>
          </w:p>
        </w:tc>
        <w:tc>
          <w:tcPr>
            <w:tcW w:w="2693" w:type="dxa"/>
            <w:tcBorders>
              <w:top w:val="single" w:sz="8" w:space="0" w:color="000000"/>
              <w:left w:val="single" w:sz="8" w:space="0" w:color="000000"/>
              <w:bottom w:val="single" w:sz="8" w:space="0" w:color="000000"/>
              <w:right w:val="single" w:sz="12" w:space="0" w:color="000000"/>
            </w:tcBorders>
          </w:tcPr>
          <w:p w14:paraId="68DF6E8F" w14:textId="77777777" w:rsidR="00BD3BFB" w:rsidRDefault="00A70DF5">
            <w:pPr>
              <w:jc w:val="center"/>
              <w:rPr>
                <w:sz w:val="15"/>
                <w:szCs w:val="15"/>
              </w:rPr>
            </w:pPr>
            <w:r>
              <w:rPr>
                <w:sz w:val="15"/>
                <w:szCs w:val="15"/>
              </w:rPr>
              <w:t>25,00%</w:t>
            </w:r>
          </w:p>
        </w:tc>
      </w:tr>
      <w:tr w:rsidR="00BD3BFB" w14:paraId="6D3F085E" w14:textId="77777777">
        <w:trPr>
          <w:trHeight w:val="255"/>
        </w:trPr>
        <w:tc>
          <w:tcPr>
            <w:tcW w:w="3211" w:type="dxa"/>
            <w:tcBorders>
              <w:top w:val="single" w:sz="8" w:space="0" w:color="000000"/>
              <w:left w:val="single" w:sz="12" w:space="0" w:color="000000"/>
              <w:bottom w:val="single" w:sz="8" w:space="0" w:color="000000"/>
              <w:right w:val="single" w:sz="12" w:space="0" w:color="000000"/>
            </w:tcBorders>
          </w:tcPr>
          <w:p w14:paraId="6EC01288" w14:textId="77777777" w:rsidR="00BD3BFB" w:rsidRDefault="00A70DF5">
            <w:pPr>
              <w:rPr>
                <w:b/>
                <w:sz w:val="15"/>
                <w:szCs w:val="15"/>
              </w:rPr>
            </w:pPr>
            <w:r>
              <w:rPr>
                <w:sz w:val="15"/>
                <w:szCs w:val="15"/>
              </w:rPr>
              <w:t>Oceniteľné práva - Ochranné známky</w:t>
            </w:r>
          </w:p>
        </w:tc>
        <w:tc>
          <w:tcPr>
            <w:tcW w:w="2268" w:type="dxa"/>
            <w:tcBorders>
              <w:top w:val="single" w:sz="8" w:space="0" w:color="000000"/>
              <w:left w:val="single" w:sz="12" w:space="0" w:color="000000"/>
              <w:bottom w:val="single" w:sz="8" w:space="0" w:color="000000"/>
              <w:right w:val="single" w:sz="8" w:space="0" w:color="000000"/>
            </w:tcBorders>
          </w:tcPr>
          <w:p w14:paraId="5993CBFD" w14:textId="77777777" w:rsidR="00BD3BFB" w:rsidRDefault="00A70DF5">
            <w:pPr>
              <w:jc w:val="center"/>
              <w:rPr>
                <w:sz w:val="15"/>
                <w:szCs w:val="15"/>
              </w:rPr>
            </w:pPr>
            <w:r>
              <w:rPr>
                <w:sz w:val="15"/>
                <w:szCs w:val="15"/>
              </w:rPr>
              <w:t>5 rokov</w:t>
            </w:r>
          </w:p>
        </w:tc>
        <w:tc>
          <w:tcPr>
            <w:tcW w:w="2693" w:type="dxa"/>
            <w:tcBorders>
              <w:top w:val="single" w:sz="8" w:space="0" w:color="000000"/>
              <w:left w:val="single" w:sz="8" w:space="0" w:color="000000"/>
              <w:bottom w:val="single" w:sz="8" w:space="0" w:color="000000"/>
              <w:right w:val="single" w:sz="12" w:space="0" w:color="000000"/>
            </w:tcBorders>
          </w:tcPr>
          <w:p w14:paraId="160587FF" w14:textId="77777777" w:rsidR="00BD3BFB" w:rsidRDefault="00A70DF5">
            <w:pPr>
              <w:jc w:val="center"/>
              <w:rPr>
                <w:sz w:val="15"/>
                <w:szCs w:val="15"/>
              </w:rPr>
            </w:pPr>
            <w:r>
              <w:rPr>
                <w:sz w:val="15"/>
                <w:szCs w:val="15"/>
              </w:rPr>
              <w:t>20,00%</w:t>
            </w:r>
          </w:p>
        </w:tc>
      </w:tr>
      <w:tr w:rsidR="00BD3BFB" w14:paraId="2537B619" w14:textId="77777777">
        <w:trPr>
          <w:trHeight w:val="259"/>
        </w:trPr>
        <w:tc>
          <w:tcPr>
            <w:tcW w:w="3211" w:type="dxa"/>
            <w:tcBorders>
              <w:top w:val="single" w:sz="8" w:space="0" w:color="000000"/>
              <w:left w:val="single" w:sz="12" w:space="0" w:color="000000"/>
              <w:bottom w:val="single" w:sz="12" w:space="0" w:color="000000"/>
              <w:right w:val="single" w:sz="12" w:space="0" w:color="000000"/>
            </w:tcBorders>
          </w:tcPr>
          <w:p w14:paraId="2630E9F9" w14:textId="77777777" w:rsidR="00BD3BFB" w:rsidRDefault="00A70DF5">
            <w:pPr>
              <w:rPr>
                <w:sz w:val="15"/>
                <w:szCs w:val="15"/>
              </w:rPr>
            </w:pPr>
            <w:r>
              <w:rPr>
                <w:sz w:val="15"/>
                <w:szCs w:val="15"/>
              </w:rPr>
              <w:t>Softvér</w:t>
            </w:r>
          </w:p>
        </w:tc>
        <w:tc>
          <w:tcPr>
            <w:tcW w:w="2268" w:type="dxa"/>
            <w:tcBorders>
              <w:top w:val="single" w:sz="8" w:space="0" w:color="000000"/>
              <w:left w:val="single" w:sz="12" w:space="0" w:color="000000"/>
              <w:bottom w:val="single" w:sz="12" w:space="0" w:color="000000"/>
              <w:right w:val="single" w:sz="8" w:space="0" w:color="000000"/>
            </w:tcBorders>
          </w:tcPr>
          <w:p w14:paraId="3D8CB79F" w14:textId="77777777" w:rsidR="00BD3BFB" w:rsidRDefault="00A70DF5">
            <w:pPr>
              <w:jc w:val="center"/>
              <w:rPr>
                <w:sz w:val="15"/>
                <w:szCs w:val="15"/>
              </w:rPr>
            </w:pPr>
            <w:r>
              <w:rPr>
                <w:sz w:val="15"/>
                <w:szCs w:val="15"/>
              </w:rPr>
              <w:t>4 roky</w:t>
            </w:r>
          </w:p>
        </w:tc>
        <w:tc>
          <w:tcPr>
            <w:tcW w:w="2693" w:type="dxa"/>
            <w:tcBorders>
              <w:top w:val="single" w:sz="8" w:space="0" w:color="000000"/>
              <w:left w:val="single" w:sz="8" w:space="0" w:color="000000"/>
              <w:bottom w:val="single" w:sz="12" w:space="0" w:color="000000"/>
              <w:right w:val="single" w:sz="12" w:space="0" w:color="000000"/>
            </w:tcBorders>
          </w:tcPr>
          <w:p w14:paraId="5A6D1126" w14:textId="77777777" w:rsidR="00BD3BFB" w:rsidRDefault="00A70DF5">
            <w:pPr>
              <w:jc w:val="center"/>
              <w:rPr>
                <w:sz w:val="15"/>
                <w:szCs w:val="15"/>
              </w:rPr>
            </w:pPr>
            <w:r>
              <w:rPr>
                <w:sz w:val="15"/>
                <w:szCs w:val="15"/>
              </w:rPr>
              <w:t>25,00%</w:t>
            </w:r>
          </w:p>
        </w:tc>
      </w:tr>
    </w:tbl>
    <w:p w14:paraId="6551A802" w14:textId="77777777" w:rsidR="00BD3BFB" w:rsidRDefault="00BD3BFB"/>
    <w:p w14:paraId="08A74725" w14:textId="77777777" w:rsidR="00BD3BFB" w:rsidRDefault="00A70DF5" w:rsidP="00A70DF5">
      <w:r>
        <w:t>Daňové odpisy sa uplatňujú podľa sadzieb uvedených v zákone o daniach z príjmov platných pre rovnomerné odpisovanie.</w:t>
      </w:r>
    </w:p>
    <w:p w14:paraId="146117EF" w14:textId="77777777" w:rsidR="00BD3BFB" w:rsidRDefault="00BD3BFB"/>
    <w:p w14:paraId="6BDFD5DB" w14:textId="77777777" w:rsidR="00BD3BFB" w:rsidRDefault="00A70DF5">
      <w:pPr>
        <w:numPr>
          <w:ilvl w:val="0"/>
          <w:numId w:val="19"/>
        </w:numPr>
      </w:pPr>
      <w:r>
        <w:t>Podiely na základnom imaní v obchodných spoločnostiach sa ponechávajú v pôvodnom ocenení. Metóda vlastného imania sa použila iba pre potrebu výpočtu opravnej položky.</w:t>
      </w:r>
    </w:p>
    <w:p w14:paraId="051C2EF2" w14:textId="77777777" w:rsidR="00BD3BFB" w:rsidRDefault="00BD3BFB"/>
    <w:p w14:paraId="25419B1C" w14:textId="77777777" w:rsidR="00BD3BFB" w:rsidRDefault="00A70DF5">
      <w:pPr>
        <w:ind w:left="540"/>
      </w:pPr>
      <w:r>
        <w:t>Pri cenných papieroch držaných do splatnosti sa ich ocenenie odo dňa vyrovnania nákupu do dňa splatnosti postupne zvyšuje o úrokové výnosy (amortizované náklady).</w:t>
      </w:r>
    </w:p>
    <w:p w14:paraId="60E8468E" w14:textId="77777777" w:rsidR="00BD3BFB" w:rsidRDefault="00BD3BFB"/>
    <w:p w14:paraId="49E79711" w14:textId="77777777" w:rsidR="00BD3BFB" w:rsidRDefault="00A70DF5">
      <w:pPr>
        <w:numPr>
          <w:ilvl w:val="0"/>
          <w:numId w:val="19"/>
        </w:numPr>
      </w:pPr>
      <w:r>
        <w:t>Cenné papiere určené na obchodovanie a realizovateľné cenné papiere sa oceňujú trhovou cenou.</w:t>
      </w:r>
    </w:p>
    <w:p w14:paraId="549B4D14" w14:textId="77777777" w:rsidR="00BD3BFB" w:rsidRDefault="00BD3BFB">
      <w:pPr>
        <w:rPr>
          <w:sz w:val="20"/>
          <w:szCs w:val="20"/>
        </w:rPr>
      </w:pPr>
    </w:p>
    <w:p w14:paraId="64E8D34D" w14:textId="77777777" w:rsidR="00BD3BFB" w:rsidRDefault="00A70DF5">
      <w:pPr>
        <w:numPr>
          <w:ilvl w:val="0"/>
          <w:numId w:val="19"/>
        </w:numPr>
      </w:pPr>
      <w:r>
        <w:t>Deriváty sa oceňujú trhovou cenou.</w:t>
      </w:r>
    </w:p>
    <w:p w14:paraId="52FF2569" w14:textId="77777777" w:rsidR="00BD3BFB" w:rsidRDefault="00BD3BFB">
      <w:pPr>
        <w:rPr>
          <w:sz w:val="20"/>
          <w:szCs w:val="20"/>
        </w:rPr>
      </w:pPr>
    </w:p>
    <w:p w14:paraId="214B1153" w14:textId="77777777" w:rsidR="00BD3BFB" w:rsidRDefault="00A70DF5">
      <w:pPr>
        <w:numPr>
          <w:ilvl w:val="0"/>
          <w:numId w:val="19"/>
        </w:numPr>
      </w:pPr>
      <w:r>
        <w:t>Majetok a záväzky zabezpečené derivátmi sa oceňujú trhovou cenou.</w:t>
      </w:r>
    </w:p>
    <w:p w14:paraId="57E4715F" w14:textId="77777777" w:rsidR="00BD3BFB" w:rsidRDefault="00BD3BFB"/>
    <w:p w14:paraId="71DE29A4" w14:textId="77777777" w:rsidR="00BD3BFB" w:rsidRDefault="00A70DF5">
      <w:pPr>
        <w:pStyle w:val="Nadpis2"/>
        <w:numPr>
          <w:ilvl w:val="0"/>
          <w:numId w:val="4"/>
        </w:numPr>
      </w:pPr>
      <w:r>
        <w:t>Prepočet údajov v cudzích menách na slovenskú menu</w:t>
      </w:r>
    </w:p>
    <w:p w14:paraId="72F07A80" w14:textId="77777777" w:rsidR="00BD3BFB" w:rsidRDefault="00BD3BFB"/>
    <w:p w14:paraId="0E987F82" w14:textId="77777777" w:rsidR="00BD3BFB" w:rsidRDefault="00A70DF5">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určený a vyhlásený ECB alebo NBS v deň predchádzajúci dňu vysporiadania obchodu.</w:t>
      </w:r>
    </w:p>
    <w:p w14:paraId="0B604D36" w14:textId="77777777" w:rsidR="00BD3BFB" w:rsidRDefault="00BD3BFB">
      <w:pPr>
        <w:ind w:left="567"/>
      </w:pPr>
    </w:p>
    <w:p w14:paraId="087EBFD3" w14:textId="77777777" w:rsidR="00BD3BFB" w:rsidRDefault="00A70DF5">
      <w:pPr>
        <w:pStyle w:val="Nadpis2"/>
        <w:numPr>
          <w:ilvl w:val="0"/>
          <w:numId w:val="4"/>
        </w:numPr>
      </w:pPr>
      <w:r>
        <w:t xml:space="preserve">Zmeny účtovných zásad a účtovných metód </w:t>
      </w:r>
    </w:p>
    <w:p w14:paraId="0191C5C4" w14:textId="77777777" w:rsidR="00BD3BFB" w:rsidRDefault="00BD3BFB">
      <w:pPr>
        <w:rPr>
          <w:color w:val="FF0000"/>
        </w:rPr>
      </w:pPr>
    </w:p>
    <w:p w14:paraId="505CA7F3" w14:textId="77777777" w:rsidR="00BD3BFB" w:rsidRDefault="00A70DF5">
      <w:r>
        <w:t>Všetky účtovné zásady a metódy boli v porovnaní s bezprostredne predchádzajúcim účtovným obdobím uplatňované konzistentne.</w:t>
      </w:r>
    </w:p>
    <w:p w14:paraId="0DA3F484" w14:textId="77777777" w:rsidR="00BD3BFB" w:rsidRDefault="00BD3BFB"/>
    <w:p w14:paraId="65E825B9" w14:textId="77777777" w:rsidR="00BD3BFB" w:rsidRDefault="00A70DF5">
      <w:pPr>
        <w:pStyle w:val="Nadpis2"/>
        <w:numPr>
          <w:ilvl w:val="0"/>
          <w:numId w:val="4"/>
        </w:numPr>
      </w:pPr>
      <w:r>
        <w:t xml:space="preserve">Oprava významných chýb minulých období </w:t>
      </w:r>
    </w:p>
    <w:p w14:paraId="15FC05C6" w14:textId="77777777" w:rsidR="00BD3BFB" w:rsidRDefault="00BD3BFB">
      <w:pPr>
        <w:rPr>
          <w:color w:val="FF0000"/>
        </w:rPr>
      </w:pPr>
    </w:p>
    <w:p w14:paraId="00762F10" w14:textId="77777777" w:rsidR="00BD3BFB" w:rsidRDefault="00A70DF5">
      <w:r>
        <w:t>V roku 2019 Spoločnosť účtovala o oprave týchto významných chýb minulých účtovných období:</w:t>
      </w:r>
    </w:p>
    <w:p w14:paraId="50F819C8" w14:textId="77777777" w:rsidR="00BD3BFB" w:rsidRPr="00F25FF8" w:rsidRDefault="00A70DF5" w:rsidP="004477D9">
      <w:pPr>
        <w:numPr>
          <w:ilvl w:val="1"/>
          <w:numId w:val="4"/>
        </w:numPr>
        <w:pBdr>
          <w:top w:val="nil"/>
          <w:left w:val="nil"/>
          <w:bottom w:val="nil"/>
          <w:right w:val="nil"/>
          <w:between w:val="nil"/>
        </w:pBdr>
        <w:rPr>
          <w:color w:val="000000"/>
        </w:rPr>
      </w:pPr>
      <w:r w:rsidRPr="00F25FF8">
        <w:rPr>
          <w:color w:val="000000"/>
        </w:rPr>
        <w:t>Odpis pohľadávky voči spoločníkom</w:t>
      </w:r>
      <w:r w:rsidR="00F25FF8" w:rsidRPr="00F25FF8">
        <w:rPr>
          <w:color w:val="000000"/>
        </w:rPr>
        <w:t xml:space="preserve"> a ostatných pohľadávok vo výške 756 295 EUR</w:t>
      </w:r>
      <w:r w:rsidRPr="00F25FF8">
        <w:rPr>
          <w:color w:val="000000"/>
        </w:rPr>
        <w:t>;</w:t>
      </w:r>
    </w:p>
    <w:p w14:paraId="5901E480" w14:textId="77777777" w:rsidR="004477D9" w:rsidRPr="004477D9" w:rsidRDefault="004477D9" w:rsidP="004477D9">
      <w:pPr>
        <w:numPr>
          <w:ilvl w:val="1"/>
          <w:numId w:val="4"/>
        </w:numPr>
        <w:pBdr>
          <w:top w:val="nil"/>
          <w:left w:val="nil"/>
          <w:bottom w:val="nil"/>
          <w:right w:val="nil"/>
          <w:between w:val="nil"/>
        </w:pBdr>
        <w:rPr>
          <w:color w:val="000000"/>
        </w:rPr>
      </w:pPr>
      <w:r w:rsidRPr="004477D9">
        <w:rPr>
          <w:color w:val="000000"/>
        </w:rPr>
        <w:t xml:space="preserve">Spoločnosť v roku 2019 vykonala významnú oprav účtovania chýb minulých rokov a zaradila položky Software obstarané v predchádzajúcich účtovných obdobiach v hodnote 230 tis. EUR pre software </w:t>
      </w:r>
      <w:proofErr w:type="spellStart"/>
      <w:r w:rsidRPr="004477D9">
        <w:rPr>
          <w:color w:val="000000"/>
        </w:rPr>
        <w:t>Magento</w:t>
      </w:r>
      <w:proofErr w:type="spellEnd"/>
      <w:r w:rsidRPr="004477D9">
        <w:rPr>
          <w:color w:val="000000"/>
        </w:rPr>
        <w:t xml:space="preserve"> a v hodnote 35 tis. EUR pre business </w:t>
      </w:r>
      <w:proofErr w:type="spellStart"/>
      <w:r w:rsidRPr="004477D9">
        <w:rPr>
          <w:color w:val="000000"/>
        </w:rPr>
        <w:t>intelligence</w:t>
      </w:r>
      <w:proofErr w:type="spellEnd"/>
      <w:r w:rsidRPr="004477D9">
        <w:rPr>
          <w:color w:val="000000"/>
        </w:rPr>
        <w:t xml:space="preserve"> software </w:t>
      </w:r>
      <w:proofErr w:type="spellStart"/>
      <w:r w:rsidRPr="004477D9">
        <w:rPr>
          <w:color w:val="000000"/>
        </w:rPr>
        <w:t>Keboola</w:t>
      </w:r>
      <w:proofErr w:type="spellEnd"/>
      <w:r w:rsidRPr="004477D9">
        <w:rPr>
          <w:color w:val="000000"/>
        </w:rPr>
        <w:t>/</w:t>
      </w:r>
      <w:proofErr w:type="spellStart"/>
      <w:r w:rsidRPr="004477D9">
        <w:rPr>
          <w:color w:val="000000"/>
        </w:rPr>
        <w:t>GoodData</w:t>
      </w:r>
      <w:proofErr w:type="spellEnd"/>
      <w:r w:rsidR="005944A3">
        <w:rPr>
          <w:color w:val="000000"/>
        </w:rPr>
        <w:t>, ktoré boli v minulých rokoch priamo účtovaná do nákladov.</w:t>
      </w:r>
    </w:p>
    <w:p w14:paraId="38A7D572" w14:textId="77777777" w:rsidR="004477D9" w:rsidRPr="004477D9" w:rsidRDefault="004477D9" w:rsidP="004477D9">
      <w:pPr>
        <w:numPr>
          <w:ilvl w:val="1"/>
          <w:numId w:val="4"/>
        </w:numPr>
        <w:pBdr>
          <w:top w:val="nil"/>
          <w:left w:val="nil"/>
          <w:bottom w:val="nil"/>
          <w:right w:val="nil"/>
          <w:between w:val="nil"/>
        </w:pBdr>
        <w:rPr>
          <w:color w:val="000000"/>
        </w:rPr>
      </w:pPr>
      <w:r w:rsidRPr="004477D9">
        <w:rPr>
          <w:color w:val="000000"/>
        </w:rPr>
        <w:t>Spoločnosť v roku 2019 vykonala významnú opravu účtovania chýb minulých rokov a zaradila položky Samostatne hnuteľné veci a súbory hnuteľných vecí v hodnote 22 tis. EUR, Stavby v hodnote 31 tis. EUR, Drobný dlhodobý majetok v hodnote 50 tis. EUR, obstarané v predchádzajúcom účtovnom období</w:t>
      </w:r>
      <w:r w:rsidR="005944A3">
        <w:rPr>
          <w:color w:val="000000"/>
        </w:rPr>
        <w:t>m ktoré boli v minulých rokoch priamo účtovaná do nákladov.</w:t>
      </w:r>
    </w:p>
    <w:p w14:paraId="467285C3" w14:textId="32826986" w:rsidR="002D7A3D" w:rsidRDefault="00A70DF5" w:rsidP="004477D9">
      <w:pPr>
        <w:numPr>
          <w:ilvl w:val="1"/>
          <w:numId w:val="4"/>
        </w:numPr>
        <w:pBdr>
          <w:top w:val="nil"/>
          <w:left w:val="nil"/>
          <w:bottom w:val="nil"/>
          <w:right w:val="nil"/>
          <w:between w:val="nil"/>
        </w:pBdr>
        <w:rPr>
          <w:color w:val="000000"/>
        </w:rPr>
      </w:pPr>
      <w:r w:rsidRPr="00F25FF8">
        <w:rPr>
          <w:color w:val="000000"/>
        </w:rPr>
        <w:t>Oprava nadhodnotenia konečného stavu zásob tovaru na sklade k 31.12.2019</w:t>
      </w:r>
      <w:r w:rsidR="00F25FF8" w:rsidRPr="00F25FF8">
        <w:rPr>
          <w:color w:val="000000"/>
        </w:rPr>
        <w:t xml:space="preserve"> o sumu </w:t>
      </w:r>
      <w:r w:rsidR="002D7A3D">
        <w:rPr>
          <w:color w:val="000000"/>
        </w:rPr>
        <w:t>343 807</w:t>
      </w:r>
      <w:r w:rsidR="00F25FF8" w:rsidRPr="00F25FF8">
        <w:rPr>
          <w:color w:val="000000"/>
        </w:rPr>
        <w:t xml:space="preserve"> EUR</w:t>
      </w:r>
      <w:r w:rsidR="002D7A3D">
        <w:rPr>
          <w:color w:val="000000"/>
        </w:rPr>
        <w:t>.</w:t>
      </w:r>
    </w:p>
    <w:p w14:paraId="19B4532E" w14:textId="488F5CC5" w:rsidR="00BD3BFB" w:rsidRDefault="002D7A3D" w:rsidP="004477D9">
      <w:pPr>
        <w:numPr>
          <w:ilvl w:val="1"/>
          <w:numId w:val="4"/>
        </w:numPr>
        <w:pBdr>
          <w:top w:val="nil"/>
          <w:left w:val="nil"/>
          <w:bottom w:val="nil"/>
          <w:right w:val="nil"/>
          <w:between w:val="nil"/>
        </w:pBdr>
        <w:rPr>
          <w:color w:val="000000"/>
        </w:rPr>
      </w:pPr>
      <w:r>
        <w:rPr>
          <w:color w:val="000000"/>
        </w:rPr>
        <w:t xml:space="preserve">Oprava vykázania tovaru na ceste v skladových cenách v hodnote 564 592 EUR na príjmy budúcich období v predajne cene 637 945 EUR z dôvodu správneho uplatnenia akruálneho princípu. </w:t>
      </w:r>
    </w:p>
    <w:p w14:paraId="35E7BA3E" w14:textId="77777777" w:rsidR="001A7A2C" w:rsidRPr="00F25FF8" w:rsidRDefault="001A7A2C" w:rsidP="004477D9">
      <w:pPr>
        <w:numPr>
          <w:ilvl w:val="1"/>
          <w:numId w:val="4"/>
        </w:numPr>
        <w:pBdr>
          <w:top w:val="nil"/>
          <w:left w:val="nil"/>
          <w:bottom w:val="nil"/>
          <w:right w:val="nil"/>
          <w:between w:val="nil"/>
        </w:pBdr>
        <w:rPr>
          <w:color w:val="000000"/>
        </w:rPr>
      </w:pPr>
      <w:r>
        <w:rPr>
          <w:color w:val="000000"/>
        </w:rPr>
        <w:t>Spoločnosť vykonala opravu v prezentácii údajov uvedených vo výkazoch účtovnej závierky k 31.12.2018, ktoré správne uviedla vo výkazoch účtovnej závierke k 31.12.2019 v stĺpci bezprostredne predchádzajúce obdobie. Preklasifikovala iné pohľadávky vo výške 400 138 EUR z riadku č.65 (Iné krátkodobé pohľadávky) na riadok č.51 (Iné dlhodobé pohľadávky).</w:t>
      </w:r>
    </w:p>
    <w:p w14:paraId="15E0AEA6" w14:textId="77777777" w:rsidR="00F25FF8" w:rsidRDefault="00F25FF8" w:rsidP="00F25FF8">
      <w:pPr>
        <w:pBdr>
          <w:top w:val="nil"/>
          <w:left w:val="nil"/>
          <w:bottom w:val="nil"/>
          <w:right w:val="nil"/>
          <w:between w:val="nil"/>
        </w:pBdr>
        <w:rPr>
          <w:color w:val="000000"/>
          <w:highlight w:val="yellow"/>
        </w:rPr>
      </w:pPr>
    </w:p>
    <w:p w14:paraId="6798CCC7" w14:textId="77777777" w:rsidR="00F25FF8" w:rsidRDefault="00F25FF8" w:rsidP="00F25FF8">
      <w:pPr>
        <w:pBdr>
          <w:top w:val="nil"/>
          <w:left w:val="nil"/>
          <w:bottom w:val="nil"/>
          <w:right w:val="nil"/>
          <w:between w:val="nil"/>
        </w:pBdr>
        <w:rPr>
          <w:color w:val="000000"/>
          <w:highlight w:val="yellow"/>
        </w:rPr>
      </w:pPr>
    </w:p>
    <w:p w14:paraId="6BF4CA27" w14:textId="77777777" w:rsidR="00F25FF8" w:rsidRPr="004477D9" w:rsidRDefault="00F25FF8" w:rsidP="00F25FF8">
      <w:pPr>
        <w:pBdr>
          <w:top w:val="nil"/>
          <w:left w:val="nil"/>
          <w:bottom w:val="nil"/>
          <w:right w:val="nil"/>
          <w:between w:val="nil"/>
        </w:pBdr>
        <w:rPr>
          <w:color w:val="000000"/>
          <w:highlight w:val="yellow"/>
        </w:rPr>
        <w:sectPr w:rsidR="00F25FF8" w:rsidRPr="004477D9" w:rsidSect="00F16FD5">
          <w:headerReference w:type="default" r:id="rId15"/>
          <w:footerReference w:type="default" r:id="rId16"/>
          <w:pgSz w:w="11907" w:h="16840"/>
          <w:pgMar w:top="1418" w:right="1418" w:bottom="992" w:left="1418" w:header="851" w:footer="680" w:gutter="0"/>
          <w:pgNumType w:start="1"/>
          <w:cols w:space="708" w:equalWidth="0">
            <w:col w:w="9406"/>
          </w:cols>
          <w:docGrid w:linePitch="231"/>
        </w:sectPr>
      </w:pPr>
    </w:p>
    <w:p w14:paraId="28FC2E89" w14:textId="77777777" w:rsidR="00BD3BFB" w:rsidRDefault="00A70DF5" w:rsidP="00A70DF5">
      <w:pPr>
        <w:pStyle w:val="Nadpis1"/>
        <w:numPr>
          <w:ilvl w:val="0"/>
          <w:numId w:val="16"/>
        </w:numPr>
      </w:pPr>
      <w:r>
        <w:lastRenderedPageBreak/>
        <w:t>ÚDAJE VYKÁZANÉ NA STRANE AKTÍV SÚVAHY</w:t>
      </w:r>
    </w:p>
    <w:p w14:paraId="6D91F4B1" w14:textId="77777777" w:rsidR="00BD3BFB" w:rsidRDefault="00BD3BFB">
      <w:pPr>
        <w:rPr>
          <w:b/>
          <w:u w:val="single"/>
        </w:rPr>
      </w:pPr>
    </w:p>
    <w:p w14:paraId="1365099D" w14:textId="77777777" w:rsidR="00BD3BFB" w:rsidRDefault="00A70DF5">
      <w:pPr>
        <w:pStyle w:val="Nadpis2"/>
        <w:numPr>
          <w:ilvl w:val="1"/>
          <w:numId w:val="16"/>
        </w:numPr>
      </w:pPr>
      <w:r>
        <w:t>Dlhodobý nehmotný a hmotný majetok (r. 003 a 011 súvahy)</w:t>
      </w:r>
    </w:p>
    <w:p w14:paraId="262E8150" w14:textId="77777777" w:rsidR="00BD3BFB" w:rsidRDefault="00BD3BFB"/>
    <w:p w14:paraId="61239328" w14:textId="77777777" w:rsidR="00BD3BFB" w:rsidRDefault="00A70DF5">
      <w:pPr>
        <w:pStyle w:val="Nadpis3"/>
        <w:numPr>
          <w:ilvl w:val="2"/>
          <w:numId w:val="16"/>
        </w:numPr>
      </w:pPr>
      <w:r>
        <w:t xml:space="preserve">Pohyby na účtoch dlhodobého nehmotného majetku, oprávok, opravných položiek a zostatkovej hodnoty </w:t>
      </w:r>
    </w:p>
    <w:p w14:paraId="2CD14F1B" w14:textId="77777777" w:rsidR="00BD3BFB" w:rsidRDefault="00BD3BFB"/>
    <w:bookmarkStart w:id="8" w:name="_heading=h.4d34og8" w:colFirst="0" w:colLast="0"/>
    <w:bookmarkEnd w:id="8"/>
    <w:p w14:paraId="74D49606" w14:textId="77777777" w:rsidR="00BD3BFB" w:rsidRDefault="00A70DF5">
      <w:r>
        <w:object w:dxaOrig="9672" w:dyaOrig="6985" w14:anchorId="067ECA2C">
          <v:shape id="_x0000_i1028" type="#_x0000_t75" style="width:483.75pt;height:349.5pt" o:ole="" o:bordertopcolor="this" o:borderleftcolor="this">
            <v:imagedata r:id="rId17" o:title=""/>
            <w10:bordertop type="single" width="4"/>
            <w10:borderleft type="single" width="4"/>
          </v:shape>
          <o:OLEObject Type="Embed" ProgID="Excel.Sheet.12" ShapeID="_x0000_i1028" DrawAspect="Content" ObjectID="_1646998898" r:id="rId18"/>
        </w:object>
      </w:r>
    </w:p>
    <w:p w14:paraId="1A8C4E81" w14:textId="77777777" w:rsidR="00BD3BFB" w:rsidRDefault="00BD3BFB"/>
    <w:p w14:paraId="13AC7B1D" w14:textId="77777777" w:rsidR="00A70DF5" w:rsidRDefault="00A70DF5">
      <w:bookmarkStart w:id="9" w:name="_heading=h.17dp8vu" w:colFirst="0" w:colLast="0"/>
      <w:bookmarkEnd w:id="9"/>
      <w:r w:rsidRPr="00A70DF5">
        <w:t xml:space="preserve">Spoločnosť v roku 2019 vykonala významnú oprav účtovania chýb minulých rokov a zaradila položky Software obstarané v predchádzajúcich účtovných obdobiach v hodnote 230 tis. EUR pre software </w:t>
      </w:r>
      <w:proofErr w:type="spellStart"/>
      <w:r w:rsidRPr="00A70DF5">
        <w:t>Magento</w:t>
      </w:r>
      <w:proofErr w:type="spellEnd"/>
      <w:r w:rsidRPr="00A70DF5">
        <w:t xml:space="preserve"> a v hodnote 35 tis. EUR pre business </w:t>
      </w:r>
      <w:proofErr w:type="spellStart"/>
      <w:r w:rsidRPr="00A70DF5">
        <w:t>intelligence</w:t>
      </w:r>
      <w:proofErr w:type="spellEnd"/>
      <w:r w:rsidRPr="00A70DF5">
        <w:t xml:space="preserve"> software </w:t>
      </w:r>
      <w:proofErr w:type="spellStart"/>
      <w:r w:rsidRPr="00A70DF5">
        <w:t>Keboola</w:t>
      </w:r>
      <w:proofErr w:type="spellEnd"/>
      <w:r w:rsidRPr="00A70DF5">
        <w:t>/</w:t>
      </w:r>
      <w:proofErr w:type="spellStart"/>
      <w:r w:rsidRPr="00A70DF5">
        <w:t>GoodData</w:t>
      </w:r>
      <w:proofErr w:type="spellEnd"/>
      <w:r w:rsidRPr="00A70DF5">
        <w:t>.</w:t>
      </w:r>
    </w:p>
    <w:p w14:paraId="5AFBCF9D" w14:textId="77777777" w:rsidR="00A70DF5" w:rsidRDefault="00A70DF5">
      <w:r w:rsidRPr="00A70DF5">
        <w:t> </w:t>
      </w:r>
      <w:r w:rsidRPr="00A70DF5">
        <w:br/>
        <w:t xml:space="preserve">Spoločnosť v roku 2019 obstarala ochranné známky </w:t>
      </w:r>
      <w:proofErr w:type="spellStart"/>
      <w:r w:rsidRPr="00A70DF5">
        <w:t>GymBeam</w:t>
      </w:r>
      <w:proofErr w:type="spellEnd"/>
      <w:r w:rsidRPr="00A70DF5">
        <w:t xml:space="preserve">, </w:t>
      </w:r>
      <w:proofErr w:type="spellStart"/>
      <w:r w:rsidRPr="00A70DF5">
        <w:t>Beast</w:t>
      </w:r>
      <w:proofErr w:type="spellEnd"/>
      <w:r w:rsidRPr="00A70DF5">
        <w:t xml:space="preserve"> </w:t>
      </w:r>
      <w:proofErr w:type="spellStart"/>
      <w:r w:rsidRPr="00A70DF5">
        <w:t>Pink</w:t>
      </w:r>
      <w:proofErr w:type="spellEnd"/>
      <w:r w:rsidRPr="00A70DF5">
        <w:t xml:space="preserve">, </w:t>
      </w:r>
      <w:proofErr w:type="spellStart"/>
      <w:r w:rsidRPr="00A70DF5">
        <w:t>VanaVita</w:t>
      </w:r>
      <w:proofErr w:type="spellEnd"/>
      <w:r w:rsidRPr="00A70DF5">
        <w:t xml:space="preserve"> a </w:t>
      </w:r>
      <w:proofErr w:type="spellStart"/>
      <w:r w:rsidRPr="00A70DF5">
        <w:t>TruWhey</w:t>
      </w:r>
      <w:proofErr w:type="spellEnd"/>
      <w:r w:rsidRPr="00A70DF5">
        <w:t xml:space="preserve"> každú v obstarávacej cene 1 200 EUR. Spoločnosť je vlastníkom týchto ochranných známok pre územie Európskej únie. Trhové ocenenie uvedených ochranných známok sa výrazne odlišuje od jeho ocenenia v účtovníctve, trhové ocenenie bolo stanovené znaleckým posudkom na hodnotu 509 tis. EUR.</w:t>
      </w:r>
    </w:p>
    <w:p w14:paraId="0958B033" w14:textId="77777777" w:rsidR="00BD3BFB" w:rsidRDefault="00A70DF5">
      <w:r w:rsidRPr="00A70DF5">
        <w:t> </w:t>
      </w:r>
      <w:r w:rsidRPr="00A70DF5">
        <w:br/>
        <w:t xml:space="preserve">Prírastky v nedokončených nehmotných investíciách vo výške 1 166 tis. EUR sú aktiváciou interných nákladov na výskum a vývoj </w:t>
      </w:r>
      <w:r w:rsidR="004477D9" w:rsidRPr="00A70DF5">
        <w:t>a kapitalizáciou externých nákladov</w:t>
      </w:r>
      <w:r w:rsidR="004477D9">
        <w:t>,</w:t>
      </w:r>
      <w:r w:rsidR="004477D9" w:rsidRPr="00A70DF5">
        <w:t xml:space="preserve"> </w:t>
      </w:r>
      <w:r w:rsidRPr="00A70DF5">
        <w:t xml:space="preserve">ktorý spĺňa kritériá aktivácie a obstarania dlhodobého nehmotného majetku, a ktoré sú v procese dokončovania. Ide o interný vývoj softwarov ako WMS, API Integrácií, </w:t>
      </w:r>
      <w:proofErr w:type="spellStart"/>
      <w:r w:rsidRPr="00A70DF5">
        <w:t>Magento</w:t>
      </w:r>
      <w:proofErr w:type="spellEnd"/>
      <w:r w:rsidRPr="00A70DF5">
        <w:t xml:space="preserve">, </w:t>
      </w:r>
      <w:proofErr w:type="spellStart"/>
      <w:r w:rsidRPr="00A70DF5">
        <w:t>Keboola</w:t>
      </w:r>
      <w:proofErr w:type="spellEnd"/>
      <w:r w:rsidRPr="00A70DF5">
        <w:t xml:space="preserve">, </w:t>
      </w:r>
      <w:proofErr w:type="spellStart"/>
      <w:r w:rsidRPr="00A70DF5">
        <w:t>GoodData</w:t>
      </w:r>
      <w:proofErr w:type="spellEnd"/>
      <w:r w:rsidRPr="00A70DF5">
        <w:t xml:space="preserve">, </w:t>
      </w:r>
      <w:proofErr w:type="spellStart"/>
      <w:r w:rsidRPr="00A70DF5">
        <w:t>Price</w:t>
      </w:r>
      <w:proofErr w:type="spellEnd"/>
      <w:r w:rsidRPr="00A70DF5">
        <w:t xml:space="preserve"> </w:t>
      </w:r>
      <w:proofErr w:type="spellStart"/>
      <w:r w:rsidRPr="00A70DF5">
        <w:t>Edge</w:t>
      </w:r>
      <w:proofErr w:type="spellEnd"/>
      <w:r w:rsidRPr="00A70DF5">
        <w:t xml:space="preserve">, vývoj nových vlastných produktov, autorské práva k autorským dielam a vlastný obsah na vlastných webstránkach a blogoch, autorské práva k autorským dielam a vlastný obsah na </w:t>
      </w:r>
      <w:proofErr w:type="spellStart"/>
      <w:r w:rsidRPr="00A70DF5">
        <w:t>Youtube</w:t>
      </w:r>
      <w:proofErr w:type="spellEnd"/>
      <w:r w:rsidRPr="00A70DF5">
        <w:t xml:space="preserve"> kanál</w:t>
      </w:r>
      <w:r>
        <w:t>och</w:t>
      </w:r>
      <w:r w:rsidRPr="00A70DF5">
        <w:t>.</w:t>
      </w:r>
      <w:r>
        <w:br w:type="page"/>
      </w:r>
      <w:r>
        <w:object w:dxaOrig="10104" w:dyaOrig="6805" w14:anchorId="491EB879">
          <v:shape id="_x0000_i1029" type="#_x0000_t75" style="width:505.5pt;height:340.5pt" o:ole="" o:bordertopcolor="this" o:borderleftcolor="this">
            <v:imagedata r:id="rId19" o:title=""/>
            <w10:bordertop type="single" width="4"/>
            <w10:borderleft type="single" width="4"/>
          </v:shape>
          <o:OLEObject Type="Embed" ProgID="Excel.Sheet.12" ShapeID="_x0000_i1029" DrawAspect="Content" ObjectID="_1646998899" r:id="rId20"/>
        </w:object>
      </w:r>
    </w:p>
    <w:p w14:paraId="2A6C592A" w14:textId="77777777" w:rsidR="00BD3BFB" w:rsidRDefault="00BD3BFB"/>
    <w:p w14:paraId="19A5626C" w14:textId="77777777" w:rsidR="00BD3BFB" w:rsidRDefault="00BD3BFB"/>
    <w:bookmarkStart w:id="10" w:name="_heading=h.3rdcrjn" w:colFirst="0" w:colLast="0"/>
    <w:bookmarkEnd w:id="10"/>
    <w:bookmarkStart w:id="11" w:name="_MON_1644847135"/>
    <w:bookmarkEnd w:id="11"/>
    <w:p w14:paraId="78BD8B9E" w14:textId="77777777" w:rsidR="00BD3BFB" w:rsidRDefault="006A7C90">
      <w:r>
        <w:object w:dxaOrig="9698" w:dyaOrig="702" w14:anchorId="3A97E687">
          <v:shape id="_x0000_i1030" type="#_x0000_t75" style="width:485.25pt;height:35.25pt" o:ole="">
            <v:imagedata r:id="rId21" o:title=""/>
          </v:shape>
          <o:OLEObject Type="Embed" ProgID="Excel.Sheet.12" ShapeID="_x0000_i1030" DrawAspect="Content" ObjectID="_1646998900" r:id="rId22"/>
        </w:object>
      </w:r>
    </w:p>
    <w:p w14:paraId="1AA22A0E" w14:textId="77777777" w:rsidR="00BD3BFB" w:rsidRDefault="00BD3BFB"/>
    <w:p w14:paraId="5A342616" w14:textId="77777777" w:rsidR="00BD3BFB" w:rsidRDefault="006A7C90">
      <w:r>
        <w:t>Dlhodobý nehmotný majetok nie je predmetom žiadneho záložného práva.</w:t>
      </w:r>
    </w:p>
    <w:p w14:paraId="1DA61361" w14:textId="77777777" w:rsidR="00BD3BFB" w:rsidRDefault="00BD3BFB">
      <w:pPr>
        <w:sectPr w:rsidR="00BD3BFB" w:rsidSect="002D7A3D">
          <w:pgSz w:w="11907" w:h="16840"/>
          <w:pgMar w:top="1418" w:right="1418" w:bottom="992" w:left="1418" w:header="851" w:footer="680" w:gutter="0"/>
          <w:cols w:space="708" w:equalWidth="0">
            <w:col w:w="9406"/>
          </w:cols>
        </w:sectPr>
      </w:pPr>
    </w:p>
    <w:p w14:paraId="07422D9C" w14:textId="77777777" w:rsidR="00BD3BFB" w:rsidRDefault="00A70DF5">
      <w:pPr>
        <w:pStyle w:val="Nadpis3"/>
        <w:numPr>
          <w:ilvl w:val="2"/>
          <w:numId w:val="16"/>
        </w:numPr>
      </w:pPr>
      <w:r>
        <w:lastRenderedPageBreak/>
        <w:t>Pohyby na účtoch dlhodobého hmotného majetku, oprávok, opravných položiek a zostatkovej hodnoty</w:t>
      </w:r>
    </w:p>
    <w:p w14:paraId="10DC6416" w14:textId="77777777" w:rsidR="00BD3BFB" w:rsidRDefault="00BD3BFB"/>
    <w:bookmarkStart w:id="12" w:name="_heading=h.26in1rg" w:colFirst="0" w:colLast="0"/>
    <w:bookmarkEnd w:id="12"/>
    <w:bookmarkStart w:id="13" w:name="_MON_1644847848"/>
    <w:bookmarkEnd w:id="13"/>
    <w:p w14:paraId="71F84C1F" w14:textId="77777777" w:rsidR="00BD3BFB" w:rsidRDefault="006A7C90">
      <w:pPr>
        <w:rPr>
          <w:color w:val="FF0000"/>
        </w:rPr>
      </w:pPr>
      <w:r>
        <w:rPr>
          <w:color w:val="FF0000"/>
        </w:rPr>
        <w:object w:dxaOrig="13482" w:dyaOrig="6995" w14:anchorId="7073AA72">
          <v:shape id="_x0000_i1031" type="#_x0000_t75" style="width:674.25pt;height:349.5pt" o:ole="" o:bordertopcolor="this" o:borderleftcolor="this">
            <v:imagedata r:id="rId23" o:title=""/>
            <w10:bordertop type="single" width="4"/>
            <w10:borderleft type="single" width="4"/>
          </v:shape>
          <o:OLEObject Type="Embed" ProgID="Excel.Sheet.12" ShapeID="_x0000_i1031" DrawAspect="Content" ObjectID="_1646998901" r:id="rId24"/>
        </w:object>
      </w:r>
    </w:p>
    <w:p w14:paraId="5D8D40F0" w14:textId="77777777" w:rsidR="00A70DF5" w:rsidRDefault="00A70DF5">
      <w:pPr>
        <w:sectPr w:rsidR="00A70DF5" w:rsidSect="00A70DF5">
          <w:pgSz w:w="16840" w:h="11907" w:orient="landscape"/>
          <w:pgMar w:top="1418" w:right="1418" w:bottom="1418" w:left="992" w:header="851" w:footer="680" w:gutter="0"/>
          <w:cols w:space="708" w:equalWidth="0">
            <w:col w:w="9406"/>
          </w:cols>
          <w:docGrid w:linePitch="231"/>
        </w:sectPr>
      </w:pPr>
    </w:p>
    <w:p w14:paraId="0F0124D0" w14:textId="77777777" w:rsidR="00A70DF5" w:rsidRDefault="00A70DF5">
      <w:r w:rsidRPr="00A70DF5">
        <w:lastRenderedPageBreak/>
        <w:t>Spoločnosť v roku 2019 vykonala významnú opravu účtovania chýb minulých rokov a zaradila položky Samostatne hnuteľné veci a súbory hnuteľných vecí v hodnote 22 tis. EUR, Stavby v hodnote 31 tis. EUR, Drobný dlhodobý majetok v hodnote 50 tis. EUR, obstarané v predchádzajúcom účtovnom období.</w:t>
      </w:r>
    </w:p>
    <w:p w14:paraId="39EDE913" w14:textId="77777777" w:rsidR="00A70DF5" w:rsidRDefault="00A70DF5">
      <w:r w:rsidRPr="00A70DF5">
        <w:t> </w:t>
      </w:r>
      <w:r w:rsidRPr="00A70DF5">
        <w:br/>
        <w:t>Prírastky samostatných hnuteľných vecí zahŕňajú obstaranie a zaradenie nákup zariadenia do skladu za účelom zvýšenia skladových a expedičných kapacít a to mobilných terminálov v hodnote 70 tis. EUR, poloautomatických lepičiek v hodnote 35 tis. EUR, regálov v hodnote 18 tis. EUR, tlačiarní v hodnote 8 tis. EUR, ďalej obstaranie dodávky pre manipuláciu s materiálom a tovarom v hodnote 16 tis. EUR a vybavenia kancelárií v hodnote 12 tis. EUR, podľa plánu rozvoja spoločnosti a predstavujú 69% týchto prírastkov.</w:t>
      </w:r>
    </w:p>
    <w:p w14:paraId="77134981" w14:textId="77777777" w:rsidR="00A70DF5" w:rsidRDefault="00A70DF5">
      <w:pPr>
        <w:sectPr w:rsidR="00A70DF5" w:rsidSect="00A70DF5">
          <w:pgSz w:w="11907" w:h="16840"/>
          <w:pgMar w:top="1418" w:right="1418" w:bottom="992" w:left="1418" w:header="851" w:footer="680" w:gutter="0"/>
          <w:cols w:space="708" w:equalWidth="0">
            <w:col w:w="9406"/>
          </w:cols>
          <w:docGrid w:linePitch="231"/>
        </w:sectPr>
      </w:pPr>
      <w:r w:rsidRPr="00A70DF5">
        <w:t> </w:t>
      </w:r>
      <w:r w:rsidRPr="00A70DF5">
        <w:br/>
        <w:t>Prírastky v obstarávanom dlhodobom hmotnom majetku v hodnote 155 tis. EUR predstavujú väčšinou samostatne hnuteľné celky pozostávajúce z viacerých drobných majetkov obstarávaných počas roka ako vybavenie kancelárií v hodnote 44 tis. EUR, technické zhodnotenie prenajatej budovy v hodnote 17 tis. EUR, drobný dlhodobý majetok v hodnote 82 tis. EUR, obstarávané počas roka 2019 ale kapitalizované po väčších celkoch k 1.1.2020. Ďalej spoločnosť koncom roka začala s obstaraním automatizačnej dopravníkovej linky, ktorej počiatočné obstarávacie náklady predstavujú sumu 6 tis. EUR.</w:t>
      </w:r>
    </w:p>
    <w:bookmarkStart w:id="14" w:name="_heading=h.lnxbz9" w:colFirst="0" w:colLast="0"/>
    <w:bookmarkEnd w:id="14"/>
    <w:bookmarkStart w:id="15" w:name="_MON_1644847767"/>
    <w:bookmarkEnd w:id="15"/>
    <w:p w14:paraId="39F7BE45" w14:textId="77777777" w:rsidR="00BD3BFB" w:rsidRDefault="006A7C90">
      <w:r>
        <w:rPr>
          <w:color w:val="FF0000"/>
        </w:rPr>
        <w:object w:dxaOrig="13482" w:dyaOrig="6995" w14:anchorId="205EDCB7">
          <v:shape id="_x0000_i1032" type="#_x0000_t75" style="width:674.25pt;height:349.5pt" o:ole="" o:bordertopcolor="this" o:borderleftcolor="this">
            <v:imagedata r:id="rId25" o:title=""/>
            <w10:bordertop type="single" width="4"/>
            <w10:borderleft type="single" width="4"/>
          </v:shape>
          <o:OLEObject Type="Embed" ProgID="Excel.Sheet.12" ShapeID="_x0000_i1032" DrawAspect="Content" ObjectID="_1646998902" r:id="rId26"/>
        </w:object>
      </w:r>
    </w:p>
    <w:p w14:paraId="704B1FD3" w14:textId="77777777" w:rsidR="00BD3BFB" w:rsidRDefault="00BD3BFB">
      <w:pPr>
        <w:rPr>
          <w:color w:val="FF0000"/>
        </w:rPr>
      </w:pPr>
    </w:p>
    <w:p w14:paraId="0D10DBCA" w14:textId="77777777" w:rsidR="00BD3BFB" w:rsidRDefault="00BD3BFB"/>
    <w:p w14:paraId="5ACC8ADB" w14:textId="77777777" w:rsidR="00BD3BFB" w:rsidRDefault="00BD3BFB">
      <w:pPr>
        <w:sectPr w:rsidR="00BD3BFB" w:rsidSect="00A70DF5">
          <w:pgSz w:w="16840" w:h="11907" w:orient="landscape"/>
          <w:pgMar w:top="1418" w:right="1418" w:bottom="1418" w:left="992" w:header="851" w:footer="680" w:gutter="0"/>
          <w:cols w:space="708" w:equalWidth="0">
            <w:col w:w="9406"/>
          </w:cols>
          <w:docGrid w:linePitch="231"/>
        </w:sectPr>
      </w:pPr>
    </w:p>
    <w:bookmarkStart w:id="16" w:name="_heading=h.35nkun2" w:colFirst="0" w:colLast="0"/>
    <w:bookmarkEnd w:id="16"/>
    <w:bookmarkStart w:id="17" w:name="_MON_1644847214"/>
    <w:bookmarkEnd w:id="17"/>
    <w:p w14:paraId="73F7CF6B" w14:textId="77777777" w:rsidR="00BD3BFB" w:rsidRDefault="006A7C90">
      <w:pPr>
        <w:rPr>
          <w:color w:val="000000"/>
        </w:rPr>
      </w:pPr>
      <w:r>
        <w:rPr>
          <w:color w:val="000000"/>
        </w:rPr>
        <w:object w:dxaOrig="8925" w:dyaOrig="717" w14:anchorId="72461159">
          <v:shape id="_x0000_i1033" type="#_x0000_t75" style="width:447pt;height:35.25pt" o:ole="">
            <v:imagedata r:id="rId27" o:title=""/>
          </v:shape>
          <o:OLEObject Type="Embed" ProgID="Excel.Sheet.12" ShapeID="_x0000_i1033" DrawAspect="Content" ObjectID="_1646998903" r:id="rId28"/>
        </w:object>
      </w:r>
    </w:p>
    <w:p w14:paraId="04DD303D" w14:textId="77777777" w:rsidR="00BD3BFB" w:rsidRDefault="00BD3BFB">
      <w:pPr>
        <w:rPr>
          <w:color w:val="000000"/>
        </w:rPr>
      </w:pPr>
    </w:p>
    <w:p w14:paraId="34904B15" w14:textId="77777777" w:rsidR="006A7C90" w:rsidRDefault="006A7C90" w:rsidP="006A7C90">
      <w:r>
        <w:t>Dlhodobý hmotný majetok nie je predmetom žiadneho záložného práva.</w:t>
      </w:r>
    </w:p>
    <w:p w14:paraId="1E9D43F1" w14:textId="77777777" w:rsidR="006A7C90" w:rsidRDefault="006A7C90">
      <w:pPr>
        <w:rPr>
          <w:color w:val="000000"/>
        </w:rPr>
      </w:pPr>
    </w:p>
    <w:p w14:paraId="124429D4" w14:textId="77777777" w:rsidR="00BD3BFB" w:rsidRDefault="00BD3BFB">
      <w:pPr>
        <w:rPr>
          <w:color w:val="000000"/>
        </w:rPr>
      </w:pPr>
    </w:p>
    <w:p w14:paraId="5C05631C" w14:textId="77777777" w:rsidR="00BD3BFB" w:rsidRDefault="00A70DF5">
      <w:pPr>
        <w:pStyle w:val="Nadpis3"/>
        <w:numPr>
          <w:ilvl w:val="2"/>
          <w:numId w:val="16"/>
        </w:numPr>
      </w:pPr>
      <w:r>
        <w:t>Spôsob a výška poistenia dlhodobého nehmotného a hmotného majetku</w:t>
      </w:r>
    </w:p>
    <w:p w14:paraId="55B812BF" w14:textId="77777777" w:rsidR="00BD3BFB" w:rsidRDefault="00BD3BFB"/>
    <w:p w14:paraId="11B4009B" w14:textId="77777777" w:rsidR="006A7C90" w:rsidRDefault="006A7C90" w:rsidP="006A7C90">
      <w:bookmarkStart w:id="18" w:name="_heading=h.1ksv4uv" w:colFirst="0" w:colLast="0"/>
      <w:bookmarkEnd w:id="18"/>
      <w:r>
        <w:t>Dlhodobý hmotný a nehmotný majetok nie je poistený.</w:t>
      </w:r>
    </w:p>
    <w:p w14:paraId="4187FE45" w14:textId="77777777" w:rsidR="00BD3BFB" w:rsidRDefault="00BD3BFB"/>
    <w:p w14:paraId="19326D3E" w14:textId="77777777" w:rsidR="00BD3BFB" w:rsidRDefault="00A70DF5">
      <w:pPr>
        <w:pStyle w:val="Nadpis3"/>
        <w:numPr>
          <w:ilvl w:val="2"/>
          <w:numId w:val="16"/>
        </w:numPr>
      </w:pPr>
      <w:r>
        <w:t>Záložné právo a obmedzenie disponovania s dlhodobým nehmotným a hmotným majetkom</w:t>
      </w:r>
    </w:p>
    <w:p w14:paraId="3E95A4A3" w14:textId="77777777" w:rsidR="00BD3BFB" w:rsidRDefault="00BD3BFB">
      <w:pPr>
        <w:rPr>
          <w:sz w:val="15"/>
          <w:szCs w:val="15"/>
        </w:rPr>
      </w:pPr>
    </w:p>
    <w:p w14:paraId="0DD9D523" w14:textId="77777777" w:rsidR="006A7C90" w:rsidRDefault="006A7C90" w:rsidP="006A7C90">
      <w:r>
        <w:t>Na dlhodobý nehmotný a dlhodobý hmotný majetok nie je zriadené záložné právo a nie je obmedzené disponovanie s týmto majetkom.</w:t>
      </w:r>
    </w:p>
    <w:p w14:paraId="78D263F9" w14:textId="77777777" w:rsidR="00BD3BFB" w:rsidRDefault="00BD3BFB"/>
    <w:p w14:paraId="3A523381" w14:textId="77777777" w:rsidR="00BD3BFB" w:rsidRDefault="00A70DF5">
      <w:pPr>
        <w:pStyle w:val="Nadpis3"/>
        <w:numPr>
          <w:ilvl w:val="2"/>
          <w:numId w:val="16"/>
        </w:numPr>
      </w:pPr>
      <w:r>
        <w:t>Majetok vo vlastníctve iných subjektov</w:t>
      </w:r>
    </w:p>
    <w:p w14:paraId="7E8EB300" w14:textId="77777777" w:rsidR="00BD3BFB" w:rsidRDefault="00BD3BFB">
      <w:pPr>
        <w:rPr>
          <w:sz w:val="15"/>
          <w:szCs w:val="15"/>
          <w:u w:val="single"/>
        </w:rPr>
      </w:pPr>
    </w:p>
    <w:p w14:paraId="437610B8" w14:textId="77777777" w:rsidR="006A7C90" w:rsidRDefault="006A7C90" w:rsidP="006A7C90">
      <w:r w:rsidRPr="006A7C90">
        <w:t>Spoločnosť nemá náplň pre túto položku.</w:t>
      </w:r>
    </w:p>
    <w:p w14:paraId="236C374A" w14:textId="77777777" w:rsidR="00BD3BFB" w:rsidRDefault="00BD3BFB"/>
    <w:p w14:paraId="0991E090" w14:textId="77777777" w:rsidR="00BD3BFB" w:rsidRDefault="00A70DF5">
      <w:pPr>
        <w:pStyle w:val="Nadpis3"/>
        <w:numPr>
          <w:ilvl w:val="2"/>
          <w:numId w:val="16"/>
        </w:numPr>
      </w:pPr>
      <w:proofErr w:type="spellStart"/>
      <w:r>
        <w:t>Goodwill</w:t>
      </w:r>
      <w:proofErr w:type="spellEnd"/>
    </w:p>
    <w:p w14:paraId="3C609D26" w14:textId="77777777" w:rsidR="00BD3BFB" w:rsidRDefault="00BD3BFB"/>
    <w:p w14:paraId="6179946B" w14:textId="77777777" w:rsidR="00BD3BFB" w:rsidRDefault="006A7C90">
      <w:r w:rsidRPr="006A7C90">
        <w:t>Spoločnosť nemá náplň pre túto položku.</w:t>
      </w:r>
    </w:p>
    <w:p w14:paraId="764FD5C0" w14:textId="06F6441C" w:rsidR="006A7C90" w:rsidRDefault="006A7C90">
      <w:pPr>
        <w:rPr>
          <w:rFonts w:cs="Arial"/>
          <w:bCs/>
          <w:szCs w:val="26"/>
          <w:u w:val="single"/>
        </w:rPr>
      </w:pPr>
    </w:p>
    <w:p w14:paraId="6FC81A36" w14:textId="77777777" w:rsidR="00BD3BFB" w:rsidRDefault="00A70DF5">
      <w:pPr>
        <w:pStyle w:val="Nadpis3"/>
        <w:numPr>
          <w:ilvl w:val="2"/>
          <w:numId w:val="16"/>
        </w:numPr>
      </w:pPr>
      <w:r>
        <w:t>Výskumná a vývojová činnosť</w:t>
      </w:r>
    </w:p>
    <w:p w14:paraId="6AA2865F" w14:textId="77777777" w:rsidR="00BD3BFB" w:rsidRDefault="00BD3BFB">
      <w:pPr>
        <w:rPr>
          <w:u w:val="single"/>
        </w:rPr>
      </w:pPr>
    </w:p>
    <w:bookmarkStart w:id="19" w:name="_heading=h.44sinio" w:colFirst="0" w:colLast="0"/>
    <w:bookmarkEnd w:id="19"/>
    <w:bookmarkStart w:id="20" w:name="_MON_1644848353"/>
    <w:bookmarkEnd w:id="20"/>
    <w:p w14:paraId="7809D4FB" w14:textId="67CD14E6" w:rsidR="00BD3BFB" w:rsidRDefault="00ED696B">
      <w:pPr>
        <w:rPr>
          <w:u w:val="single"/>
        </w:rPr>
      </w:pPr>
      <w:r>
        <w:rPr>
          <w:u w:val="single"/>
        </w:rPr>
        <w:object w:dxaOrig="8696" w:dyaOrig="1777" w14:anchorId="05147E5E">
          <v:shape id="_x0000_i1034" type="#_x0000_t75" style="width:435pt;height:88.5pt" o:ole="">
            <v:imagedata r:id="rId29" o:title=""/>
          </v:shape>
          <o:OLEObject Type="Embed" ProgID="Excel.Sheet.12" ShapeID="_x0000_i1034" DrawAspect="Content" ObjectID="_1646998904" r:id="rId30"/>
        </w:object>
      </w:r>
    </w:p>
    <w:p w14:paraId="2C3CA5A9" w14:textId="77777777" w:rsidR="00BD3BFB" w:rsidRDefault="00BD3BFB">
      <w:pPr>
        <w:rPr>
          <w:color w:val="000000"/>
          <w:u w:val="single"/>
        </w:rPr>
      </w:pPr>
    </w:p>
    <w:p w14:paraId="2DABFD44" w14:textId="77777777" w:rsidR="0038106D" w:rsidRDefault="0038106D">
      <w:r>
        <w:t xml:space="preserve">Spoločnosť splnila nasledovné podmienky </w:t>
      </w:r>
      <w:r w:rsidR="005C48C5">
        <w:t xml:space="preserve">pre aktiváciu nákladov z dôvodu </w:t>
      </w:r>
      <w:r>
        <w:t>výskumu a</w:t>
      </w:r>
      <w:r w:rsidR="005C48C5">
        <w:t> </w:t>
      </w:r>
      <w:r>
        <w:t>vývoj</w:t>
      </w:r>
      <w:r w:rsidR="005C48C5">
        <w:t>a dlhodobého nehmotného majetku</w:t>
      </w:r>
      <w:r>
        <w:t>:</w:t>
      </w:r>
    </w:p>
    <w:p w14:paraId="3A1FEE5F" w14:textId="77777777" w:rsidR="0038106D" w:rsidRPr="0038106D" w:rsidRDefault="0038106D" w:rsidP="0038106D">
      <w:pPr>
        <w:pStyle w:val="Odsekzoznamu"/>
        <w:numPr>
          <w:ilvl w:val="0"/>
          <w:numId w:val="23"/>
        </w:numPr>
      </w:pPr>
      <w:r w:rsidRPr="0038106D">
        <w:t>možnosť jeho technického dokončenia tak, že ho bude možné používať alebo predať</w:t>
      </w:r>
      <w:r>
        <w:t>;</w:t>
      </w:r>
    </w:p>
    <w:p w14:paraId="76089617" w14:textId="77777777" w:rsidR="0038106D" w:rsidRDefault="0038106D" w:rsidP="0038106D">
      <w:pPr>
        <w:pStyle w:val="Odsekzoznamu"/>
        <w:numPr>
          <w:ilvl w:val="0"/>
          <w:numId w:val="23"/>
        </w:numPr>
      </w:pPr>
      <w:r w:rsidRPr="0038106D">
        <w:t>zámer jeho dokončenia, používania alebo predaja</w:t>
      </w:r>
      <w:r>
        <w:t>;</w:t>
      </w:r>
    </w:p>
    <w:p w14:paraId="4272D98E" w14:textId="77777777" w:rsidR="0038106D" w:rsidRPr="0038106D" w:rsidRDefault="0038106D" w:rsidP="0038106D">
      <w:pPr>
        <w:pStyle w:val="Odsekzoznamu"/>
        <w:numPr>
          <w:ilvl w:val="0"/>
          <w:numId w:val="23"/>
        </w:numPr>
      </w:pPr>
      <w:r w:rsidRPr="0038106D">
        <w:t>schopnosť účtovnej jednotky jeho používania a</w:t>
      </w:r>
      <w:r>
        <w:t> </w:t>
      </w:r>
      <w:r w:rsidRPr="0038106D">
        <w:t>predaja</w:t>
      </w:r>
      <w:r>
        <w:t>;</w:t>
      </w:r>
    </w:p>
    <w:p w14:paraId="4B10F753" w14:textId="77777777" w:rsidR="0038106D" w:rsidRPr="0038106D" w:rsidRDefault="0038106D" w:rsidP="0038106D">
      <w:pPr>
        <w:pStyle w:val="Odsekzoznamu"/>
        <w:numPr>
          <w:ilvl w:val="0"/>
          <w:numId w:val="23"/>
        </w:numPr>
      </w:pPr>
      <w:r w:rsidRPr="0038106D">
        <w:t>spôsob vytvárania budúcich ekonomických úžitkov a existenciu trhu pre výstupy dlhodobého nehmotného majetku alebo pre dlhodobý nehmotný majetok sám o sebe, alebo, ak bude používaný vo vnútri účtovnej jednotky jeho použiteľnosť</w:t>
      </w:r>
      <w:r>
        <w:t>;</w:t>
      </w:r>
    </w:p>
    <w:p w14:paraId="64ED03B7" w14:textId="77777777" w:rsidR="0038106D" w:rsidRPr="0038106D" w:rsidRDefault="0038106D" w:rsidP="0038106D">
      <w:pPr>
        <w:pStyle w:val="Odsekzoznamu"/>
        <w:numPr>
          <w:ilvl w:val="0"/>
          <w:numId w:val="23"/>
        </w:numPr>
      </w:pPr>
      <w:r w:rsidRPr="0038106D">
        <w:t>dostupnosť zodpovedajúcich technických zdrojov, finančných zdrojov a ostatných zdrojov pre dokončenie jeho vývoja, použitie alebo predaj</w:t>
      </w:r>
      <w:r>
        <w:t>;</w:t>
      </w:r>
    </w:p>
    <w:p w14:paraId="73B47824" w14:textId="77777777" w:rsidR="0038106D" w:rsidRDefault="0038106D" w:rsidP="0038106D">
      <w:pPr>
        <w:pStyle w:val="Odsekzoznamu"/>
        <w:numPr>
          <w:ilvl w:val="0"/>
          <w:numId w:val="23"/>
        </w:numPr>
      </w:pPr>
      <w:r w:rsidRPr="0038106D">
        <w:t>spoľahlivé ocenenie nákladov súvisiacich s jeho obstaraním v priebehu vývoja.</w:t>
      </w:r>
    </w:p>
    <w:p w14:paraId="6D71F629" w14:textId="77777777" w:rsidR="0038106D" w:rsidRDefault="0038106D"/>
    <w:p w14:paraId="47FD711D" w14:textId="77777777" w:rsidR="0038106D" w:rsidRDefault="0038106D">
      <w:r>
        <w:t>Ako o výskumných a vývojových činnostiach Spoločnosť účtovala a aktivovala nasledovné náklady:</w:t>
      </w:r>
    </w:p>
    <w:p w14:paraId="60E946DE" w14:textId="77777777" w:rsidR="005C48C5" w:rsidRDefault="005C48C5"/>
    <w:p w14:paraId="70508A9D" w14:textId="77777777" w:rsidR="0038106D" w:rsidRDefault="0038106D">
      <w:r>
        <w:t>I</w:t>
      </w:r>
      <w:r w:rsidRPr="00A70DF5">
        <w:t>nterný vývoj softwarov ako</w:t>
      </w:r>
      <w:r>
        <w:t>:</w:t>
      </w:r>
    </w:p>
    <w:p w14:paraId="5CE28C50" w14:textId="77777777" w:rsidR="0038106D" w:rsidRDefault="0038106D">
      <w:r w:rsidRPr="00A70DF5">
        <w:t>WMS</w:t>
      </w:r>
      <w:r w:rsidR="005C48C5">
        <w:t xml:space="preserve"> v hodnote 148 592 EUR;</w:t>
      </w:r>
    </w:p>
    <w:p w14:paraId="7A2DCCD3" w14:textId="77777777" w:rsidR="0038106D" w:rsidRDefault="0038106D">
      <w:r w:rsidRPr="00A70DF5">
        <w:t>API Integrácií</w:t>
      </w:r>
      <w:r w:rsidR="005C48C5">
        <w:t xml:space="preserve"> v hodnote 16 510 EUR;</w:t>
      </w:r>
    </w:p>
    <w:p w14:paraId="4A17ACD8" w14:textId="77777777" w:rsidR="005C48C5" w:rsidRDefault="0038106D" w:rsidP="005C48C5">
      <w:proofErr w:type="spellStart"/>
      <w:r w:rsidRPr="00A70DF5">
        <w:t>Magento</w:t>
      </w:r>
      <w:proofErr w:type="spellEnd"/>
      <w:r w:rsidR="005C48C5" w:rsidRPr="005C48C5">
        <w:t xml:space="preserve"> </w:t>
      </w:r>
      <w:r w:rsidR="005C48C5">
        <w:t>v hodnote 148 510 EUR;</w:t>
      </w:r>
    </w:p>
    <w:p w14:paraId="094EAD6B" w14:textId="77777777" w:rsidR="005C48C5" w:rsidRDefault="0038106D" w:rsidP="005C48C5">
      <w:proofErr w:type="spellStart"/>
      <w:r w:rsidRPr="00A70DF5">
        <w:t>Keboola</w:t>
      </w:r>
      <w:proofErr w:type="spellEnd"/>
      <w:r w:rsidR="005C48C5">
        <w:t xml:space="preserve"> v hodnote 58 536 EUR;</w:t>
      </w:r>
    </w:p>
    <w:p w14:paraId="2A5F9845" w14:textId="77777777" w:rsidR="005C48C5" w:rsidRDefault="0038106D" w:rsidP="005C48C5">
      <w:proofErr w:type="spellStart"/>
      <w:r w:rsidRPr="00A70DF5">
        <w:t>GoodData</w:t>
      </w:r>
      <w:proofErr w:type="spellEnd"/>
      <w:r w:rsidR="005C48C5">
        <w:t xml:space="preserve"> v hodnote 58 536 EUR.</w:t>
      </w:r>
    </w:p>
    <w:p w14:paraId="306163F6" w14:textId="77777777" w:rsidR="0038106D" w:rsidRDefault="0038106D"/>
    <w:p w14:paraId="2344A67E" w14:textId="77777777" w:rsidR="0038106D" w:rsidRDefault="0038106D">
      <w:r>
        <w:t xml:space="preserve">Interný </w:t>
      </w:r>
      <w:r w:rsidRPr="00A70DF5">
        <w:t>vývoj nových vlastných produktov</w:t>
      </w:r>
      <w:r w:rsidR="005C48C5">
        <w:t xml:space="preserve"> v hodnote 27 452 EUR.</w:t>
      </w:r>
    </w:p>
    <w:p w14:paraId="1BB3E640" w14:textId="77777777" w:rsidR="005C48C5" w:rsidRDefault="005C48C5"/>
    <w:p w14:paraId="5F94DABF" w14:textId="77777777" w:rsidR="00513128" w:rsidRDefault="00513128" w:rsidP="003B7511"/>
    <w:p w14:paraId="6C98C5BF" w14:textId="77777777" w:rsidR="00513128" w:rsidRDefault="00513128" w:rsidP="003B7511"/>
    <w:p w14:paraId="3BE733F6" w14:textId="77777777" w:rsidR="00513128" w:rsidRDefault="00513128" w:rsidP="003B7511"/>
    <w:p w14:paraId="2FC13CB5" w14:textId="77777777" w:rsidR="00513128" w:rsidRDefault="00513128" w:rsidP="003B7511">
      <w:pPr>
        <w:sectPr w:rsidR="00513128">
          <w:pgSz w:w="11907" w:h="16840"/>
          <w:pgMar w:top="1418" w:right="1418" w:bottom="992" w:left="1418" w:header="851" w:footer="680" w:gutter="0"/>
          <w:cols w:space="708" w:equalWidth="0">
            <w:col w:w="9406"/>
          </w:cols>
        </w:sectPr>
      </w:pPr>
    </w:p>
    <w:p w14:paraId="2342CB84" w14:textId="77777777" w:rsidR="00BD3BFB" w:rsidRDefault="00A70DF5">
      <w:pPr>
        <w:pStyle w:val="Nadpis2"/>
        <w:numPr>
          <w:ilvl w:val="1"/>
          <w:numId w:val="16"/>
        </w:numPr>
      </w:pPr>
      <w:r>
        <w:lastRenderedPageBreak/>
        <w:t>Dlhodobý finančný majetok (r. 021 súvahy)</w:t>
      </w:r>
    </w:p>
    <w:p w14:paraId="54863FAC" w14:textId="77777777" w:rsidR="00BD3BFB" w:rsidRDefault="00BD3BFB">
      <w:pPr>
        <w:rPr>
          <w:u w:val="single"/>
        </w:rPr>
      </w:pPr>
    </w:p>
    <w:p w14:paraId="3D459695" w14:textId="77777777" w:rsidR="00BD3BFB" w:rsidRDefault="00A70DF5">
      <w:pPr>
        <w:pStyle w:val="Nadpis3"/>
        <w:numPr>
          <w:ilvl w:val="2"/>
          <w:numId w:val="16"/>
        </w:numPr>
      </w:pPr>
      <w:r>
        <w:t>Pohyby na účtoch dlhodobého finančného majetku</w:t>
      </w:r>
    </w:p>
    <w:p w14:paraId="31AE9797" w14:textId="77777777" w:rsidR="00BD3BFB" w:rsidRDefault="00BD3BFB"/>
    <w:bookmarkStart w:id="21" w:name="_heading=h.2jxsxqh" w:colFirst="0" w:colLast="0"/>
    <w:bookmarkEnd w:id="21"/>
    <w:bookmarkStart w:id="22" w:name="_MON_1644910168"/>
    <w:bookmarkEnd w:id="22"/>
    <w:p w14:paraId="11FA3DF2" w14:textId="77777777" w:rsidR="00BD3BFB" w:rsidRDefault="00687555">
      <w:r>
        <w:object w:dxaOrig="13972" w:dyaOrig="5491" w14:anchorId="7E409983">
          <v:shape id="_x0000_i1035" type="#_x0000_t75" style="width:698.25pt;height:274.5pt" o:ole="" o:bordertopcolor="this" o:borderleftcolor="this">
            <v:imagedata r:id="rId31" o:title=""/>
            <w10:bordertop type="single" width="4"/>
            <w10:borderleft type="single" width="4"/>
          </v:shape>
          <o:OLEObject Type="Embed" ProgID="Excel.Sheet.12" ShapeID="_x0000_i1035" DrawAspect="Content" ObjectID="_1646998905" r:id="rId32"/>
        </w:object>
      </w:r>
    </w:p>
    <w:p w14:paraId="48272855" w14:textId="77777777" w:rsidR="00BD3BFB" w:rsidRDefault="00BD3BFB"/>
    <w:p w14:paraId="2143204B" w14:textId="77777777" w:rsidR="00BD3BFB" w:rsidRDefault="003B7511">
      <w:r>
        <w:t xml:space="preserve">Spoločnosť počas roka 2019 založila dve dcérske spoločnosti </w:t>
      </w:r>
      <w:r w:rsidR="00F1157D">
        <w:t xml:space="preserve">so 100% podielom </w:t>
      </w:r>
      <w:r>
        <w:t>v Ukrajine a Maďarsku a stálu prevádzkareň v Chorvátsku.</w:t>
      </w:r>
    </w:p>
    <w:p w14:paraId="273AA7CD" w14:textId="77777777" w:rsidR="003B7511" w:rsidRDefault="003B7511"/>
    <w:p w14:paraId="1044330D" w14:textId="77777777" w:rsidR="003B7511" w:rsidRDefault="003B7511">
      <w:r>
        <w:t>Ukrajina: GYMBEAM UKRAINE LLC</w:t>
      </w:r>
      <w:r w:rsidR="00CC0D82">
        <w:t xml:space="preserve"> so základným imaním vo výške 30 900 UAH bola založená 22. marca 2019.</w:t>
      </w:r>
    </w:p>
    <w:p w14:paraId="23672974" w14:textId="77777777" w:rsidR="00BD3BFB" w:rsidRDefault="003B7511">
      <w:r>
        <w:lastRenderedPageBreak/>
        <w:t xml:space="preserve">Maďarsko: </w:t>
      </w:r>
      <w:proofErr w:type="spellStart"/>
      <w:r>
        <w:t>GymBeam</w:t>
      </w:r>
      <w:proofErr w:type="spellEnd"/>
      <w:r>
        <w:t xml:space="preserve"> </w:t>
      </w:r>
      <w:proofErr w:type="spellStart"/>
      <w:r>
        <w:t>Hungary</w:t>
      </w:r>
      <w:proofErr w:type="spellEnd"/>
      <w:r>
        <w:t xml:space="preserve"> </w:t>
      </w:r>
      <w:proofErr w:type="spellStart"/>
      <w:r>
        <w:t>Kft</w:t>
      </w:r>
      <w:proofErr w:type="spellEnd"/>
      <w:r>
        <w:t>. so základným imaním vo výške 3 000 000 HUF bola založená 18. decembra 2019</w:t>
      </w:r>
      <w:r w:rsidR="00CC0D82">
        <w:t>.</w:t>
      </w:r>
    </w:p>
    <w:p w14:paraId="47AE15AA" w14:textId="77777777" w:rsidR="00CC0D82" w:rsidRDefault="00CC0D82"/>
    <w:p w14:paraId="7C820261" w14:textId="77777777" w:rsidR="00CC0D82" w:rsidRDefault="00CC0D82">
      <w:r w:rsidRPr="004A3361">
        <w:t xml:space="preserve">Chorvátsko: </w:t>
      </w:r>
      <w:proofErr w:type="spellStart"/>
      <w:r w:rsidR="00F1157D" w:rsidRPr="004A3361">
        <w:t>GymBeam</w:t>
      </w:r>
      <w:proofErr w:type="spellEnd"/>
      <w:r w:rsidR="00F1157D" w:rsidRPr="004A3361">
        <w:t xml:space="preserve"> </w:t>
      </w:r>
      <w:proofErr w:type="spellStart"/>
      <w:r w:rsidR="00F1157D" w:rsidRPr="004A3361">
        <w:t>s.r.o</w:t>
      </w:r>
      <w:proofErr w:type="spellEnd"/>
      <w:r w:rsidR="00F1157D" w:rsidRPr="004A3361">
        <w:t xml:space="preserve">. – </w:t>
      </w:r>
      <w:proofErr w:type="spellStart"/>
      <w:r w:rsidR="00F1157D" w:rsidRPr="004A3361">
        <w:t>Podružnica</w:t>
      </w:r>
      <w:proofErr w:type="spellEnd"/>
      <w:r w:rsidR="00F1157D" w:rsidRPr="004A3361">
        <w:t xml:space="preserve"> </w:t>
      </w:r>
      <w:proofErr w:type="spellStart"/>
      <w:r w:rsidR="00F1157D" w:rsidRPr="004A3361">
        <w:t>Zagreb</w:t>
      </w:r>
      <w:proofErr w:type="spellEnd"/>
      <w:r w:rsidR="00F1157D" w:rsidRPr="004A3361">
        <w:t xml:space="preserve"> so základným imaním vo výške 5 000 EUR bola založená 12. decembra 2019.</w:t>
      </w:r>
    </w:p>
    <w:p w14:paraId="22A24B76" w14:textId="77777777" w:rsidR="00BD3BFB" w:rsidRDefault="00BD3BFB"/>
    <w:p w14:paraId="4735AA09" w14:textId="77777777" w:rsidR="00BD3BFB" w:rsidRDefault="00BD3BFB"/>
    <w:bookmarkStart w:id="23" w:name="_heading=h.z337ya" w:colFirst="0" w:colLast="0"/>
    <w:bookmarkEnd w:id="23"/>
    <w:p w14:paraId="70C8EFA3" w14:textId="77777777" w:rsidR="00BD3BFB" w:rsidRDefault="00F1157D">
      <w:r>
        <w:object w:dxaOrig="13972" w:dyaOrig="5491" w14:anchorId="0F4E2DBB">
          <v:shape id="_x0000_i1036" type="#_x0000_t75" style="width:698.25pt;height:274.5pt" o:ole="" o:bordertopcolor="this" o:borderleftcolor="this">
            <v:imagedata r:id="rId33" o:title=""/>
            <w10:bordertop type="single" width="4"/>
            <w10:borderleft type="single" width="4"/>
          </v:shape>
          <o:OLEObject Type="Embed" ProgID="Excel.Sheet.12" ShapeID="_x0000_i1036" DrawAspect="Content" ObjectID="_1646998906" r:id="rId34"/>
        </w:object>
      </w:r>
    </w:p>
    <w:p w14:paraId="679E2E48" w14:textId="77777777" w:rsidR="00BD3BFB" w:rsidRDefault="00BD3BFB"/>
    <w:p w14:paraId="3A6279EA" w14:textId="77777777" w:rsidR="00BD3BFB" w:rsidRDefault="00BD3BFB"/>
    <w:p w14:paraId="6EEBE637" w14:textId="77777777" w:rsidR="00BD3BFB" w:rsidRDefault="00BD3BFB"/>
    <w:p w14:paraId="6AEBAE82" w14:textId="77777777" w:rsidR="00BD3BFB" w:rsidRDefault="00BD3BFB">
      <w:pPr>
        <w:pBdr>
          <w:top w:val="nil"/>
          <w:left w:val="nil"/>
          <w:bottom w:val="nil"/>
          <w:right w:val="nil"/>
          <w:between w:val="nil"/>
        </w:pBdr>
        <w:tabs>
          <w:tab w:val="center" w:pos="4703"/>
          <w:tab w:val="right" w:pos="9406"/>
        </w:tabs>
        <w:rPr>
          <w:color w:val="000000"/>
        </w:rPr>
        <w:sectPr w:rsidR="00BD3BFB" w:rsidSect="003B7511">
          <w:pgSz w:w="16840" w:h="11907" w:orient="landscape"/>
          <w:pgMar w:top="1418" w:right="1418" w:bottom="1418" w:left="992" w:header="851" w:footer="680" w:gutter="0"/>
          <w:cols w:space="708" w:equalWidth="0">
            <w:col w:w="9406"/>
          </w:cols>
          <w:docGrid w:linePitch="231"/>
        </w:sectPr>
      </w:pPr>
    </w:p>
    <w:bookmarkStart w:id="24" w:name="_heading=h.3j2qqm3" w:colFirst="0" w:colLast="0"/>
    <w:bookmarkEnd w:id="24"/>
    <w:bookmarkStart w:id="25" w:name="_MON_1644911706"/>
    <w:bookmarkEnd w:id="25"/>
    <w:p w14:paraId="6E92AC08" w14:textId="77777777" w:rsidR="00BD3BFB" w:rsidRDefault="00F1157D" w:rsidP="00F1157D">
      <w:pPr>
        <w:pStyle w:val="Nadpis3"/>
        <w:numPr>
          <w:ilvl w:val="0"/>
          <w:numId w:val="0"/>
        </w:numPr>
      </w:pPr>
      <w:r>
        <w:object w:dxaOrig="9261" w:dyaOrig="717" w14:anchorId="453D0B37">
          <v:shape id="_x0000_i1037" type="#_x0000_t75" style="width:462.75pt;height:36.75pt" o:ole="">
            <v:imagedata r:id="rId35" o:title=""/>
          </v:shape>
          <o:OLEObject Type="Embed" ProgID="Excel.Sheet.12" ShapeID="_x0000_i1037" DrawAspect="Content" ObjectID="_1646998907" r:id="rId36"/>
        </w:object>
      </w:r>
    </w:p>
    <w:p w14:paraId="0BDEA406" w14:textId="77777777" w:rsidR="00BD3BFB" w:rsidRDefault="00BD3BFB"/>
    <w:p w14:paraId="77472A0E" w14:textId="77777777" w:rsidR="00BD3BFB" w:rsidRDefault="00A70DF5">
      <w:pPr>
        <w:pStyle w:val="Nadpis3"/>
        <w:numPr>
          <w:ilvl w:val="2"/>
          <w:numId w:val="16"/>
        </w:numPr>
      </w:pPr>
      <w:r>
        <w:t xml:space="preserve">Štruktúra dlhodobého finančného majetku </w:t>
      </w:r>
    </w:p>
    <w:p w14:paraId="00255DEA" w14:textId="77777777" w:rsidR="00BD3BFB" w:rsidRDefault="00BD3BFB">
      <w:pPr>
        <w:rPr>
          <w:i/>
          <w:color w:val="FF0000"/>
        </w:rPr>
      </w:pPr>
    </w:p>
    <w:bookmarkStart w:id="26" w:name="_heading=h.1y810tw" w:colFirst="0" w:colLast="0"/>
    <w:bookmarkEnd w:id="26"/>
    <w:bookmarkStart w:id="27" w:name="_MON_1644911890"/>
    <w:bookmarkEnd w:id="27"/>
    <w:p w14:paraId="3490932E" w14:textId="77777777" w:rsidR="00BD3BFB" w:rsidRDefault="00687555">
      <w:pPr>
        <w:ind w:left="-85"/>
      </w:pPr>
      <w:r>
        <w:object w:dxaOrig="9398" w:dyaOrig="3582" w14:anchorId="51E4243B">
          <v:shape id="_x0000_i1038" type="#_x0000_t75" style="width:470.25pt;height:179.25pt" o:ole="" o:bordertopcolor="this" o:borderleftcolor="this">
            <v:imagedata r:id="rId37" o:title=""/>
            <w10:bordertop type="single" width="4"/>
            <w10:borderleft type="single" width="4"/>
          </v:shape>
          <o:OLEObject Type="Embed" ProgID="Excel.Sheet.12" ShapeID="_x0000_i1038" DrawAspect="Content" ObjectID="_1646998908" r:id="rId38"/>
        </w:object>
      </w:r>
    </w:p>
    <w:p w14:paraId="296B15E5" w14:textId="77777777" w:rsidR="00687555" w:rsidRDefault="00687555">
      <w:pPr>
        <w:ind w:left="-85"/>
      </w:pPr>
    </w:p>
    <w:bookmarkStart w:id="28" w:name="_heading=h.4i7ojhp" w:colFirst="0" w:colLast="0"/>
    <w:bookmarkEnd w:id="28"/>
    <w:bookmarkStart w:id="29" w:name="_MON_1644915298"/>
    <w:bookmarkEnd w:id="29"/>
    <w:p w14:paraId="0C33AD50" w14:textId="77777777" w:rsidR="00BD3BFB" w:rsidRDefault="00687555">
      <w:pPr>
        <w:ind w:left="-85"/>
        <w:rPr>
          <w:i/>
          <w:color w:val="FF0000"/>
        </w:rPr>
      </w:pPr>
      <w:r>
        <w:object w:dxaOrig="9444" w:dyaOrig="2451" w14:anchorId="384ED0D0">
          <v:shape id="_x0000_i1039" type="#_x0000_t75" style="width:472.5pt;height:122.25pt" o:ole="" o:bordertopcolor="this" o:borderleftcolor="this">
            <v:imagedata r:id="rId39" o:title=""/>
            <w10:bordertop type="single" width="4"/>
            <w10:borderleft type="single" width="4"/>
          </v:shape>
          <o:OLEObject Type="Embed" ProgID="Excel.Sheet.12" ShapeID="_x0000_i1039" DrawAspect="Content" ObjectID="_1646998909" r:id="rId40"/>
        </w:object>
      </w:r>
    </w:p>
    <w:p w14:paraId="358C959A" w14:textId="77777777" w:rsidR="00687555" w:rsidRDefault="00687555"/>
    <w:p w14:paraId="6D540FFB" w14:textId="77777777" w:rsidR="00BD3BFB" w:rsidRDefault="00A70DF5">
      <w:r>
        <w:t xml:space="preserve">Podiely na základnom imaní v dcérskych spoločnostiach a spoločnostiach s podstatným vplyvom sa oceňujú v obstarávacej cene upravenej </w:t>
      </w:r>
      <w:r w:rsidR="00687555">
        <w:t xml:space="preserve">vytvorením opravnej položky pre rok 2019 </w:t>
      </w:r>
      <w:r>
        <w:t xml:space="preserve">vo výške </w:t>
      </w:r>
      <w:r w:rsidR="00687555">
        <w:t>0</w:t>
      </w:r>
      <w:r>
        <w:t xml:space="preserve"> EUR.</w:t>
      </w:r>
    </w:p>
    <w:p w14:paraId="4CF6049F" w14:textId="77777777" w:rsidR="00BD3BFB" w:rsidRDefault="00BD3BFB">
      <w:pPr>
        <w:rPr>
          <w:i/>
          <w:color w:val="FF0000"/>
        </w:rPr>
      </w:pPr>
    </w:p>
    <w:p w14:paraId="151C2C18" w14:textId="77777777" w:rsidR="00BD3BFB" w:rsidRDefault="00A70DF5">
      <w:pPr>
        <w:pStyle w:val="Nadpis4"/>
        <w:numPr>
          <w:ilvl w:val="3"/>
          <w:numId w:val="16"/>
        </w:numPr>
      </w:pPr>
      <w:r>
        <w:t>Dlhové cenné papiere držané do splatnosti</w:t>
      </w:r>
    </w:p>
    <w:p w14:paraId="74D45082" w14:textId="77777777" w:rsidR="00BD3BFB" w:rsidRDefault="00BD3BFB"/>
    <w:p w14:paraId="1021897C" w14:textId="77777777" w:rsidR="00F92431" w:rsidRDefault="00F92431" w:rsidP="00F92431">
      <w:bookmarkStart w:id="30" w:name="_heading=h.1ci93xb" w:colFirst="0" w:colLast="0"/>
      <w:bookmarkEnd w:id="30"/>
      <w:r w:rsidRPr="006A7C90">
        <w:t>Spoločnosť nemá náplň pre túto položku.</w:t>
      </w:r>
    </w:p>
    <w:p w14:paraId="71A41011" w14:textId="77777777" w:rsidR="00BD3BFB" w:rsidRDefault="00BD3BFB"/>
    <w:p w14:paraId="3E095AF4" w14:textId="77777777" w:rsidR="00BD3BFB" w:rsidRDefault="00A70DF5">
      <w:pPr>
        <w:pStyle w:val="Nadpis3"/>
        <w:numPr>
          <w:ilvl w:val="2"/>
          <w:numId w:val="16"/>
        </w:numPr>
      </w:pPr>
      <w:r>
        <w:t>Poskytnuté dlhodobé pôžičky</w:t>
      </w:r>
    </w:p>
    <w:p w14:paraId="07F3295F" w14:textId="77777777" w:rsidR="00BD3BFB" w:rsidRDefault="00BD3BFB"/>
    <w:p w14:paraId="1686D61D" w14:textId="77777777" w:rsidR="00F92431" w:rsidRDefault="00F92431" w:rsidP="00F92431">
      <w:r w:rsidRPr="006A7C90">
        <w:t>Spoločnosť nemá náplň pre túto položku.</w:t>
      </w:r>
    </w:p>
    <w:p w14:paraId="4DD0DDA4" w14:textId="77777777" w:rsidR="00F92431" w:rsidRDefault="00F92431"/>
    <w:p w14:paraId="60D3C4E0" w14:textId="77777777" w:rsidR="00BD3BFB" w:rsidRDefault="00BD3BFB">
      <w:bookmarkStart w:id="31" w:name="_heading=h.3whwml4" w:colFirst="0" w:colLast="0"/>
      <w:bookmarkEnd w:id="31"/>
    </w:p>
    <w:p w14:paraId="3734BF95" w14:textId="77777777" w:rsidR="00BD3BFB" w:rsidRDefault="00BD3BFB"/>
    <w:p w14:paraId="7DA69AC8" w14:textId="77777777" w:rsidR="00BD3BFB" w:rsidRDefault="00BD3BFB">
      <w:pPr>
        <w:rPr>
          <w:sz w:val="20"/>
          <w:szCs w:val="20"/>
        </w:rPr>
      </w:pPr>
    </w:p>
    <w:p w14:paraId="7B8CDAD2" w14:textId="77777777" w:rsidR="00BD3BFB" w:rsidRDefault="00BD3BFB">
      <w:pPr>
        <w:pBdr>
          <w:top w:val="nil"/>
          <w:left w:val="nil"/>
          <w:bottom w:val="nil"/>
          <w:right w:val="nil"/>
          <w:between w:val="nil"/>
        </w:pBdr>
        <w:tabs>
          <w:tab w:val="center" w:pos="4703"/>
          <w:tab w:val="right" w:pos="9406"/>
        </w:tabs>
        <w:rPr>
          <w:color w:val="000000"/>
        </w:rPr>
        <w:sectPr w:rsidR="00BD3BFB">
          <w:pgSz w:w="11907" w:h="16840"/>
          <w:pgMar w:top="1418" w:right="992" w:bottom="1418" w:left="1418" w:header="851" w:footer="680" w:gutter="0"/>
          <w:cols w:space="708" w:equalWidth="0">
            <w:col w:w="9406"/>
          </w:cols>
        </w:sectPr>
      </w:pPr>
    </w:p>
    <w:p w14:paraId="65B3A758" w14:textId="77777777" w:rsidR="00BD3BFB" w:rsidRDefault="00A70DF5">
      <w:pPr>
        <w:pStyle w:val="Nadpis2"/>
        <w:numPr>
          <w:ilvl w:val="1"/>
          <w:numId w:val="16"/>
        </w:numPr>
      </w:pPr>
      <w:r>
        <w:lastRenderedPageBreak/>
        <w:t xml:space="preserve">Zásoby (r. 031 súvahy) </w:t>
      </w:r>
    </w:p>
    <w:p w14:paraId="3827BAF4" w14:textId="77777777" w:rsidR="00BD3BFB" w:rsidRDefault="00BD3BFB">
      <w:pPr>
        <w:rPr>
          <w:u w:val="single"/>
        </w:rPr>
      </w:pPr>
    </w:p>
    <w:p w14:paraId="673BF044" w14:textId="77777777" w:rsidR="00BD3BFB" w:rsidRDefault="00A70DF5">
      <w:pPr>
        <w:pStyle w:val="Nadpis3"/>
        <w:numPr>
          <w:ilvl w:val="2"/>
          <w:numId w:val="16"/>
        </w:numPr>
      </w:pPr>
      <w:r>
        <w:t>Prehľad o opravných položkách podľa jednotlivých súvahových položiek</w:t>
      </w:r>
    </w:p>
    <w:p w14:paraId="017D4171" w14:textId="77777777" w:rsidR="00BD3BFB" w:rsidRDefault="00BD3BFB">
      <w:pPr>
        <w:rPr>
          <w:highlight w:val="yellow"/>
        </w:rPr>
      </w:pPr>
    </w:p>
    <w:p w14:paraId="3D442C45" w14:textId="77777777" w:rsidR="00BD3BFB" w:rsidRDefault="00A70DF5">
      <w:bookmarkStart w:id="32" w:name="_heading=h.2bn6wsx" w:colFirst="0" w:colLast="0"/>
      <w:bookmarkEnd w:id="32"/>
      <w:r>
        <w:t xml:space="preserve">V zásobách sa </w:t>
      </w:r>
      <w:r w:rsidR="00F92431">
        <w:t>môžu vyskytovať</w:t>
      </w:r>
      <w:r>
        <w:t xml:space="preserve"> nadhodnotené položky, na ktoré je </w:t>
      </w:r>
      <w:r w:rsidR="00F92431">
        <w:t xml:space="preserve">potrebné tvoriť </w:t>
      </w:r>
      <w:r>
        <w:t>opravn</w:t>
      </w:r>
      <w:r w:rsidR="00F92431">
        <w:t>ú</w:t>
      </w:r>
      <w:r>
        <w:t xml:space="preserve"> položk</w:t>
      </w:r>
      <w:r w:rsidR="00F92431">
        <w:t>u</w:t>
      </w:r>
      <w:r>
        <w:t>:</w:t>
      </w:r>
    </w:p>
    <w:p w14:paraId="7B6330F3" w14:textId="77777777" w:rsidR="00BD3BFB" w:rsidRDefault="00A70DF5">
      <w:pPr>
        <w:numPr>
          <w:ilvl w:val="0"/>
          <w:numId w:val="14"/>
        </w:numPr>
        <w:ind w:left="360" w:hanging="360"/>
      </w:pPr>
      <w:r>
        <w:t xml:space="preserve">z dôvodov ocenenia trhovou cenou, ktorá je nižšia než sumy v účtovníctve </w:t>
      </w:r>
      <w:r w:rsidR="00F92431">
        <w:t>Spoločnosť netvorila opravnú položku;</w:t>
      </w:r>
    </w:p>
    <w:p w14:paraId="2759D66F" w14:textId="77777777" w:rsidR="00BD3BFB" w:rsidRDefault="00A70DF5">
      <w:pPr>
        <w:numPr>
          <w:ilvl w:val="0"/>
          <w:numId w:val="14"/>
        </w:numPr>
        <w:ind w:left="360" w:hanging="360"/>
      </w:pPr>
      <w:r>
        <w:t xml:space="preserve">z dôvodov ocenenia pomaly </w:t>
      </w:r>
      <w:proofErr w:type="spellStart"/>
      <w:r>
        <w:t>obrátkových</w:t>
      </w:r>
      <w:proofErr w:type="spellEnd"/>
      <w:r>
        <w:t xml:space="preserve"> zásob </w:t>
      </w:r>
      <w:r w:rsidR="00F92431">
        <w:t>Spoločnosť netvorila opravnú položku.</w:t>
      </w:r>
    </w:p>
    <w:p w14:paraId="3C84396A" w14:textId="77777777" w:rsidR="00BD3BFB" w:rsidRDefault="00BD3BFB">
      <w:pPr>
        <w:rPr>
          <w:color w:val="000000"/>
        </w:rPr>
      </w:pPr>
    </w:p>
    <w:p w14:paraId="379B7039" w14:textId="77777777" w:rsidR="00BD3BFB" w:rsidRDefault="00A70DF5">
      <w:pPr>
        <w:pStyle w:val="Nadpis3"/>
        <w:numPr>
          <w:ilvl w:val="2"/>
          <w:numId w:val="16"/>
        </w:numPr>
      </w:pPr>
      <w:r>
        <w:t>Nehnuteľnosť na predaj</w:t>
      </w:r>
    </w:p>
    <w:p w14:paraId="612D16F1" w14:textId="77777777" w:rsidR="00BD3BFB" w:rsidRDefault="00BD3BFB">
      <w:pPr>
        <w:rPr>
          <w:color w:val="000000"/>
        </w:rPr>
      </w:pPr>
    </w:p>
    <w:p w14:paraId="19D60C65" w14:textId="77777777" w:rsidR="00F92431" w:rsidRDefault="00F92431" w:rsidP="00F92431">
      <w:bookmarkStart w:id="33" w:name="_heading=h.qsh70q" w:colFirst="0" w:colLast="0"/>
      <w:bookmarkEnd w:id="33"/>
      <w:r w:rsidRPr="006A7C90">
        <w:t>Spoločnosť nemá náplň pre túto položku.</w:t>
      </w:r>
    </w:p>
    <w:p w14:paraId="43A6474C" w14:textId="77777777" w:rsidR="00BD3BFB" w:rsidRDefault="00BD3BFB">
      <w:pPr>
        <w:rPr>
          <w:color w:val="000000"/>
        </w:rPr>
      </w:pPr>
    </w:p>
    <w:p w14:paraId="5D0A08D2" w14:textId="77777777" w:rsidR="00BD3BFB" w:rsidRDefault="00A70DF5">
      <w:pPr>
        <w:pStyle w:val="Nadpis3"/>
        <w:numPr>
          <w:ilvl w:val="2"/>
          <w:numId w:val="16"/>
        </w:numPr>
      </w:pPr>
      <w:r>
        <w:t>Záložné právo a obmedzené disponovanie so zásobami</w:t>
      </w:r>
    </w:p>
    <w:p w14:paraId="650154CD" w14:textId="77777777" w:rsidR="00BD3BFB" w:rsidRDefault="00BD3BFB"/>
    <w:bookmarkStart w:id="34" w:name="_heading=h.3as4poj" w:colFirst="0" w:colLast="0"/>
    <w:bookmarkEnd w:id="34"/>
    <w:bookmarkStart w:id="35" w:name="_MON_1644921727"/>
    <w:bookmarkEnd w:id="35"/>
    <w:p w14:paraId="7F1F279E" w14:textId="77777777" w:rsidR="00BD3BFB" w:rsidRDefault="005F1FE2">
      <w:r>
        <w:object w:dxaOrig="9086" w:dyaOrig="613" w14:anchorId="42AD8C2F">
          <v:shape id="_x0000_i1040" type="#_x0000_t75" style="width:454.5pt;height:30.75pt" o:ole="">
            <v:imagedata r:id="rId41" o:title=""/>
          </v:shape>
          <o:OLEObject Type="Embed" ProgID="Excel.Sheet.12" ShapeID="_x0000_i1040" DrawAspect="Content" ObjectID="_1646998910" r:id="rId42"/>
        </w:object>
      </w:r>
    </w:p>
    <w:p w14:paraId="693FCEDC" w14:textId="77777777" w:rsidR="00BD3BFB" w:rsidRDefault="00BD3BFB"/>
    <w:p w14:paraId="4FEFAE81" w14:textId="77777777" w:rsidR="00BD3BFB" w:rsidRDefault="00A70DF5">
      <w:r>
        <w:t xml:space="preserve">V súvislosti s čerpaním úveru bolo v prospech banky </w:t>
      </w:r>
      <w:r w:rsidR="005F1FE2">
        <w:t>Československá obchodná banka</w:t>
      </w:r>
      <w:r>
        <w:t xml:space="preserve">, zriadené záložné právo na zásoby v celkovej výške </w:t>
      </w:r>
      <w:r w:rsidR="005F1FE2">
        <w:t>350 000</w:t>
      </w:r>
      <w:r>
        <w:t xml:space="preserve"> EUR (31. decembra 201</w:t>
      </w:r>
      <w:r w:rsidR="005F1FE2">
        <w:t>9</w:t>
      </w:r>
      <w:r>
        <w:t xml:space="preserve">: </w:t>
      </w:r>
      <w:r w:rsidR="005F1FE2">
        <w:t>350 000</w:t>
      </w:r>
      <w:r>
        <w:t xml:space="preserve"> EUR).</w:t>
      </w:r>
    </w:p>
    <w:p w14:paraId="390669E0" w14:textId="77777777" w:rsidR="00BD3BFB" w:rsidRDefault="00BD3BFB">
      <w:pPr>
        <w:rPr>
          <w:u w:val="single"/>
        </w:rPr>
      </w:pPr>
    </w:p>
    <w:p w14:paraId="46187624" w14:textId="77777777" w:rsidR="00BD3BFB" w:rsidRDefault="00BD3BFB">
      <w:pPr>
        <w:rPr>
          <w:u w:val="single"/>
        </w:rPr>
      </w:pPr>
    </w:p>
    <w:p w14:paraId="33790CA9" w14:textId="77777777" w:rsidR="00BD3BFB" w:rsidRDefault="00A70DF5">
      <w:pPr>
        <w:pStyle w:val="Nadpis3"/>
        <w:numPr>
          <w:ilvl w:val="2"/>
          <w:numId w:val="16"/>
        </w:numPr>
      </w:pPr>
      <w:r>
        <w:t>Zákazková výroba a zákazková výstavba nehnuteľností určených na predaj</w:t>
      </w:r>
    </w:p>
    <w:p w14:paraId="45E7711B" w14:textId="77777777" w:rsidR="00BD3BFB" w:rsidRDefault="00BD3BFB"/>
    <w:p w14:paraId="5AEAFE1C" w14:textId="77777777" w:rsidR="005F1FE2" w:rsidRDefault="005F1FE2" w:rsidP="005F1FE2">
      <w:r w:rsidRPr="006A7C90">
        <w:t>Spoločnosť nemá náplň pre túto položku.</w:t>
      </w:r>
    </w:p>
    <w:p w14:paraId="04236832" w14:textId="77777777" w:rsidR="00BD3BFB" w:rsidRDefault="00BD3BFB">
      <w:pPr>
        <w:rPr>
          <w:color w:val="000000"/>
        </w:rPr>
      </w:pPr>
    </w:p>
    <w:p w14:paraId="5D60E87B" w14:textId="77777777" w:rsidR="00BD3BFB" w:rsidRDefault="00A70DF5">
      <w:pPr>
        <w:pStyle w:val="Nadpis2"/>
        <w:numPr>
          <w:ilvl w:val="1"/>
          <w:numId w:val="16"/>
        </w:numPr>
      </w:pPr>
      <w:bookmarkStart w:id="36" w:name="_heading=h.1pxezwc" w:colFirst="0" w:colLast="0"/>
      <w:bookmarkStart w:id="37" w:name="_heading=h.49x2ik5" w:colFirst="0" w:colLast="0"/>
      <w:bookmarkStart w:id="38" w:name="_heading=h.147n2zr" w:colFirst="0" w:colLast="0"/>
      <w:bookmarkEnd w:id="36"/>
      <w:bookmarkEnd w:id="37"/>
      <w:bookmarkEnd w:id="38"/>
      <w:r>
        <w:br w:type="page"/>
      </w:r>
      <w:r>
        <w:lastRenderedPageBreak/>
        <w:t>Pohľadávky (r. 038 a 046 súvahy)</w:t>
      </w:r>
    </w:p>
    <w:p w14:paraId="69C397DD" w14:textId="77777777" w:rsidR="00BD3BFB" w:rsidRDefault="00BD3BFB"/>
    <w:p w14:paraId="0FA5E9AE" w14:textId="77777777" w:rsidR="00BD3BFB" w:rsidRDefault="00A70DF5">
      <w:pPr>
        <w:pStyle w:val="Nadpis3"/>
        <w:numPr>
          <w:ilvl w:val="2"/>
          <w:numId w:val="16"/>
        </w:numPr>
      </w:pPr>
      <w:r>
        <w:t>Členenie pohľadávok celkom, vrátane skupiny:</w:t>
      </w:r>
    </w:p>
    <w:p w14:paraId="6B027D5E" w14:textId="77777777" w:rsidR="00BD3BFB" w:rsidRDefault="00BD3BFB"/>
    <w:bookmarkStart w:id="39" w:name="bookmark=id.ihv636" w:colFirst="0" w:colLast="0"/>
    <w:bookmarkStart w:id="40" w:name="bookmark=id.23ckvvd" w:colFirst="0" w:colLast="0"/>
    <w:bookmarkStart w:id="41" w:name="_heading=h.3o7alnk" w:colFirst="0" w:colLast="0"/>
    <w:bookmarkEnd w:id="39"/>
    <w:bookmarkEnd w:id="40"/>
    <w:bookmarkEnd w:id="41"/>
    <w:bookmarkStart w:id="42" w:name="_MON_1644924487"/>
    <w:bookmarkEnd w:id="42"/>
    <w:p w14:paraId="59907216" w14:textId="0D245E80" w:rsidR="00BD3BFB" w:rsidRDefault="00D306D9">
      <w:r>
        <w:object w:dxaOrig="9329" w:dyaOrig="6900" w14:anchorId="16E7D200">
          <v:shape id="_x0000_i1041" type="#_x0000_t75" style="width:466.5pt;height:345pt" o:ole="" o:bordertopcolor="this" o:borderleftcolor="this">
            <v:imagedata r:id="rId43" o:title=""/>
            <w10:bordertop type="single" width="4"/>
            <w10:borderleft type="single" width="4"/>
          </v:shape>
          <o:OLEObject Type="Embed" ProgID="Excel.Sheet.12" ShapeID="_x0000_i1041" DrawAspect="Content" ObjectID="_1646998911" r:id="rId44"/>
        </w:object>
      </w:r>
    </w:p>
    <w:bookmarkStart w:id="43" w:name="_heading=h.32hioqz" w:colFirst="0" w:colLast="0"/>
    <w:bookmarkEnd w:id="43"/>
    <w:bookmarkStart w:id="44" w:name="_MON_1644924624"/>
    <w:bookmarkEnd w:id="44"/>
    <w:p w14:paraId="1575A869" w14:textId="3EA8470F" w:rsidR="00BD3BFB" w:rsidRDefault="00D306D9">
      <w:r>
        <w:object w:dxaOrig="9329" w:dyaOrig="6900" w14:anchorId="56700531">
          <v:shape id="_x0000_i1042" type="#_x0000_t75" style="width:466.5pt;height:345pt" o:ole="" o:bordertopcolor="this" o:borderleftcolor="this">
            <v:imagedata r:id="rId45" o:title=""/>
            <w10:bordertop type="single" width="4"/>
            <w10:borderleft type="single" width="4"/>
          </v:shape>
          <o:OLEObject Type="Embed" ProgID="Excel.Sheet.12" ShapeID="_x0000_i1042" DrawAspect="Content" ObjectID="_1646998912" r:id="rId46"/>
        </w:object>
      </w:r>
    </w:p>
    <w:p w14:paraId="5DCA85A1" w14:textId="77777777" w:rsidR="00BD3BFB" w:rsidRDefault="00BD3BFB"/>
    <w:p w14:paraId="3D756840" w14:textId="77777777" w:rsidR="00BD3BFB" w:rsidRDefault="00A70DF5">
      <w:r>
        <w:t xml:space="preserve">Bežná lehota splatnosti pohľadávok je </w:t>
      </w:r>
      <w:r w:rsidR="00363012">
        <w:t>1</w:t>
      </w:r>
      <w:r>
        <w:t xml:space="preserve"> </w:t>
      </w:r>
      <w:r w:rsidR="00363012">
        <w:t>deň</w:t>
      </w:r>
      <w:r>
        <w:t xml:space="preserve">. </w:t>
      </w:r>
    </w:p>
    <w:p w14:paraId="5C2D3544" w14:textId="77777777" w:rsidR="00BD3BFB" w:rsidRDefault="00BD3BFB"/>
    <w:bookmarkStart w:id="45" w:name="_heading=h.1hmsyys" w:colFirst="0" w:colLast="0"/>
    <w:bookmarkEnd w:id="45"/>
    <w:bookmarkStart w:id="46" w:name="_MON_1644924752"/>
    <w:bookmarkEnd w:id="46"/>
    <w:p w14:paraId="4D615F9F" w14:textId="77777777" w:rsidR="00BD3BFB" w:rsidRDefault="00320EED">
      <w:pPr>
        <w:rPr>
          <w:u w:val="single"/>
        </w:rPr>
      </w:pPr>
      <w:r>
        <w:object w:dxaOrig="9378" w:dyaOrig="2892" w14:anchorId="228415AC">
          <v:shape id="_x0000_i1043" type="#_x0000_t75" style="width:468.75pt;height:144.75pt" o:ole="" o:bordertopcolor="this" o:borderleftcolor="this">
            <v:imagedata r:id="rId47" o:title=""/>
            <w10:bordertop type="single" width="4"/>
            <w10:borderleft type="single" width="4"/>
          </v:shape>
          <o:OLEObject Type="Embed" ProgID="Excel.Sheet.12" ShapeID="_x0000_i1043" DrawAspect="Content" ObjectID="_1646998913" r:id="rId48"/>
        </w:object>
      </w:r>
    </w:p>
    <w:p w14:paraId="2B9E4283" w14:textId="77777777" w:rsidR="00BD3BFB" w:rsidRDefault="00BD3BFB">
      <w:pPr>
        <w:rPr>
          <w:u w:val="single"/>
        </w:rPr>
      </w:pPr>
    </w:p>
    <w:p w14:paraId="716A56B5" w14:textId="77777777" w:rsidR="00BD3BFB" w:rsidRDefault="00BD3BFB"/>
    <w:p w14:paraId="178D43A9" w14:textId="77777777" w:rsidR="00BD3BFB" w:rsidRDefault="00A70DF5" w:rsidP="001B53F1">
      <w:pPr>
        <w:pStyle w:val="Nadpis3"/>
        <w:numPr>
          <w:ilvl w:val="0"/>
          <w:numId w:val="0"/>
        </w:numPr>
      </w:pPr>
      <w:r>
        <w:br w:type="page"/>
      </w:r>
      <w:r>
        <w:lastRenderedPageBreak/>
        <w:t>Opravné položky k pohľadávkam</w:t>
      </w:r>
    </w:p>
    <w:p w14:paraId="21695F12" w14:textId="77777777" w:rsidR="00BD3BFB" w:rsidRDefault="00BD3BFB"/>
    <w:p w14:paraId="6271039D" w14:textId="77777777" w:rsidR="00BD3BFB" w:rsidRDefault="00363012">
      <w:pPr>
        <w:rPr>
          <w:color w:val="FF0000"/>
        </w:rPr>
      </w:pPr>
      <w:bookmarkStart w:id="47" w:name="bookmark=id.vx1227" w:colFirst="0" w:colLast="0"/>
      <w:bookmarkStart w:id="48" w:name="bookmark=id.2grqrue" w:colFirst="0" w:colLast="0"/>
      <w:bookmarkStart w:id="49" w:name="_heading=h.41mghml" w:colFirst="0" w:colLast="0"/>
      <w:bookmarkEnd w:id="47"/>
      <w:bookmarkEnd w:id="48"/>
      <w:bookmarkEnd w:id="49"/>
      <w:r>
        <w:t xml:space="preserve">Spoločnosť v roku 2019 netvorila </w:t>
      </w:r>
      <w:r w:rsidR="001B53F1">
        <w:t xml:space="preserve">opravné položky k pohľadávkam. Spoločnosť sa riadi internou smernicou na tvorbu opravných položiek k pohľadávkam. V prípade vzniku </w:t>
      </w:r>
      <w:r>
        <w:t>pohľadáv</w:t>
      </w:r>
      <w:r w:rsidR="001B53F1">
        <w:t>ok</w:t>
      </w:r>
      <w:r>
        <w:t xml:space="preserve"> po lehote splatnosti nad 360 dní </w:t>
      </w:r>
      <w:r w:rsidR="001B53F1">
        <w:t xml:space="preserve">tvorí opravnú položku </w:t>
      </w:r>
      <w:r>
        <w:t xml:space="preserve">100%, nad 180 dní </w:t>
      </w:r>
      <w:r w:rsidR="001B53F1">
        <w:t xml:space="preserve">tvorí opravnú položku </w:t>
      </w:r>
      <w:r>
        <w:t>50%, ostatných pohľadávok po lehote splatnosti 10%.</w:t>
      </w:r>
    </w:p>
    <w:p w14:paraId="24A48237" w14:textId="77777777" w:rsidR="00BD3BFB" w:rsidRDefault="00BD3BFB">
      <w:pPr>
        <w:rPr>
          <w:color w:val="FF0000"/>
        </w:rPr>
      </w:pPr>
    </w:p>
    <w:p w14:paraId="56244C33" w14:textId="77777777" w:rsidR="00BD3BFB" w:rsidRDefault="00BD3BFB">
      <w:pPr>
        <w:rPr>
          <w:u w:val="single"/>
        </w:rPr>
      </w:pPr>
    </w:p>
    <w:p w14:paraId="498C20A9" w14:textId="77777777" w:rsidR="00BD3BFB" w:rsidRDefault="00A70DF5">
      <w:pPr>
        <w:pStyle w:val="Nadpis3"/>
        <w:numPr>
          <w:ilvl w:val="2"/>
          <w:numId w:val="16"/>
        </w:numPr>
      </w:pPr>
      <w:r>
        <w:t>Zabezpečenie pohľadávok</w:t>
      </w:r>
    </w:p>
    <w:p w14:paraId="1FCDCEF6" w14:textId="77777777" w:rsidR="00BD3BFB" w:rsidRDefault="00BD3BFB"/>
    <w:bookmarkStart w:id="50" w:name="_heading=h.1v1yuxt" w:colFirst="0" w:colLast="0"/>
    <w:bookmarkEnd w:id="50"/>
    <w:bookmarkStart w:id="51" w:name="_MON_1644925663"/>
    <w:bookmarkEnd w:id="51"/>
    <w:p w14:paraId="3589657F" w14:textId="77777777" w:rsidR="00BD3BFB" w:rsidRDefault="001B53F1">
      <w:r>
        <w:object w:dxaOrig="9213" w:dyaOrig="1370" w14:anchorId="40403E67">
          <v:shape id="_x0000_i1044" type="#_x0000_t75" style="width:460.5pt;height:68.25pt" o:ole="">
            <v:imagedata r:id="rId49" o:title=""/>
          </v:shape>
          <o:OLEObject Type="Embed" ProgID="Excel.Sheet.12" ShapeID="_x0000_i1044" DrawAspect="Content" ObjectID="_1646998914" r:id="rId50"/>
        </w:object>
      </w:r>
    </w:p>
    <w:p w14:paraId="73078077" w14:textId="77777777" w:rsidR="001B53F1" w:rsidRDefault="001B53F1"/>
    <w:p w14:paraId="01D85271" w14:textId="77777777" w:rsidR="00BD3BFB" w:rsidRDefault="001B53F1">
      <w:r w:rsidRPr="001B53F1">
        <w:t>Spoločnosť nevyužíva poistenie obchodný pohľadávok.</w:t>
      </w:r>
    </w:p>
    <w:p w14:paraId="62DF5A3E" w14:textId="77777777" w:rsidR="001B53F1" w:rsidRDefault="001B53F1"/>
    <w:p w14:paraId="2D95E846" w14:textId="7A594BCB" w:rsidR="001B53F1" w:rsidRDefault="001B53F1" w:rsidP="001B53F1">
      <w:r>
        <w:t xml:space="preserve">V súvislosti s čerpaním úveru bolo v prospech banky Tatrabanka </w:t>
      </w:r>
      <w:proofErr w:type="spellStart"/>
      <w:r>
        <w:t>a.s</w:t>
      </w:r>
      <w:proofErr w:type="spellEnd"/>
      <w:r>
        <w:t xml:space="preserve">., zriadené záložné právo na pohľadávky v celkovej výške </w:t>
      </w:r>
      <w:r w:rsidR="00BB3B71">
        <w:t>48 651</w:t>
      </w:r>
      <w:r>
        <w:t xml:space="preserve"> EUR (31. decembra 2019: </w:t>
      </w:r>
      <w:r w:rsidR="00BB3B71">
        <w:t>48 651</w:t>
      </w:r>
      <w:r>
        <w:t xml:space="preserve"> EUR).</w:t>
      </w:r>
    </w:p>
    <w:p w14:paraId="6AFC978C" w14:textId="77777777" w:rsidR="00BD3BFB" w:rsidRDefault="00BD3BFB"/>
    <w:p w14:paraId="774ED90E" w14:textId="77777777" w:rsidR="00BD3BFB" w:rsidRDefault="00A70DF5">
      <w:pPr>
        <w:pStyle w:val="Nadpis2"/>
        <w:numPr>
          <w:ilvl w:val="1"/>
          <w:numId w:val="16"/>
        </w:numPr>
      </w:pPr>
      <w:r>
        <w:t>Finančné účty (r. 055 súvahy)</w:t>
      </w:r>
    </w:p>
    <w:p w14:paraId="26E9F063" w14:textId="77777777" w:rsidR="00BD3BFB" w:rsidRDefault="00BD3BFB"/>
    <w:p w14:paraId="77B7DB01" w14:textId="77777777" w:rsidR="00BD3BFB" w:rsidRDefault="00A70DF5">
      <w:pPr>
        <w:pStyle w:val="Nadpis3"/>
        <w:numPr>
          <w:ilvl w:val="2"/>
          <w:numId w:val="16"/>
        </w:numPr>
      </w:pPr>
      <w:r>
        <w:t>Spoločnosť má finančný majetok v štruktúre</w:t>
      </w:r>
    </w:p>
    <w:p w14:paraId="6359BBC8" w14:textId="77777777" w:rsidR="00BD3BFB" w:rsidRDefault="00BD3BFB"/>
    <w:bookmarkStart w:id="52" w:name="_heading=h.4f1mdlm" w:colFirst="0" w:colLast="0"/>
    <w:bookmarkEnd w:id="52"/>
    <w:bookmarkStart w:id="53" w:name="_MON_1644925997"/>
    <w:bookmarkEnd w:id="53"/>
    <w:p w14:paraId="0485E2C4" w14:textId="0663BF44" w:rsidR="00BD3BFB" w:rsidRDefault="00BB3B71">
      <w:r>
        <w:object w:dxaOrig="9185" w:dyaOrig="2616" w14:anchorId="7BA6C3DD">
          <v:shape id="_x0000_i1045" type="#_x0000_t75" style="width:459pt;height:130.5pt" o:ole="" o:bordertopcolor="this" o:borderleftcolor="this">
            <v:imagedata r:id="rId51" o:title=""/>
            <w10:bordertop type="single" width="4"/>
            <w10:borderleft type="single" width="4"/>
          </v:shape>
          <o:OLEObject Type="Embed" ProgID="Excel.Sheet.12" ShapeID="_x0000_i1045" DrawAspect="Content" ObjectID="_1646998915" r:id="rId52"/>
        </w:object>
      </w:r>
    </w:p>
    <w:p w14:paraId="1F593D64" w14:textId="77777777" w:rsidR="00BD3BFB" w:rsidRDefault="00BD3BFB" w:rsidP="008D297F">
      <w:pPr>
        <w:pStyle w:val="Nadpis3"/>
        <w:numPr>
          <w:ilvl w:val="0"/>
          <w:numId w:val="0"/>
        </w:numPr>
      </w:pPr>
    </w:p>
    <w:p w14:paraId="3D94E40B" w14:textId="77777777" w:rsidR="00BD3BFB" w:rsidRDefault="00A70DF5">
      <w:pPr>
        <w:pStyle w:val="Nadpis3"/>
        <w:numPr>
          <w:ilvl w:val="2"/>
          <w:numId w:val="16"/>
        </w:numPr>
      </w:pPr>
      <w:bookmarkStart w:id="54" w:name="_heading=h.2u6wntf" w:colFirst="0" w:colLast="0"/>
      <w:bookmarkStart w:id="55" w:name="_heading=h.19c6y18" w:colFirst="0" w:colLast="0"/>
      <w:bookmarkEnd w:id="54"/>
      <w:bookmarkEnd w:id="55"/>
      <w:r>
        <w:t>Záložné právo a obmedzené disponovanie s krátkodobým finančným majetkom</w:t>
      </w:r>
    </w:p>
    <w:p w14:paraId="13FD551D" w14:textId="77777777" w:rsidR="00BD3BFB" w:rsidRDefault="00BD3BFB">
      <w:pPr>
        <w:rPr>
          <w:sz w:val="18"/>
          <w:szCs w:val="18"/>
        </w:rPr>
      </w:pPr>
    </w:p>
    <w:bookmarkStart w:id="56" w:name="_heading=h.28h4qwu" w:colFirst="0" w:colLast="0"/>
    <w:bookmarkEnd w:id="56"/>
    <w:bookmarkStart w:id="57" w:name="_MON_1644926111"/>
    <w:bookmarkEnd w:id="57"/>
    <w:p w14:paraId="78B6E836" w14:textId="77777777" w:rsidR="00BD3BFB" w:rsidRDefault="008D297F">
      <w:pPr>
        <w:rPr>
          <w:sz w:val="18"/>
          <w:szCs w:val="18"/>
        </w:rPr>
      </w:pPr>
      <w:r>
        <w:rPr>
          <w:sz w:val="18"/>
          <w:szCs w:val="18"/>
        </w:rPr>
        <w:object w:dxaOrig="8939" w:dyaOrig="789" w14:anchorId="47B4FC4E">
          <v:shape id="_x0000_i1046" type="#_x0000_t75" style="width:447pt;height:39pt" o:ole="">
            <v:imagedata r:id="rId53" o:title=""/>
          </v:shape>
          <o:OLEObject Type="Embed" ProgID="Excel.Sheet.12" ShapeID="_x0000_i1046" DrawAspect="Content" ObjectID="_1646998916" r:id="rId54"/>
        </w:object>
      </w:r>
    </w:p>
    <w:p w14:paraId="1BF7660B" w14:textId="77777777" w:rsidR="008D297F" w:rsidRDefault="008D297F"/>
    <w:p w14:paraId="7D126260" w14:textId="77777777" w:rsidR="00BD3BFB" w:rsidRDefault="008D297F">
      <w:r>
        <w:t>Na krátkodobý finančný majetok nebolo zriadené záložné právo.</w:t>
      </w:r>
    </w:p>
    <w:p w14:paraId="4554E76C" w14:textId="77777777" w:rsidR="00BD3BFB" w:rsidRDefault="00BD3BFB"/>
    <w:p w14:paraId="653EFF76" w14:textId="77777777" w:rsidR="00BD3BFB" w:rsidRDefault="00BD3BFB">
      <w:pPr>
        <w:rPr>
          <w:sz w:val="18"/>
          <w:szCs w:val="18"/>
        </w:rPr>
      </w:pPr>
    </w:p>
    <w:p w14:paraId="3CDB3AEB" w14:textId="77777777" w:rsidR="00BD3BFB" w:rsidRDefault="00BD3BFB">
      <w:pPr>
        <w:rPr>
          <w:sz w:val="18"/>
          <w:szCs w:val="18"/>
        </w:rPr>
      </w:pPr>
    </w:p>
    <w:p w14:paraId="4170162C" w14:textId="77777777" w:rsidR="008D297F" w:rsidRDefault="008D297F">
      <w:pPr>
        <w:rPr>
          <w:rFonts w:cs="Arial"/>
          <w:b/>
          <w:bCs/>
          <w:iCs/>
          <w:szCs w:val="28"/>
        </w:rPr>
      </w:pPr>
      <w:r>
        <w:br w:type="page"/>
      </w:r>
    </w:p>
    <w:p w14:paraId="040F76CC" w14:textId="77777777" w:rsidR="00BD3BFB" w:rsidRDefault="00A70DF5">
      <w:pPr>
        <w:pStyle w:val="Nadpis2"/>
        <w:numPr>
          <w:ilvl w:val="1"/>
          <w:numId w:val="16"/>
        </w:numPr>
      </w:pPr>
      <w:r>
        <w:lastRenderedPageBreak/>
        <w:t>Časové rozlíšenie (r. 061 súvahy)</w:t>
      </w:r>
    </w:p>
    <w:p w14:paraId="604D174C" w14:textId="77777777" w:rsidR="00BD3BFB" w:rsidRDefault="00BD3BFB">
      <w:pPr>
        <w:rPr>
          <w:sz w:val="18"/>
          <w:szCs w:val="18"/>
        </w:rPr>
      </w:pPr>
    </w:p>
    <w:bookmarkStart w:id="58" w:name="_heading=h.37m2jsg" w:colFirst="0" w:colLast="0"/>
    <w:bookmarkEnd w:id="58"/>
    <w:bookmarkStart w:id="59" w:name="_MON_1644926478"/>
    <w:bookmarkEnd w:id="59"/>
    <w:p w14:paraId="08839861" w14:textId="30210398" w:rsidR="00BD3BFB" w:rsidRDefault="00BB3B71">
      <w:r>
        <w:object w:dxaOrig="9550" w:dyaOrig="4347" w14:anchorId="05402278">
          <v:shape id="_x0000_i1047" type="#_x0000_t75" style="width:477.75pt;height:217.5pt" o:ole="" o:bordertopcolor="this" o:borderleftcolor="this">
            <v:imagedata r:id="rId55" o:title=""/>
            <w10:bordertop type="single" width="4"/>
            <w10:borderleft type="single" width="4"/>
          </v:shape>
          <o:OLEObject Type="Embed" ProgID="Excel.Sheet.12" ShapeID="_x0000_i1047" DrawAspect="Content" ObjectID="_1646998917" r:id="rId56"/>
        </w:object>
      </w:r>
    </w:p>
    <w:p w14:paraId="3B796594" w14:textId="77777777" w:rsidR="008D297F" w:rsidRDefault="008D297F">
      <w:pPr>
        <w:rPr>
          <w:sz w:val="18"/>
          <w:szCs w:val="18"/>
        </w:rPr>
      </w:pPr>
    </w:p>
    <w:p w14:paraId="3B3ABC47" w14:textId="77777777" w:rsidR="00BD3BFB" w:rsidRDefault="00A70DF5">
      <w:pPr>
        <w:pStyle w:val="Nadpis2"/>
        <w:numPr>
          <w:ilvl w:val="1"/>
          <w:numId w:val="16"/>
        </w:numPr>
      </w:pPr>
      <w:r>
        <w:t>Pohľadávky z finančného prenájmu</w:t>
      </w:r>
    </w:p>
    <w:p w14:paraId="5755BDA4" w14:textId="77777777" w:rsidR="00BD3BFB" w:rsidRDefault="00BD3BFB"/>
    <w:p w14:paraId="0F593238" w14:textId="77777777" w:rsidR="00356176" w:rsidRDefault="00356176" w:rsidP="00356176">
      <w:r w:rsidRPr="006A7C90">
        <w:t>Spoločnosť nemá náplň pre túto položku.</w:t>
      </w:r>
    </w:p>
    <w:p w14:paraId="6BE84890" w14:textId="77777777" w:rsidR="00BD3BFB" w:rsidRDefault="00BD3BFB">
      <w:pPr>
        <w:rPr>
          <w:color w:val="000000"/>
        </w:rPr>
      </w:pPr>
    </w:p>
    <w:p w14:paraId="49349B52" w14:textId="77777777" w:rsidR="00BD3BFB" w:rsidRDefault="00A70DF5">
      <w:pPr>
        <w:pStyle w:val="Nadpis1"/>
        <w:numPr>
          <w:ilvl w:val="0"/>
          <w:numId w:val="16"/>
        </w:numPr>
      </w:pPr>
      <w:r>
        <w:br w:type="page"/>
      </w:r>
      <w:r>
        <w:lastRenderedPageBreak/>
        <w:t>ÚDAJE VYKÁZANÉ NA STRANE PASÍV SÚVAHY</w:t>
      </w:r>
    </w:p>
    <w:p w14:paraId="02377EEC" w14:textId="77777777" w:rsidR="00BD3BFB" w:rsidRDefault="00BD3BFB">
      <w:pPr>
        <w:rPr>
          <w:b/>
        </w:rPr>
      </w:pPr>
    </w:p>
    <w:p w14:paraId="260CC6F4" w14:textId="77777777" w:rsidR="00BD3BFB" w:rsidRDefault="00A70DF5">
      <w:pPr>
        <w:pStyle w:val="Nadpis2"/>
        <w:numPr>
          <w:ilvl w:val="1"/>
          <w:numId w:val="16"/>
        </w:numPr>
      </w:pPr>
      <w:r>
        <w:t xml:space="preserve">Vlastné imanie (r. 067 súvahy) </w:t>
      </w:r>
    </w:p>
    <w:p w14:paraId="5339405B" w14:textId="77777777" w:rsidR="00BD3BFB" w:rsidRDefault="00BD3BFB"/>
    <w:p w14:paraId="5666B900" w14:textId="77777777" w:rsidR="00BD3BFB" w:rsidRDefault="00A70DF5">
      <w:pPr>
        <w:pStyle w:val="Nadpis3"/>
        <w:numPr>
          <w:ilvl w:val="2"/>
          <w:numId w:val="16"/>
        </w:numPr>
      </w:pPr>
      <w:r>
        <w:t>Informácie o vlastnom imaní</w:t>
      </w:r>
    </w:p>
    <w:p w14:paraId="3DD41BF4" w14:textId="77777777" w:rsidR="00BD3BFB" w:rsidRDefault="00BD3BFB"/>
    <w:p w14:paraId="0D412926" w14:textId="77777777" w:rsidR="00C62181" w:rsidRDefault="00A70DF5">
      <w:r>
        <w:t xml:space="preserve">Základné imanie </w:t>
      </w:r>
      <w:r w:rsidR="00C62181">
        <w:t xml:space="preserve">Spoločnosti je zapísané vo výške 5 000 EUR a bolo plne splatené. </w:t>
      </w:r>
    </w:p>
    <w:p w14:paraId="17D4518D" w14:textId="77777777" w:rsidR="00C62181" w:rsidRDefault="00C62181" w:rsidP="00C62181"/>
    <w:p w14:paraId="009D52AE" w14:textId="10F8D7DC" w:rsidR="00C62181" w:rsidRDefault="00C62181" w:rsidP="00C62181">
      <w:pPr>
        <w:rPr>
          <w:i/>
          <w:color w:val="FF0000"/>
        </w:rPr>
      </w:pPr>
      <w:r>
        <w:t>V priebehu roka 2019 došlo k zmene vlastníkov spoločnosti z fyzických osôb Dalibor</w:t>
      </w:r>
      <w:r w:rsidR="00BB3B71">
        <w:t>a</w:t>
      </w:r>
      <w:r>
        <w:t xml:space="preserve"> </w:t>
      </w:r>
      <w:proofErr w:type="spellStart"/>
      <w:r>
        <w:t>Cicman</w:t>
      </w:r>
      <w:r w:rsidR="00BB3B71">
        <w:t>a</w:t>
      </w:r>
      <w:proofErr w:type="spellEnd"/>
      <w:r>
        <w:t xml:space="preserve"> s podielom 85% na základnom imaní a Oliver</w:t>
      </w:r>
      <w:r w:rsidR="00BB3B71">
        <w:t>a</w:t>
      </w:r>
      <w:r>
        <w:t xml:space="preserve"> Juhász</w:t>
      </w:r>
      <w:r w:rsidR="00BB3B71">
        <w:t>a</w:t>
      </w:r>
      <w:r>
        <w:t xml:space="preserve"> s podielom 15% na základnom imaní.</w:t>
      </w:r>
      <w:r w:rsidR="00BB3B71">
        <w:t xml:space="preserve"> K zmene vlastníkov došlo z</w:t>
      </w:r>
      <w:r>
        <w:t xml:space="preserve">menou Spoločenskej zmluvy zo dňa 8.7.2019 došlo k zmene spoločníkov na spoločnosť </w:t>
      </w:r>
      <w:proofErr w:type="spellStart"/>
      <w:r>
        <w:t>Beam</w:t>
      </w:r>
      <w:proofErr w:type="spellEnd"/>
      <w:r>
        <w:t xml:space="preserve"> </w:t>
      </w:r>
      <w:proofErr w:type="spellStart"/>
      <w:r>
        <w:t>Beam</w:t>
      </w:r>
      <w:proofErr w:type="spellEnd"/>
      <w:r>
        <w:t xml:space="preserve"> </w:t>
      </w:r>
      <w:proofErr w:type="spellStart"/>
      <w:r>
        <w:t>s.r.o</w:t>
      </w:r>
      <w:proofErr w:type="spellEnd"/>
      <w:r>
        <w:t>. s podielom 75% na základnom imaní a</w:t>
      </w:r>
      <w:r w:rsidR="00320EED">
        <w:t xml:space="preserve"> na </w:t>
      </w:r>
      <w:r>
        <w:t xml:space="preserve">spoločnosť </w:t>
      </w:r>
      <w:proofErr w:type="spellStart"/>
      <w:r>
        <w:t>GymBeam</w:t>
      </w:r>
      <w:proofErr w:type="spellEnd"/>
      <w:r>
        <w:t xml:space="preserve"> Team </w:t>
      </w:r>
      <w:proofErr w:type="spellStart"/>
      <w:r>
        <w:t>j.s.a</w:t>
      </w:r>
      <w:proofErr w:type="spellEnd"/>
      <w:r>
        <w:t>. s </w:t>
      </w:r>
      <w:proofErr w:type="spellStart"/>
      <w:r>
        <w:t>podielam</w:t>
      </w:r>
      <w:proofErr w:type="spellEnd"/>
      <w:r>
        <w:t xml:space="preserve"> 25% na základnom imaní. </w:t>
      </w:r>
    </w:p>
    <w:p w14:paraId="2E798646" w14:textId="77777777" w:rsidR="00BD3BFB" w:rsidRDefault="00BD3BFB"/>
    <w:p w14:paraId="0720F397" w14:textId="77777777" w:rsidR="00C62181" w:rsidRDefault="00C62181">
      <w:r>
        <w:t xml:space="preserve">Cieľom zmeny tejto vlastníckej štruktúry je príprava na kapitálový vstup nových spoločníkov prostredníctvom podpísanej zmluvy o konvertibilnej pôžičky so spoločnosť CB </w:t>
      </w:r>
      <w:proofErr w:type="spellStart"/>
      <w:r>
        <w:t>Beam</w:t>
      </w:r>
      <w:proofErr w:type="spellEnd"/>
      <w:r>
        <w:t xml:space="preserve"> </w:t>
      </w:r>
      <w:proofErr w:type="spellStart"/>
      <w:r>
        <w:t>j.s.a</w:t>
      </w:r>
      <w:proofErr w:type="spellEnd"/>
      <w:r>
        <w:t xml:space="preserve">. zo dňa 6.9.2019 a súvisiacich dodatkov na po ukončení konverzného obdobia, </w:t>
      </w:r>
      <w:proofErr w:type="spellStart"/>
      <w:r>
        <w:t>t.j</w:t>
      </w:r>
      <w:proofErr w:type="spellEnd"/>
      <w:r>
        <w:t xml:space="preserve">. po realizácii konvertibilnej pôžičky </w:t>
      </w:r>
      <w:proofErr w:type="spellStart"/>
      <w:r>
        <w:t>t.j</w:t>
      </w:r>
      <w:proofErr w:type="spellEnd"/>
      <w:r>
        <w:t>. 31.12.2021.</w:t>
      </w:r>
    </w:p>
    <w:p w14:paraId="162DA3C3" w14:textId="77777777" w:rsidR="00C62181" w:rsidRDefault="00C62181"/>
    <w:p w14:paraId="594266DB" w14:textId="693A2B83" w:rsidR="00693882" w:rsidRDefault="00262424">
      <w:r w:rsidRPr="00262424">
        <w:t xml:space="preserve">Spoločnosť prijala na základe zmluvy o Vymeniteľnom úvere zo dňa 6.9.2019 (v zmysle dodatkov) peňažné prostriedky od budúceho spoločníka CB BEAM, </w:t>
      </w:r>
      <w:proofErr w:type="spellStart"/>
      <w:r w:rsidRPr="00262424">
        <w:t>j.s.a</w:t>
      </w:r>
      <w:proofErr w:type="spellEnd"/>
      <w:r w:rsidRPr="00262424">
        <w:t>. (z titulu zmluvy o vymeniteľnom úvere) v hodnote 3 mil. EUR, pričom podľa zmluvy v zmysle dodatkov má nárok na prijatie finančných prostriedkov v celkovej výške 4 mil. EUR. K 31.12.2019 spoločnosť technicky splnila kritériá na čerpanie plnej sumy vo výške 4 mil. EUR. Ku dnešnému dňu spoločnosť požiadala aj o plnenie zostávajúcej čiastky vo výške 1 mil. EUR. Tieto prostriedky spoločnosť prijala v období, kedy bola v zmysle Obchodného Zákonníka v kríze. Na základe právnej analýzy tieto prostriedky nahrádzajú vlastné zdroje. Z nášho pohľadu je k dnešnému dňu vysoko pravdepodobné, že tieto prostriedky budú v súlade so zmluvou konvertované na vlastné imanie spoločnosti formou základného imania a emisného ážia a preto spoločnosť tento finančný nástroj prezentuje v súvahe spoločnosti, pre účely dosiahnutia pravdivého a verného obrazu, ako vlastné imanie spoločnosti na účte 413. Neuhradenú časť vo výške 1 mil. EUR zároveň prezentuje  na účte 351 na riadku 59 súvahy ako pohľadávku voči budúcemu spoločníkovi (z titulu zmluvy o vymeniteľnom úvere)</w:t>
      </w:r>
    </w:p>
    <w:p w14:paraId="7F4A1BC4" w14:textId="77777777" w:rsidR="00371237" w:rsidRDefault="00371237"/>
    <w:p w14:paraId="6FF03F00" w14:textId="01B10644" w:rsidR="00BD3BFB" w:rsidRDefault="00A70DF5">
      <w:bookmarkStart w:id="60" w:name="_GoBack"/>
      <w:bookmarkEnd w:id="60"/>
      <w:r>
        <w:t xml:space="preserve">Zákonný rezervný fond vo výške </w:t>
      </w:r>
      <w:r w:rsidR="00BB5E37">
        <w:t>500</w:t>
      </w:r>
      <w:r>
        <w:t xml:space="preserve"> EUR dosahuje výšku povinnej minimálnej tvorby podľa Obchodného zákonníka.</w:t>
      </w:r>
    </w:p>
    <w:p w14:paraId="6EADCC4F" w14:textId="77777777" w:rsidR="00BD3BFB" w:rsidRDefault="00BD3BFB">
      <w:pPr>
        <w:rPr>
          <w:sz w:val="15"/>
          <w:szCs w:val="15"/>
        </w:rPr>
      </w:pPr>
    </w:p>
    <w:p w14:paraId="1C83EB1D" w14:textId="77777777" w:rsidR="00BD3BFB" w:rsidRDefault="00A70DF5">
      <w:pPr>
        <w:rPr>
          <w:color w:val="000000"/>
        </w:rPr>
      </w:pPr>
      <w:r>
        <w:rPr>
          <w:color w:val="000000"/>
        </w:rPr>
        <w:t>Výsledok hospodárenia minulých rokov sa zvýšil v položke „Nerozdelený zisk“ o</w:t>
      </w:r>
      <w:r w:rsidR="009411E1">
        <w:rPr>
          <w:color w:val="000000"/>
        </w:rPr>
        <w:t> </w:t>
      </w:r>
      <w:r w:rsidR="009411E1">
        <w:t>83 180</w:t>
      </w:r>
      <w:r>
        <w:rPr>
          <w:color w:val="000000"/>
        </w:rPr>
        <w:t xml:space="preserve"> EUR na základe rozhodnutia valného zhromaždenia o rozdelení hospodárskeho výsledku za rok 201</w:t>
      </w:r>
      <w:r w:rsidR="009411E1">
        <w:rPr>
          <w:color w:val="000000"/>
        </w:rPr>
        <w:t>8</w:t>
      </w:r>
      <w:r>
        <w:rPr>
          <w:color w:val="000000"/>
        </w:rPr>
        <w:t>.</w:t>
      </w:r>
    </w:p>
    <w:p w14:paraId="0BDF671E" w14:textId="77777777" w:rsidR="009411E1" w:rsidRDefault="009411E1">
      <w:pPr>
        <w:rPr>
          <w:color w:val="000000"/>
        </w:rPr>
      </w:pPr>
      <w:r>
        <w:rPr>
          <w:color w:val="000000"/>
        </w:rPr>
        <w:t>Výsledok hospodárenia minulých rokov sa znížil v položke „Neuhradená strata minulých rokov“ o </w:t>
      </w:r>
      <w:r w:rsidR="00230692">
        <w:rPr>
          <w:color w:val="000000"/>
        </w:rPr>
        <w:t>658</w:t>
      </w:r>
      <w:r>
        <w:rPr>
          <w:color w:val="000000"/>
        </w:rPr>
        <w:t> 992 EUR z dôvodu významnej opravy chýb minulých rokov. (Časť II. 14.)</w:t>
      </w:r>
    </w:p>
    <w:p w14:paraId="1483AA7D" w14:textId="77777777" w:rsidR="00BD3BFB" w:rsidRDefault="00BD3BFB">
      <w:pPr>
        <w:rPr>
          <w:sz w:val="15"/>
          <w:szCs w:val="15"/>
        </w:rPr>
      </w:pPr>
    </w:p>
    <w:p w14:paraId="1A3046EB" w14:textId="77777777" w:rsidR="00BD3BFB" w:rsidRDefault="00A70DF5">
      <w:pPr>
        <w:pStyle w:val="Nadpis3"/>
        <w:numPr>
          <w:ilvl w:val="2"/>
          <w:numId w:val="16"/>
        </w:numPr>
      </w:pPr>
      <w:r>
        <w:t>Rozdelenie účtovného zisku alebo vyrovnanie straty za rok 2011</w:t>
      </w:r>
    </w:p>
    <w:p w14:paraId="491D601D" w14:textId="77777777" w:rsidR="00BD3BFB" w:rsidRDefault="00BD3BFB"/>
    <w:bookmarkStart w:id="61" w:name="_heading=h.46r0co2" w:colFirst="0" w:colLast="0"/>
    <w:bookmarkEnd w:id="61"/>
    <w:bookmarkStart w:id="62" w:name="_MON_1644936453"/>
    <w:bookmarkEnd w:id="62"/>
    <w:p w14:paraId="06FD21F7" w14:textId="77777777" w:rsidR="00BD3BFB" w:rsidRDefault="009411E1">
      <w:r>
        <w:object w:dxaOrig="9869" w:dyaOrig="3539" w14:anchorId="0876F8D0">
          <v:shape id="_x0000_i1048" type="#_x0000_t75" style="width:493.5pt;height:177pt" o:ole="" o:bordertopcolor="this" o:borderleftcolor="this">
            <v:imagedata r:id="rId57" o:title=""/>
            <w10:bordertop type="single" width="4"/>
            <w10:borderleft type="single" width="4"/>
          </v:shape>
          <o:OLEObject Type="Embed" ProgID="Excel.Sheet.12" ShapeID="_x0000_i1048" DrawAspect="Content" ObjectID="_1646998918" r:id="rId58"/>
        </w:object>
      </w:r>
    </w:p>
    <w:p w14:paraId="380CA3A6" w14:textId="77777777" w:rsidR="00BD3BFB" w:rsidRDefault="00BD3BFB">
      <w:bookmarkStart w:id="63" w:name="_heading=h.2lwamvv" w:colFirst="0" w:colLast="0"/>
      <w:bookmarkEnd w:id="63"/>
    </w:p>
    <w:p w14:paraId="57EEE381" w14:textId="77777777" w:rsidR="00BD3BFB" w:rsidRDefault="00BD3BFB"/>
    <w:p w14:paraId="029AC1A8" w14:textId="77777777" w:rsidR="009411E1" w:rsidRDefault="009411E1">
      <w:pPr>
        <w:rPr>
          <w:rFonts w:cs="Arial"/>
          <w:b/>
          <w:bCs/>
          <w:iCs/>
          <w:szCs w:val="28"/>
        </w:rPr>
      </w:pPr>
      <w:r>
        <w:br w:type="page"/>
      </w:r>
    </w:p>
    <w:p w14:paraId="0603EBD4" w14:textId="77777777" w:rsidR="00BD3BFB" w:rsidRDefault="00A70DF5">
      <w:pPr>
        <w:pStyle w:val="Nadpis2"/>
        <w:numPr>
          <w:ilvl w:val="1"/>
          <w:numId w:val="16"/>
        </w:numPr>
      </w:pPr>
      <w:r>
        <w:lastRenderedPageBreak/>
        <w:t>Rezervy (r. 089 súvahy)</w:t>
      </w:r>
    </w:p>
    <w:p w14:paraId="5F7AD46C" w14:textId="77777777" w:rsidR="00BD3BFB" w:rsidRDefault="00BD3BFB"/>
    <w:bookmarkStart w:id="64" w:name="_heading=h.111kx3o" w:colFirst="0" w:colLast="0"/>
    <w:bookmarkEnd w:id="64"/>
    <w:bookmarkStart w:id="65" w:name="_MON_1644992984"/>
    <w:bookmarkEnd w:id="65"/>
    <w:p w14:paraId="06340ABF" w14:textId="77777777" w:rsidR="00BD3BFB" w:rsidRDefault="00230692">
      <w:r>
        <w:object w:dxaOrig="9300" w:dyaOrig="2518" w14:anchorId="57340546">
          <v:shape id="_x0000_i1049" type="#_x0000_t75" style="width:465pt;height:126pt" o:ole="" o:bordertopcolor="this" o:borderleftcolor="this">
            <v:imagedata r:id="rId59" o:title=""/>
            <w10:bordertop type="single" width="4"/>
            <w10:borderleft type="single" width="4"/>
          </v:shape>
          <o:OLEObject Type="Embed" ProgID="Excel.Sheet.12" ShapeID="_x0000_i1049" DrawAspect="Content" ObjectID="_1646998919" r:id="rId60"/>
        </w:object>
      </w:r>
    </w:p>
    <w:p w14:paraId="158CEB93" w14:textId="77777777" w:rsidR="00BD3BFB" w:rsidRDefault="00BD3BFB"/>
    <w:bookmarkStart w:id="66" w:name="_heading=h.3l18frh" w:colFirst="0" w:colLast="0"/>
    <w:bookmarkEnd w:id="66"/>
    <w:bookmarkStart w:id="67" w:name="_MON_1644994306"/>
    <w:bookmarkEnd w:id="67"/>
    <w:p w14:paraId="5A3623FE" w14:textId="77777777" w:rsidR="00BD3BFB" w:rsidRDefault="00A0579B">
      <w:r>
        <w:object w:dxaOrig="9304" w:dyaOrig="2026" w14:anchorId="01BB33BD">
          <v:shape id="_x0000_i1050" type="#_x0000_t75" style="width:465pt;height:101.25pt" o:ole="" o:bordertopcolor="this" o:borderleftcolor="this">
            <v:imagedata r:id="rId61" o:title=""/>
            <w10:bordertop type="single" width="4"/>
            <w10:borderleft type="single" width="4"/>
          </v:shape>
          <o:OLEObject Type="Embed" ProgID="Excel.Sheet.12" ShapeID="_x0000_i1050" DrawAspect="Content" ObjectID="_1646998920" r:id="rId62"/>
        </w:object>
      </w:r>
    </w:p>
    <w:p w14:paraId="6A0FACF3" w14:textId="77777777" w:rsidR="00BD3BFB" w:rsidRDefault="00BD3BFB">
      <w:bookmarkStart w:id="68" w:name="_heading=h.206ipza" w:colFirst="0" w:colLast="0"/>
      <w:bookmarkEnd w:id="68"/>
    </w:p>
    <w:p w14:paraId="766AD2C5" w14:textId="77777777" w:rsidR="00BD3BFB" w:rsidRDefault="00A70DF5">
      <w:r>
        <w:t xml:space="preserve">Spoločnosť vytvorila </w:t>
      </w:r>
      <w:r w:rsidR="00B47161">
        <w:t xml:space="preserve">krátkodobú </w:t>
      </w:r>
      <w:r>
        <w:t xml:space="preserve">zákonnú rezervu na </w:t>
      </w:r>
      <w:r w:rsidR="00A0579B">
        <w:t>nevyčerpané dovolenky</w:t>
      </w:r>
      <w:r w:rsidR="00B47161">
        <w:t>, ďalej vytvorila rezervu na audit a ostatné rezervy na potenciálne záväzky v roku 2020.</w:t>
      </w:r>
    </w:p>
    <w:p w14:paraId="7B24D05D" w14:textId="77777777" w:rsidR="00BD3BFB" w:rsidRDefault="00BD3BFB">
      <w:pPr>
        <w:rPr>
          <w:u w:val="single"/>
        </w:rPr>
      </w:pPr>
    </w:p>
    <w:p w14:paraId="4E5A8947" w14:textId="77777777" w:rsidR="00BD3BFB" w:rsidRDefault="00A70DF5">
      <w:pPr>
        <w:pStyle w:val="Nadpis2"/>
        <w:numPr>
          <w:ilvl w:val="1"/>
          <w:numId w:val="16"/>
        </w:numPr>
      </w:pPr>
      <w:bookmarkStart w:id="69" w:name="_heading=h.4k668n3" w:colFirst="0" w:colLast="0"/>
      <w:bookmarkEnd w:id="69"/>
      <w:r>
        <w:br w:type="page"/>
      </w:r>
      <w:r>
        <w:lastRenderedPageBreak/>
        <w:t>Záväzky (r. 094 a 106 súvahy)</w:t>
      </w:r>
    </w:p>
    <w:p w14:paraId="02514EA0" w14:textId="77777777" w:rsidR="00BD3BFB" w:rsidRDefault="00BD3BFB"/>
    <w:p w14:paraId="0441FDD6" w14:textId="77777777" w:rsidR="00BD3BFB" w:rsidRDefault="00A70DF5">
      <w:pPr>
        <w:pStyle w:val="Nadpis3"/>
        <w:numPr>
          <w:ilvl w:val="2"/>
          <w:numId w:val="16"/>
        </w:numPr>
      </w:pPr>
      <w:r>
        <w:t>Členenie záväzkov celkom, vrátane skupiny:</w:t>
      </w:r>
    </w:p>
    <w:p w14:paraId="72B3A693" w14:textId="77777777" w:rsidR="00BD3BFB" w:rsidRDefault="00BD3BFB">
      <w:pPr>
        <w:rPr>
          <w:u w:val="single"/>
        </w:rPr>
      </w:pPr>
    </w:p>
    <w:bookmarkStart w:id="70" w:name="_heading=h.2zbgiuw" w:colFirst="0" w:colLast="0"/>
    <w:bookmarkEnd w:id="70"/>
    <w:bookmarkStart w:id="71" w:name="_MON_1644996233"/>
    <w:bookmarkEnd w:id="71"/>
    <w:p w14:paraId="710A5033" w14:textId="77777777" w:rsidR="00BD3BFB" w:rsidRDefault="00230692">
      <w:r>
        <w:object w:dxaOrig="9298" w:dyaOrig="9598" w14:anchorId="05BC7CF5">
          <v:shape id="_x0000_i1051" type="#_x0000_t75" style="width:465pt;height:480pt" o:ole="" o:bordertopcolor="this" o:borderleftcolor="this">
            <v:imagedata r:id="rId63" o:title=""/>
            <w10:bordertop type="single" width="4"/>
            <w10:borderleft type="single" width="4"/>
          </v:shape>
          <o:OLEObject Type="Embed" ProgID="Excel.Sheet.12" ShapeID="_x0000_i1051" DrawAspect="Content" ObjectID="_1646998921" r:id="rId64"/>
        </w:object>
      </w:r>
    </w:p>
    <w:p w14:paraId="33B39A5B" w14:textId="77777777" w:rsidR="00BD3BFB" w:rsidRDefault="00BD3BFB"/>
    <w:p w14:paraId="0C356935" w14:textId="77777777" w:rsidR="00BD3BFB" w:rsidRDefault="00A70DF5">
      <w:r>
        <w:t xml:space="preserve">Bežná lehota splatnosti záväzkov je </w:t>
      </w:r>
      <w:r w:rsidR="00814FA4">
        <w:t>35</w:t>
      </w:r>
      <w:r>
        <w:t xml:space="preserve"> dní. </w:t>
      </w:r>
    </w:p>
    <w:p w14:paraId="7811C90D" w14:textId="77777777" w:rsidR="00BD3BFB" w:rsidRDefault="00BD3BFB"/>
    <w:p w14:paraId="5D5AFDC5" w14:textId="77777777" w:rsidR="00BD3BFB" w:rsidRDefault="00A70DF5">
      <w:pPr>
        <w:rPr>
          <w:u w:val="single"/>
        </w:rPr>
      </w:pPr>
      <w:bookmarkStart w:id="72" w:name="_heading=h.1egqt2p" w:colFirst="0" w:colLast="0"/>
      <w:bookmarkEnd w:id="72"/>
      <w:r>
        <w:br w:type="page"/>
      </w:r>
      <w:bookmarkStart w:id="73" w:name="_MON_1644999895"/>
      <w:bookmarkEnd w:id="73"/>
      <w:r w:rsidR="00230692">
        <w:object w:dxaOrig="9440" w:dyaOrig="2953" w14:anchorId="2B126553">
          <v:shape id="_x0000_i1052" type="#_x0000_t75" style="width:471.75pt;height:147.75pt" o:ole="" o:bordertopcolor="this" o:borderleftcolor="this">
            <v:imagedata r:id="rId65" o:title=""/>
            <w10:bordertop type="single" width="4"/>
            <w10:borderleft type="single" width="4"/>
          </v:shape>
          <o:OLEObject Type="Embed" ProgID="Excel.Sheet.12" ShapeID="_x0000_i1052" DrawAspect="Content" ObjectID="_1646998922" r:id="rId66"/>
        </w:object>
      </w:r>
    </w:p>
    <w:p w14:paraId="06C646C3" w14:textId="77777777" w:rsidR="00BD3BFB" w:rsidRDefault="00BD3BFB">
      <w:pPr>
        <w:rPr>
          <w:i/>
          <w:color w:val="FF0000"/>
        </w:rPr>
      </w:pPr>
    </w:p>
    <w:p w14:paraId="7F95524B" w14:textId="77777777" w:rsidR="00BD3BFB" w:rsidRDefault="00BD3BFB">
      <w:pPr>
        <w:tabs>
          <w:tab w:val="left" w:pos="8925"/>
        </w:tabs>
        <w:rPr>
          <w:i/>
          <w:color w:val="FF0000"/>
        </w:rPr>
      </w:pPr>
      <w:bookmarkStart w:id="74" w:name="_heading=h.3ygebqi" w:colFirst="0" w:colLast="0"/>
      <w:bookmarkEnd w:id="74"/>
    </w:p>
    <w:p w14:paraId="1E8314F0" w14:textId="77777777" w:rsidR="00BD3BFB" w:rsidRDefault="00A70DF5">
      <w:pPr>
        <w:pStyle w:val="Nadpis3"/>
        <w:numPr>
          <w:ilvl w:val="2"/>
          <w:numId w:val="16"/>
        </w:numPr>
      </w:pPr>
      <w:r>
        <w:t>Záväzky zabezpečené záložným právom alebo inou formou zabezpečenia</w:t>
      </w:r>
    </w:p>
    <w:p w14:paraId="25C7013F" w14:textId="77777777" w:rsidR="00BD3BFB" w:rsidRDefault="00BD3BFB"/>
    <w:p w14:paraId="5E87A15B" w14:textId="77777777" w:rsidR="00BD3BFB" w:rsidRPr="0062026E" w:rsidRDefault="0062026E">
      <w:r w:rsidRPr="0062026E">
        <w:t>Spoločnosť nemá zabezpečené záväzky záložným právom v prospech veriteľov Spoločnosti.</w:t>
      </w:r>
    </w:p>
    <w:p w14:paraId="1446073D" w14:textId="77777777" w:rsidR="00BD3BFB" w:rsidRDefault="00BD3BFB"/>
    <w:p w14:paraId="5D906734" w14:textId="77777777" w:rsidR="00BD3BFB" w:rsidRDefault="00BD3BFB"/>
    <w:p w14:paraId="07D43100" w14:textId="77777777" w:rsidR="00BD3BFB" w:rsidRDefault="00A70DF5">
      <w:pPr>
        <w:pStyle w:val="Nadpis3"/>
        <w:numPr>
          <w:ilvl w:val="2"/>
          <w:numId w:val="16"/>
        </w:numPr>
      </w:pPr>
      <w:r>
        <w:t>Záväzky zo sociálneho fondu</w:t>
      </w:r>
    </w:p>
    <w:p w14:paraId="7268912F" w14:textId="77777777" w:rsidR="00BD3BFB" w:rsidRDefault="00BD3BFB"/>
    <w:bookmarkStart w:id="75" w:name="_heading=h.2dlolyb" w:colFirst="0" w:colLast="0"/>
    <w:bookmarkEnd w:id="75"/>
    <w:bookmarkStart w:id="76" w:name="_MON_1645005368"/>
    <w:bookmarkEnd w:id="76"/>
    <w:p w14:paraId="30969D27" w14:textId="77777777" w:rsidR="00BD3BFB" w:rsidRDefault="0062026E">
      <w:r>
        <w:object w:dxaOrig="9821" w:dyaOrig="3142" w14:anchorId="7BC5F2F6">
          <v:shape id="_x0000_i1053" type="#_x0000_t75" style="width:491.25pt;height:156.75pt" o:ole="" o:bordertopcolor="this" o:borderleftcolor="this">
            <v:imagedata r:id="rId67" o:title=""/>
            <w10:bordertop type="single" width="4"/>
            <w10:borderleft type="single" width="4"/>
          </v:shape>
          <o:OLEObject Type="Embed" ProgID="Excel.Sheet.12" ShapeID="_x0000_i1053" DrawAspect="Content" ObjectID="_1646998923" r:id="rId68"/>
        </w:object>
      </w:r>
    </w:p>
    <w:p w14:paraId="1D17BC5C" w14:textId="77777777" w:rsidR="005E0DDC" w:rsidRDefault="005E0DDC"/>
    <w:p w14:paraId="32A1CB12" w14:textId="77777777" w:rsidR="005E0DDC" w:rsidRDefault="005E0DDC">
      <w:r>
        <w:t xml:space="preserve">Sociálny fond bude </w:t>
      </w:r>
      <w:r w:rsidR="00230692">
        <w:t>doplnený</w:t>
      </w:r>
      <w:r>
        <w:t xml:space="preserve"> z hospodárskeho výsledku v roku 2019 pri jeho rozdelení. </w:t>
      </w:r>
    </w:p>
    <w:p w14:paraId="03F84D7B" w14:textId="77777777" w:rsidR="00BD3BFB" w:rsidRDefault="00BD3BFB"/>
    <w:p w14:paraId="67C11649" w14:textId="77777777" w:rsidR="00BD3BFB" w:rsidRDefault="00A70DF5">
      <w:pPr>
        <w:pStyle w:val="Nadpis3"/>
        <w:numPr>
          <w:ilvl w:val="2"/>
          <w:numId w:val="16"/>
        </w:numPr>
      </w:pPr>
      <w:r>
        <w:t>Vydané dlhopisy</w:t>
      </w:r>
    </w:p>
    <w:p w14:paraId="7580EDF8" w14:textId="77777777" w:rsidR="00BD3BFB" w:rsidRDefault="00BD3BFB">
      <w:pPr>
        <w:rPr>
          <w:u w:val="single"/>
        </w:rPr>
      </w:pPr>
    </w:p>
    <w:p w14:paraId="6E36422B" w14:textId="77777777" w:rsidR="0062026E" w:rsidRDefault="0062026E" w:rsidP="0062026E">
      <w:r w:rsidRPr="006A7C90">
        <w:t>Spoločnosť nemá náplň pre túto položku.</w:t>
      </w:r>
    </w:p>
    <w:p w14:paraId="32956E39" w14:textId="77777777" w:rsidR="00BD3BFB" w:rsidRDefault="00BD3BFB"/>
    <w:p w14:paraId="29B24B43" w14:textId="77777777" w:rsidR="00BD3BFB" w:rsidRDefault="00A70DF5">
      <w:pPr>
        <w:pStyle w:val="Nadpis2"/>
        <w:numPr>
          <w:ilvl w:val="1"/>
          <w:numId w:val="16"/>
        </w:numPr>
      </w:pPr>
      <w:bookmarkStart w:id="77" w:name="_heading=h.sqyw64" w:colFirst="0" w:colLast="0"/>
      <w:bookmarkEnd w:id="77"/>
      <w:r>
        <w:t>Pôžičky a krátkodobé finančné výpomoci</w:t>
      </w:r>
    </w:p>
    <w:p w14:paraId="37FE18EA" w14:textId="77777777" w:rsidR="00BD3BFB" w:rsidRDefault="00BD3BFB"/>
    <w:p w14:paraId="2A0E9F1A" w14:textId="77777777" w:rsidR="0062026E" w:rsidRDefault="0062026E" w:rsidP="0062026E">
      <w:r w:rsidRPr="006A7C90">
        <w:t>Spoločnosť nemá náplň pre túto položku.</w:t>
      </w:r>
    </w:p>
    <w:p w14:paraId="0DFA76F9" w14:textId="77777777" w:rsidR="00BD3BFB" w:rsidRDefault="00BD3BFB"/>
    <w:p w14:paraId="5CB2EFB8" w14:textId="77777777" w:rsidR="00BD3BFB" w:rsidRDefault="00BD3BFB">
      <w:bookmarkStart w:id="78" w:name="_heading=h.3cqmetx" w:colFirst="0" w:colLast="0"/>
      <w:bookmarkEnd w:id="78"/>
    </w:p>
    <w:p w14:paraId="57A347B3" w14:textId="77777777" w:rsidR="0062026E" w:rsidRDefault="0062026E">
      <w:r>
        <w:br w:type="page"/>
      </w:r>
    </w:p>
    <w:p w14:paraId="2E028069" w14:textId="77777777" w:rsidR="00BD3BFB" w:rsidRDefault="00A70DF5">
      <w:pPr>
        <w:pStyle w:val="Nadpis2"/>
        <w:numPr>
          <w:ilvl w:val="1"/>
          <w:numId w:val="16"/>
        </w:numPr>
      </w:pPr>
      <w:r>
        <w:lastRenderedPageBreak/>
        <w:t>Bankové úvery (r. 118 súvahy)</w:t>
      </w:r>
    </w:p>
    <w:p w14:paraId="31050294" w14:textId="77777777" w:rsidR="00BD3BFB" w:rsidRDefault="00BD3BFB">
      <w:pPr>
        <w:rPr>
          <w:sz w:val="15"/>
          <w:szCs w:val="15"/>
          <w:u w:val="single"/>
        </w:rPr>
      </w:pPr>
    </w:p>
    <w:bookmarkStart w:id="79" w:name="_heading=h.1rvwp1q" w:colFirst="0" w:colLast="0"/>
    <w:bookmarkEnd w:id="79"/>
    <w:bookmarkStart w:id="80" w:name="_MON_1645005869"/>
    <w:bookmarkEnd w:id="80"/>
    <w:p w14:paraId="2840B7B7" w14:textId="09A6825E" w:rsidR="00BD3BFB" w:rsidRDefault="00BB3B71">
      <w:pPr>
        <w:rPr>
          <w:sz w:val="15"/>
          <w:szCs w:val="15"/>
          <w:u w:val="single"/>
        </w:rPr>
      </w:pPr>
      <w:r>
        <w:object w:dxaOrig="9783" w:dyaOrig="5964" w14:anchorId="7406C5CE">
          <v:shape id="_x0000_i1054" type="#_x0000_t75" style="width:489pt;height:298.5pt" o:ole="" o:bordertopcolor="this" o:borderleftcolor="this">
            <v:imagedata r:id="rId69" o:title=""/>
            <w10:bordertop type="single" width="4"/>
            <w10:borderleft type="single" width="4"/>
          </v:shape>
          <o:OLEObject Type="Embed" ProgID="Excel.Sheet.12" ShapeID="_x0000_i1054" DrawAspect="Content" ObjectID="_1646998924" r:id="rId70"/>
        </w:object>
      </w:r>
    </w:p>
    <w:p w14:paraId="55D4BA0D" w14:textId="77777777" w:rsidR="00BD3BFB" w:rsidRDefault="00BD3BFB">
      <w:pPr>
        <w:rPr>
          <w:sz w:val="15"/>
          <w:szCs w:val="15"/>
          <w:u w:val="single"/>
        </w:rPr>
      </w:pPr>
    </w:p>
    <w:p w14:paraId="5CF26501" w14:textId="77777777" w:rsidR="00BD3BFB" w:rsidRDefault="00BD3BFB">
      <w:pPr>
        <w:rPr>
          <w:sz w:val="15"/>
          <w:szCs w:val="15"/>
          <w:u w:val="single"/>
        </w:rPr>
      </w:pPr>
    </w:p>
    <w:p w14:paraId="5A19C0DC" w14:textId="77777777" w:rsidR="00BD3BFB" w:rsidRDefault="00A70DF5">
      <w:pPr>
        <w:pStyle w:val="Nadpis2"/>
        <w:numPr>
          <w:ilvl w:val="1"/>
          <w:numId w:val="16"/>
        </w:numPr>
      </w:pPr>
      <w:r>
        <w:t>Časové rozlíšenie (r. 121 súvahy)</w:t>
      </w:r>
    </w:p>
    <w:p w14:paraId="2908AE89" w14:textId="77777777" w:rsidR="00BD3BFB" w:rsidRDefault="00BD3BFB"/>
    <w:bookmarkStart w:id="81" w:name="_heading=h.4bvk7pj" w:colFirst="0" w:colLast="0"/>
    <w:bookmarkEnd w:id="81"/>
    <w:bookmarkStart w:id="82" w:name="_MON_1645006189"/>
    <w:bookmarkEnd w:id="82"/>
    <w:p w14:paraId="4D1C85DA" w14:textId="77777777" w:rsidR="00BD3BFB" w:rsidRDefault="00B15991">
      <w:r>
        <w:object w:dxaOrig="9540" w:dyaOrig="1896" w14:anchorId="42DF70CA">
          <v:shape id="_x0000_i1055" type="#_x0000_t75" style="width:477pt;height:94.5pt" o:ole="" o:bordertopcolor="this" o:borderleftcolor="this">
            <v:imagedata r:id="rId71" o:title=""/>
            <w10:bordertop type="single" width="4"/>
            <w10:borderleft type="single" width="4"/>
          </v:shape>
          <o:OLEObject Type="Embed" ProgID="Excel.Sheet.12" ShapeID="_x0000_i1055" DrawAspect="Content" ObjectID="_1646998925" r:id="rId72"/>
        </w:object>
      </w:r>
    </w:p>
    <w:p w14:paraId="5A47CBFE" w14:textId="77777777" w:rsidR="00BD3BFB" w:rsidRDefault="00BD3BFB"/>
    <w:p w14:paraId="0F69BA46" w14:textId="77777777" w:rsidR="00BD3BFB" w:rsidRDefault="00A70DF5">
      <w:pPr>
        <w:pStyle w:val="Nadpis2"/>
        <w:numPr>
          <w:ilvl w:val="1"/>
          <w:numId w:val="16"/>
        </w:numPr>
      </w:pPr>
      <w:r>
        <w:t>Deriváty</w:t>
      </w:r>
    </w:p>
    <w:p w14:paraId="661BD197" w14:textId="77777777" w:rsidR="00BD3BFB" w:rsidRDefault="00BD3BFB">
      <w:pPr>
        <w:rPr>
          <w:color w:val="000000"/>
        </w:rPr>
      </w:pPr>
    </w:p>
    <w:p w14:paraId="5444769B" w14:textId="77777777" w:rsidR="00B15991" w:rsidRDefault="00B15991" w:rsidP="00B15991">
      <w:bookmarkStart w:id="83" w:name="_heading=h.2r0uhxc" w:colFirst="0" w:colLast="0"/>
      <w:bookmarkEnd w:id="83"/>
      <w:r w:rsidRPr="006A7C90">
        <w:t>Spoločnosť nemá náplň pre túto položku.</w:t>
      </w:r>
    </w:p>
    <w:p w14:paraId="6186EF99" w14:textId="77777777" w:rsidR="00BD3BFB" w:rsidRDefault="00BD3BFB">
      <w:pPr>
        <w:rPr>
          <w:color w:val="000000"/>
        </w:rPr>
      </w:pPr>
    </w:p>
    <w:p w14:paraId="10A2B1E0" w14:textId="77777777" w:rsidR="00BD3BFB" w:rsidRDefault="00BD3BFB">
      <w:bookmarkStart w:id="84" w:name="_heading=h.1664s55" w:colFirst="0" w:colLast="0"/>
      <w:bookmarkEnd w:id="84"/>
    </w:p>
    <w:p w14:paraId="4C8EAA6D" w14:textId="77777777" w:rsidR="00B15991" w:rsidRDefault="00B15991">
      <w:pPr>
        <w:rPr>
          <w:rFonts w:cs="Arial"/>
          <w:b/>
          <w:bCs/>
          <w:iCs/>
          <w:szCs w:val="28"/>
        </w:rPr>
      </w:pPr>
      <w:r>
        <w:br w:type="page"/>
      </w:r>
    </w:p>
    <w:p w14:paraId="182CFF73" w14:textId="77777777" w:rsidR="00BD3BFB" w:rsidRDefault="00A70DF5">
      <w:pPr>
        <w:pStyle w:val="Nadpis2"/>
        <w:numPr>
          <w:ilvl w:val="1"/>
          <w:numId w:val="16"/>
        </w:numPr>
      </w:pPr>
      <w:r>
        <w:lastRenderedPageBreak/>
        <w:t>Záväzky z finančného prenájmu (u nájomcu)</w:t>
      </w:r>
    </w:p>
    <w:p w14:paraId="1150AF2E" w14:textId="77777777" w:rsidR="00BD3BFB" w:rsidRDefault="00BD3BFB"/>
    <w:p w14:paraId="5F5D275D" w14:textId="77777777" w:rsidR="00BD3BFB" w:rsidRDefault="00A70DF5">
      <w:r>
        <w:t>Celková suma dohodnutých platieb v členení na istinu a nerealizované finančné náklady je k 31. decembru 201</w:t>
      </w:r>
      <w:r w:rsidR="00646D8E" w:rsidRPr="0073232A">
        <w:t>8</w:t>
      </w:r>
      <w:r>
        <w:t xml:space="preserve"> a 31. decembru 201</w:t>
      </w:r>
      <w:r w:rsidR="00646D8E">
        <w:t>9</w:t>
      </w:r>
      <w:r>
        <w:t xml:space="preserve"> takáto:</w:t>
      </w:r>
    </w:p>
    <w:p w14:paraId="13BC08B5" w14:textId="77777777" w:rsidR="00BD3BFB" w:rsidRDefault="00BD3BFB"/>
    <w:bookmarkStart w:id="85" w:name="_heading=h.25b2l0r" w:colFirst="0" w:colLast="0"/>
    <w:bookmarkEnd w:id="85"/>
    <w:bookmarkStart w:id="86" w:name="_MON_1645008695"/>
    <w:bookmarkEnd w:id="86"/>
    <w:p w14:paraId="2FA6CD24" w14:textId="77777777" w:rsidR="00BD3BFB" w:rsidRDefault="00724315">
      <w:r>
        <w:object w:dxaOrig="9287" w:dyaOrig="3056" w14:anchorId="10F6C017">
          <v:shape id="_x0000_i1056" type="#_x0000_t75" style="width:464.25pt;height:153pt" o:ole="" o:bordertopcolor="this" o:borderleftcolor="this">
            <v:imagedata r:id="rId73" o:title=""/>
            <w10:bordertop type="single" width="4"/>
            <w10:borderleft type="single" width="4"/>
          </v:shape>
          <o:OLEObject Type="Embed" ProgID="Excel.Sheet.12" ShapeID="_x0000_i1056" DrawAspect="Content" ObjectID="_1646998926" r:id="rId74"/>
        </w:object>
      </w:r>
    </w:p>
    <w:p w14:paraId="2D189933" w14:textId="77777777" w:rsidR="00BD3BFB" w:rsidRDefault="00BD3BFB"/>
    <w:p w14:paraId="23B9F912" w14:textId="77777777" w:rsidR="00BD3BFB" w:rsidRDefault="00A70DF5">
      <w:r>
        <w:t xml:space="preserve">Finančný prenájom sa týka najmä prenájmu dopravných prostriedkov a zariadení. Priemerná doba trvania prenájmu je </w:t>
      </w:r>
      <w:r w:rsidR="00724315">
        <w:t>4</w:t>
      </w:r>
      <w:r>
        <w:t xml:space="preserve"> rok</w:t>
      </w:r>
      <w:r w:rsidR="00724315">
        <w:t>y</w:t>
      </w:r>
      <w:r>
        <w:t>. V roku končiacom sa 31. decembra 201</w:t>
      </w:r>
      <w:r w:rsidR="00646D8E">
        <w:t>9</w:t>
      </w:r>
      <w:r>
        <w:t xml:space="preserve"> dosahovala priemerná efektívna úroková miera </w:t>
      </w:r>
      <w:r w:rsidR="00904249">
        <w:t>6,27</w:t>
      </w:r>
      <w:r>
        <w:t>%</w:t>
      </w:r>
      <w:r w:rsidR="00904249">
        <w:t xml:space="preserve"> </w:t>
      </w:r>
      <w:proofErr w:type="spellStart"/>
      <w:r w:rsidR="00904249">
        <w:t>p.a</w:t>
      </w:r>
      <w:proofErr w:type="spellEnd"/>
      <w:r w:rsidR="00904249">
        <w:t>.</w:t>
      </w:r>
      <w:r>
        <w:t xml:space="preserve"> Úrokové sadzby sú stanovené pevnou sadzbou ku dňu uzatvorenia zmluvy.</w:t>
      </w:r>
    </w:p>
    <w:p w14:paraId="3094DC37" w14:textId="77777777" w:rsidR="00BD3BFB" w:rsidRDefault="00BD3BFB">
      <w:pPr>
        <w:rPr>
          <w:sz w:val="14"/>
          <w:szCs w:val="14"/>
        </w:rPr>
      </w:pPr>
    </w:p>
    <w:p w14:paraId="59D0F80E" w14:textId="77777777" w:rsidR="00BD3BFB" w:rsidRDefault="00A70DF5">
      <w:r>
        <w:t>Všetky záväzky z finančného prenájmu sú denominované v eurách.</w:t>
      </w:r>
    </w:p>
    <w:p w14:paraId="40C91544" w14:textId="77777777" w:rsidR="00BD3BFB" w:rsidRDefault="00BD3BFB">
      <w:pPr>
        <w:rPr>
          <w:sz w:val="14"/>
          <w:szCs w:val="14"/>
        </w:rPr>
      </w:pPr>
    </w:p>
    <w:p w14:paraId="7D41A5EB" w14:textId="77777777" w:rsidR="00BD3BFB" w:rsidRDefault="00A70DF5">
      <w:r>
        <w:t>Záväzky spoločnosti vyplývajúce z finančného prenájmu zabezpečuje prenajatý majetok.</w:t>
      </w:r>
    </w:p>
    <w:p w14:paraId="5A872EDE" w14:textId="77777777" w:rsidR="00904249" w:rsidRDefault="00904249"/>
    <w:p w14:paraId="0F1DD64A" w14:textId="77777777" w:rsidR="00904249" w:rsidRDefault="00904249">
      <w:r>
        <w:t>Majetok nadobudnutý prostredníctvom finančného lízingu je predmetom poistenia.</w:t>
      </w:r>
    </w:p>
    <w:p w14:paraId="06B28DFB" w14:textId="77777777" w:rsidR="00BD3BFB" w:rsidRDefault="00BD3BFB"/>
    <w:p w14:paraId="0AFD9966" w14:textId="77777777" w:rsidR="00BD3BFB" w:rsidRDefault="00BD3BFB"/>
    <w:p w14:paraId="3DF28EE9" w14:textId="77777777" w:rsidR="00BD3BFB" w:rsidRPr="0013196A" w:rsidRDefault="00A70DF5">
      <w:pPr>
        <w:pStyle w:val="Nadpis1"/>
        <w:numPr>
          <w:ilvl w:val="0"/>
          <w:numId w:val="16"/>
        </w:numPr>
      </w:pPr>
      <w:r>
        <w:br w:type="page"/>
      </w:r>
      <w:r w:rsidRPr="0013196A">
        <w:lastRenderedPageBreak/>
        <w:t>Odložená daňová pohľadávka / záväzok</w:t>
      </w:r>
    </w:p>
    <w:p w14:paraId="1D61449B" w14:textId="77777777" w:rsidR="00BD3BFB" w:rsidRDefault="00BD3BFB"/>
    <w:bookmarkStart w:id="87" w:name="_heading=h.kgcv8k" w:colFirst="0" w:colLast="0"/>
    <w:bookmarkEnd w:id="87"/>
    <w:bookmarkStart w:id="88" w:name="_MON_1645269050"/>
    <w:bookmarkEnd w:id="88"/>
    <w:p w14:paraId="3791BE7C" w14:textId="77777777" w:rsidR="00BD3BFB" w:rsidRDefault="00AE4985">
      <w:r>
        <w:object w:dxaOrig="9536" w:dyaOrig="5600" w14:anchorId="6533E980">
          <v:shape id="_x0000_i1057" type="#_x0000_t75" style="width:477pt;height:279.75pt" o:ole="" o:bordertopcolor="this" o:borderleftcolor="this">
            <v:imagedata r:id="rId75" o:title=""/>
            <w10:bordertop type="single" width="4"/>
            <w10:borderleft type="single" width="4"/>
          </v:shape>
          <o:OLEObject Type="Embed" ProgID="Excel.Sheet.12" ShapeID="_x0000_i1057" DrawAspect="Content" ObjectID="_1646998927" r:id="rId76"/>
        </w:object>
      </w:r>
    </w:p>
    <w:p w14:paraId="6D455C28" w14:textId="77777777" w:rsidR="00BD3BFB" w:rsidRDefault="00BD3BFB">
      <w:pPr>
        <w:rPr>
          <w:sz w:val="14"/>
          <w:szCs w:val="14"/>
        </w:rPr>
      </w:pPr>
    </w:p>
    <w:p w14:paraId="18ED64D1" w14:textId="77777777" w:rsidR="00BD3BFB" w:rsidRDefault="00BD3BFB">
      <w:pPr>
        <w:rPr>
          <w:sz w:val="14"/>
          <w:szCs w:val="14"/>
        </w:rPr>
      </w:pPr>
    </w:p>
    <w:p w14:paraId="66416A2F" w14:textId="77777777" w:rsidR="00BD3BFB" w:rsidRDefault="00BD3BFB">
      <w:pPr>
        <w:rPr>
          <w:sz w:val="14"/>
          <w:szCs w:val="14"/>
        </w:rPr>
      </w:pPr>
    </w:p>
    <w:p w14:paraId="7693791E" w14:textId="77777777" w:rsidR="00646D8E" w:rsidRDefault="00646D8E">
      <w:pPr>
        <w:rPr>
          <w:rFonts w:cs="Arial"/>
          <w:b/>
          <w:bCs/>
          <w:caps/>
          <w:kern w:val="32"/>
          <w:sz w:val="18"/>
          <w:szCs w:val="32"/>
          <w:u w:val="single"/>
        </w:rPr>
      </w:pPr>
      <w:r>
        <w:br w:type="page"/>
      </w:r>
    </w:p>
    <w:p w14:paraId="129A7142" w14:textId="77777777" w:rsidR="00BD3BFB" w:rsidRDefault="00A70DF5">
      <w:pPr>
        <w:pStyle w:val="Nadpis1"/>
        <w:numPr>
          <w:ilvl w:val="0"/>
          <w:numId w:val="16"/>
        </w:numPr>
      </w:pPr>
      <w:r>
        <w:lastRenderedPageBreak/>
        <w:t>Výnosy</w:t>
      </w:r>
    </w:p>
    <w:p w14:paraId="49F7A01B" w14:textId="77777777" w:rsidR="00BD3BFB" w:rsidRDefault="00BD3BFB">
      <w:pPr>
        <w:rPr>
          <w:sz w:val="14"/>
          <w:szCs w:val="14"/>
        </w:rPr>
      </w:pPr>
    </w:p>
    <w:p w14:paraId="3BC60F50" w14:textId="77777777" w:rsidR="00BD3BFB" w:rsidRDefault="00A70DF5">
      <w:pPr>
        <w:pStyle w:val="Nadpis2"/>
        <w:numPr>
          <w:ilvl w:val="1"/>
          <w:numId w:val="16"/>
        </w:numPr>
      </w:pPr>
      <w:r>
        <w:t>Výnosy z hospodárskej činnosti</w:t>
      </w:r>
    </w:p>
    <w:p w14:paraId="3846524B" w14:textId="77777777" w:rsidR="00BD3BFB" w:rsidRDefault="00BD3BFB">
      <w:pPr>
        <w:rPr>
          <w:b/>
          <w:sz w:val="14"/>
          <w:szCs w:val="14"/>
        </w:rPr>
      </w:pPr>
    </w:p>
    <w:p w14:paraId="7CCFE61A" w14:textId="77777777" w:rsidR="00BD3BFB" w:rsidRPr="006A0240" w:rsidRDefault="00A70DF5">
      <w:pPr>
        <w:pStyle w:val="Nadpis3"/>
        <w:numPr>
          <w:ilvl w:val="2"/>
          <w:numId w:val="16"/>
        </w:numPr>
      </w:pPr>
      <w:r w:rsidRPr="006A0240">
        <w:t>Tržby z predaja tovaru, vlastných výrobkov a služieb (r. 01 a 05 výkazu ziskov a strát)</w:t>
      </w:r>
    </w:p>
    <w:p w14:paraId="4EBB7200" w14:textId="77777777" w:rsidR="00BD3BFB" w:rsidRDefault="00A70DF5">
      <w:r>
        <w:t xml:space="preserve"> </w:t>
      </w:r>
      <w:bookmarkStart w:id="89" w:name="_heading=h.34g0dwd" w:colFirst="0" w:colLast="0"/>
      <w:bookmarkEnd w:id="89"/>
      <w:bookmarkStart w:id="90" w:name="_MON_1645010335"/>
      <w:bookmarkEnd w:id="90"/>
      <w:r w:rsidR="00AE4985">
        <w:object w:dxaOrig="9582" w:dyaOrig="2532" w14:anchorId="1391C7B8">
          <v:shape id="_x0000_i1058" type="#_x0000_t75" style="width:479.25pt;height:126.75pt" o:ole="" o:bordertopcolor="this" o:borderleftcolor="this">
            <v:imagedata r:id="rId77" o:title=""/>
            <w10:bordertop type="single" width="4"/>
            <w10:borderleft type="single" width="4"/>
          </v:shape>
          <o:OLEObject Type="Embed" ProgID="Excel.Sheet.12" ShapeID="_x0000_i1058" DrawAspect="Content" ObjectID="_1646998928" r:id="rId78"/>
        </w:object>
      </w:r>
    </w:p>
    <w:p w14:paraId="08113BE6" w14:textId="77777777" w:rsidR="00BD3BFB" w:rsidRDefault="00BD3BFB"/>
    <w:p w14:paraId="1833AE7D" w14:textId="77777777" w:rsidR="00BD3BFB" w:rsidRDefault="00A70DF5">
      <w:pPr>
        <w:pStyle w:val="Nadpis3"/>
        <w:numPr>
          <w:ilvl w:val="2"/>
          <w:numId w:val="16"/>
        </w:numPr>
      </w:pPr>
      <w:r>
        <w:t>Zmena stavu vnútroorganizačných zásob (r. 06 výkazu ziskov a strát)</w:t>
      </w:r>
    </w:p>
    <w:p w14:paraId="11B9B346" w14:textId="77777777" w:rsidR="00BD3BFB" w:rsidRDefault="00BD3BFB">
      <w:pPr>
        <w:rPr>
          <w:u w:val="single"/>
        </w:rPr>
      </w:pPr>
    </w:p>
    <w:p w14:paraId="1C1F514F" w14:textId="77777777" w:rsidR="00646D8E" w:rsidRDefault="00646D8E" w:rsidP="00646D8E">
      <w:bookmarkStart w:id="91" w:name="_heading=h.1jlao46" w:colFirst="0" w:colLast="0"/>
      <w:bookmarkEnd w:id="91"/>
      <w:r w:rsidRPr="006A7C90">
        <w:t>Spoločnosť nemá náplň pre túto položku.</w:t>
      </w:r>
    </w:p>
    <w:p w14:paraId="787F051C" w14:textId="77777777" w:rsidR="00BD3BFB" w:rsidRDefault="00BD3BFB"/>
    <w:p w14:paraId="3BF3F2F7" w14:textId="77777777" w:rsidR="00BD3BFB" w:rsidRDefault="00A70DF5">
      <w:pPr>
        <w:pStyle w:val="Nadpis2"/>
        <w:numPr>
          <w:ilvl w:val="1"/>
          <w:numId w:val="16"/>
        </w:numPr>
        <w:jc w:val="left"/>
      </w:pPr>
      <w:r>
        <w:t>Výnosy pri aktivácií nákladov, ostatné výnosy z hospodárskej činnosti, výnosy z finančnej a mimoriadnej činnosti</w:t>
      </w:r>
    </w:p>
    <w:p w14:paraId="18BCC7DF" w14:textId="77777777" w:rsidR="00BD3BFB" w:rsidRDefault="00BD3BFB"/>
    <w:bookmarkStart w:id="92" w:name="_heading=h.43ky6rz" w:colFirst="0" w:colLast="0"/>
    <w:bookmarkEnd w:id="92"/>
    <w:bookmarkStart w:id="93" w:name="_MON_1645091273"/>
    <w:bookmarkEnd w:id="93"/>
    <w:p w14:paraId="1D4C7D32" w14:textId="77777777" w:rsidR="00BD3BFB" w:rsidRDefault="00AE4985">
      <w:r>
        <w:object w:dxaOrig="9567" w:dyaOrig="5439" w14:anchorId="5AA786C1">
          <v:shape id="_x0000_i1059" type="#_x0000_t75" style="width:478.5pt;height:272.25pt" o:ole="" o:bordertopcolor="this" o:borderleftcolor="this">
            <v:imagedata r:id="rId79" o:title=""/>
            <w10:bordertop type="single" width="4"/>
            <w10:borderleft type="single" width="4"/>
          </v:shape>
          <o:OLEObject Type="Embed" ProgID="Excel.Sheet.12" ShapeID="_x0000_i1059" DrawAspect="Content" ObjectID="_1646998929" r:id="rId80"/>
        </w:object>
      </w:r>
    </w:p>
    <w:p w14:paraId="1A6BB012" w14:textId="77777777" w:rsidR="00BD3BFB" w:rsidRDefault="00BD3BFB"/>
    <w:p w14:paraId="304E7244" w14:textId="77777777" w:rsidR="00E97D30" w:rsidRDefault="00E97D30" w:rsidP="00E97D30"/>
    <w:p w14:paraId="4C82585E" w14:textId="77777777" w:rsidR="00E97D30" w:rsidRDefault="00E97D30" w:rsidP="00E97D30"/>
    <w:p w14:paraId="3F84FACB" w14:textId="77777777" w:rsidR="00E97D30" w:rsidRDefault="00E97D30"/>
    <w:p w14:paraId="6B96261E" w14:textId="77777777" w:rsidR="00BD3BFB" w:rsidRDefault="00BD3BFB"/>
    <w:p w14:paraId="7A414E12" w14:textId="77777777" w:rsidR="008C1CA5" w:rsidRDefault="008C1CA5">
      <w:pPr>
        <w:rPr>
          <w:rFonts w:cs="Arial"/>
          <w:b/>
          <w:bCs/>
          <w:iCs/>
          <w:szCs w:val="28"/>
        </w:rPr>
      </w:pPr>
      <w:r>
        <w:br w:type="page"/>
      </w:r>
    </w:p>
    <w:p w14:paraId="365D0E70" w14:textId="77777777" w:rsidR="00BD3BFB" w:rsidRDefault="00A70DF5">
      <w:pPr>
        <w:pStyle w:val="Nadpis2"/>
        <w:numPr>
          <w:ilvl w:val="1"/>
          <w:numId w:val="16"/>
        </w:numPr>
      </w:pPr>
      <w:r>
        <w:lastRenderedPageBreak/>
        <w:t xml:space="preserve">Čistý obrat </w:t>
      </w:r>
    </w:p>
    <w:p w14:paraId="2AFFA8F1" w14:textId="77777777" w:rsidR="00BD3BFB" w:rsidRDefault="00BD3BFB"/>
    <w:bookmarkStart w:id="94" w:name="_heading=h.2iq8gzs" w:colFirst="0" w:colLast="0"/>
    <w:bookmarkEnd w:id="94"/>
    <w:bookmarkStart w:id="95" w:name="_MON_1645010155"/>
    <w:bookmarkEnd w:id="95"/>
    <w:p w14:paraId="2D00FF9E" w14:textId="77777777" w:rsidR="00BD3BFB" w:rsidRDefault="00904249">
      <w:r>
        <w:object w:dxaOrig="9552" w:dyaOrig="2609" w14:anchorId="67E97AB2">
          <v:shape id="_x0000_i1060" type="#_x0000_t75" style="width:477.75pt;height:130.5pt" o:ole="" o:bordertopcolor="this" o:borderleftcolor="this">
            <v:imagedata r:id="rId81" o:title=""/>
            <w10:bordertop type="single" width="4"/>
            <w10:borderleft type="single" width="4"/>
          </v:shape>
          <o:OLEObject Type="Embed" ProgID="Excel.Sheet.12" ShapeID="_x0000_i1060" DrawAspect="Content" ObjectID="_1646998930" r:id="rId82"/>
        </w:object>
      </w:r>
    </w:p>
    <w:p w14:paraId="1A5B109D" w14:textId="77777777" w:rsidR="00BD3BFB" w:rsidRDefault="00BD3BFB"/>
    <w:p w14:paraId="32992410" w14:textId="77777777" w:rsidR="00BD3BFB" w:rsidRDefault="00BD3BFB"/>
    <w:p w14:paraId="3809492A" w14:textId="77777777" w:rsidR="00BD3BFB" w:rsidRDefault="00BD3BFB"/>
    <w:p w14:paraId="57489172" w14:textId="77777777" w:rsidR="00BD3BFB" w:rsidRDefault="00BD3BFB"/>
    <w:p w14:paraId="16009D4E" w14:textId="77777777" w:rsidR="00BD3BFB" w:rsidRDefault="00A70DF5">
      <w:pPr>
        <w:pStyle w:val="Nadpis1"/>
        <w:numPr>
          <w:ilvl w:val="0"/>
          <w:numId w:val="16"/>
        </w:numPr>
      </w:pPr>
      <w:r>
        <w:br w:type="page"/>
      </w:r>
      <w:r>
        <w:lastRenderedPageBreak/>
        <w:t>NÁKLADY</w:t>
      </w:r>
    </w:p>
    <w:p w14:paraId="309F797A" w14:textId="77777777" w:rsidR="00BD3BFB" w:rsidRDefault="00BD3BFB"/>
    <w:p w14:paraId="71040360" w14:textId="77777777" w:rsidR="00BD3BFB" w:rsidRDefault="00A70DF5">
      <w:r>
        <w:t>Tabuľka musí sedieť na celkové náklady</w:t>
      </w:r>
    </w:p>
    <w:p w14:paraId="420273B5" w14:textId="77777777" w:rsidR="00BD3BFB" w:rsidRDefault="00BD3BFB"/>
    <w:bookmarkStart w:id="96" w:name="_heading=h.xvir7l" w:colFirst="0" w:colLast="0"/>
    <w:bookmarkEnd w:id="96"/>
    <w:bookmarkStart w:id="97" w:name="_MON_1645092143"/>
    <w:bookmarkEnd w:id="97"/>
    <w:p w14:paraId="731DCE14" w14:textId="77777777" w:rsidR="00BD3BFB" w:rsidRDefault="00932ABB">
      <w:r>
        <w:object w:dxaOrig="9060" w:dyaOrig="11235" w14:anchorId="0314DDAD">
          <v:shape id="_x0000_i1061" type="#_x0000_t75" style="width:453pt;height:561.75pt" o:ole="" o:bordertopcolor="this" o:borderleftcolor="this">
            <v:imagedata r:id="rId83" o:title=""/>
            <w10:bordertop type="single" width="4"/>
            <w10:borderleft type="single" width="4"/>
          </v:shape>
          <o:OLEObject Type="Embed" ProgID="Excel.Sheet.12" ShapeID="_x0000_i1061" DrawAspect="Content" ObjectID="_1646998931" r:id="rId84"/>
        </w:object>
      </w:r>
    </w:p>
    <w:p w14:paraId="5977C19C" w14:textId="77777777" w:rsidR="00BD3BFB" w:rsidRDefault="00BD3BFB"/>
    <w:p w14:paraId="624B70AF" w14:textId="77777777" w:rsidR="00BD3BFB" w:rsidRDefault="00BD3BFB"/>
    <w:p w14:paraId="032EE2D0" w14:textId="77777777" w:rsidR="00BD3BFB" w:rsidRDefault="00BD3BFB"/>
    <w:p w14:paraId="38BFF4FE" w14:textId="77777777" w:rsidR="00BD3BFB" w:rsidRDefault="00A70DF5">
      <w:pPr>
        <w:pStyle w:val="Nadpis1"/>
        <w:numPr>
          <w:ilvl w:val="0"/>
          <w:numId w:val="16"/>
        </w:numPr>
      </w:pPr>
      <w:r>
        <w:br w:type="page"/>
      </w:r>
      <w:r>
        <w:lastRenderedPageBreak/>
        <w:t>DAŇ Z PRÍJMOV</w:t>
      </w:r>
    </w:p>
    <w:p w14:paraId="37268D4B" w14:textId="77777777" w:rsidR="00BD3BFB" w:rsidRDefault="00BD3BFB">
      <w:pPr>
        <w:rPr>
          <w:sz w:val="18"/>
          <w:szCs w:val="18"/>
        </w:rPr>
      </w:pPr>
    </w:p>
    <w:p w14:paraId="5D0738A2" w14:textId="77777777" w:rsidR="00BD3BFB" w:rsidRDefault="00A70DF5">
      <w:r w:rsidRPr="004B4AC9">
        <w:t>Sadzba dane z príjmov pre rok 201</w:t>
      </w:r>
      <w:r w:rsidR="008C1CA5" w:rsidRPr="004B4AC9">
        <w:t>9</w:t>
      </w:r>
      <w:r w:rsidRPr="004B4AC9">
        <w:t xml:space="preserve"> je </w:t>
      </w:r>
      <w:r w:rsidR="008C1CA5" w:rsidRPr="004B4AC9">
        <w:t>21</w:t>
      </w:r>
      <w:r w:rsidRPr="004B4AC9">
        <w:t>%. Spoločnosť nemala žiadne úľavy z daní.</w:t>
      </w:r>
    </w:p>
    <w:p w14:paraId="79147624" w14:textId="77777777" w:rsidR="00BD3BFB" w:rsidRDefault="00BD3BFB">
      <w:pPr>
        <w:rPr>
          <w:sz w:val="18"/>
          <w:szCs w:val="18"/>
        </w:rPr>
      </w:pPr>
    </w:p>
    <w:p w14:paraId="2105345F" w14:textId="77777777" w:rsidR="00BD3BFB" w:rsidRDefault="00A70DF5">
      <w:r>
        <w:t xml:space="preserve">Na výpočet odloženej dane bola použitá sadzba dane z príjmov právnických osôb </w:t>
      </w:r>
      <w:r w:rsidR="008C1CA5">
        <w:t>21</w:t>
      </w:r>
      <w:r>
        <w:t>%</w:t>
      </w:r>
      <w:r w:rsidR="008C1CA5">
        <w:t>.</w:t>
      </w:r>
    </w:p>
    <w:p w14:paraId="5FB6EC90" w14:textId="77777777" w:rsidR="00BD3BFB" w:rsidRDefault="00BD3BFB">
      <w:pPr>
        <w:rPr>
          <w:u w:val="single"/>
        </w:rPr>
      </w:pPr>
    </w:p>
    <w:bookmarkStart w:id="98" w:name="_heading=h.3hv69ve" w:colFirst="0" w:colLast="0"/>
    <w:bookmarkEnd w:id="98"/>
    <w:bookmarkStart w:id="99" w:name="_MON_1645270176"/>
    <w:bookmarkEnd w:id="99"/>
    <w:p w14:paraId="079E382B" w14:textId="77777777" w:rsidR="00BD3BFB" w:rsidRDefault="00B41255">
      <w:pPr>
        <w:rPr>
          <w:u w:val="single"/>
        </w:rPr>
      </w:pPr>
      <w:r>
        <w:rPr>
          <w:u w:val="single"/>
        </w:rPr>
        <w:object w:dxaOrig="9565" w:dyaOrig="6039" w14:anchorId="5288F59C">
          <v:shape id="_x0000_i1062" type="#_x0000_t75" style="width:478.5pt;height:302.25pt" o:ole="">
            <v:imagedata r:id="rId85" o:title=""/>
          </v:shape>
          <o:OLEObject Type="Embed" ProgID="Excel.Sheet.12" ShapeID="_x0000_i1062" DrawAspect="Content" ObjectID="_1646998932" r:id="rId86"/>
        </w:object>
      </w:r>
    </w:p>
    <w:p w14:paraId="5BDD73A8" w14:textId="77777777" w:rsidR="008C1CA5" w:rsidRDefault="008C1CA5">
      <w:pPr>
        <w:rPr>
          <w:u w:val="single"/>
        </w:rPr>
      </w:pPr>
    </w:p>
    <w:p w14:paraId="59AACA0C" w14:textId="77777777" w:rsidR="00BD3BFB" w:rsidRDefault="00A70DF5">
      <w:pPr>
        <w:rPr>
          <w:u w:val="single"/>
        </w:rPr>
      </w:pPr>
      <w:r w:rsidRPr="0013196A">
        <w:rPr>
          <w:u w:val="single"/>
        </w:rPr>
        <w:t>Odsúhlasenie dane z príjmov</w:t>
      </w:r>
    </w:p>
    <w:p w14:paraId="08161C48" w14:textId="77777777" w:rsidR="00BD3BFB" w:rsidRDefault="00BD3BFB">
      <w:pPr>
        <w:rPr>
          <w:u w:val="single"/>
        </w:rPr>
      </w:pPr>
    </w:p>
    <w:bookmarkStart w:id="100" w:name="_heading=h.1x0gk37" w:colFirst="0" w:colLast="0"/>
    <w:bookmarkEnd w:id="100"/>
    <w:bookmarkStart w:id="101" w:name="_MON_1645255735"/>
    <w:bookmarkEnd w:id="101"/>
    <w:p w14:paraId="5347BB8A" w14:textId="77777777" w:rsidR="00BD3BFB" w:rsidRDefault="00B41255">
      <w:pPr>
        <w:rPr>
          <w:u w:val="single"/>
        </w:rPr>
      </w:pPr>
      <w:r>
        <w:object w:dxaOrig="9918" w:dyaOrig="4407" w14:anchorId="6B43519D">
          <v:shape id="_x0000_i1063" type="#_x0000_t75" style="width:495.75pt;height:220.5pt" o:ole="" o:bordertopcolor="this" o:borderleftcolor="this">
            <v:imagedata r:id="rId87" o:title=""/>
            <w10:bordertop type="single" width="4"/>
            <w10:borderleft type="single" width="4"/>
          </v:shape>
          <o:OLEObject Type="Embed" ProgID="Excel.Sheet.12" ShapeID="_x0000_i1063" DrawAspect="Content" ObjectID="_1646998933" r:id="rId88"/>
        </w:object>
      </w:r>
    </w:p>
    <w:p w14:paraId="01F27E9E" w14:textId="77777777" w:rsidR="003A2E66" w:rsidRDefault="003A2E66">
      <w:pPr>
        <w:rPr>
          <w:color w:val="FF0000"/>
        </w:rPr>
      </w:pPr>
    </w:p>
    <w:p w14:paraId="4EF032F0" w14:textId="77777777" w:rsidR="00BD3BFB" w:rsidRPr="003A2E66" w:rsidRDefault="003A2E66">
      <w:pPr>
        <w:rPr>
          <w:b/>
        </w:rPr>
      </w:pPr>
      <w:r w:rsidRPr="003A2E66">
        <w:t>Spoločnosť, v roku 2019 a v roku 2018, platí zrážkovú daň len z prijatých bankových úrokov.</w:t>
      </w:r>
    </w:p>
    <w:p w14:paraId="6FDEFC3A" w14:textId="77777777" w:rsidR="00BD3BFB" w:rsidRDefault="00A70DF5">
      <w:pPr>
        <w:pStyle w:val="Nadpis1"/>
        <w:numPr>
          <w:ilvl w:val="0"/>
          <w:numId w:val="16"/>
        </w:numPr>
      </w:pPr>
      <w:r>
        <w:br w:type="page"/>
      </w:r>
      <w:r>
        <w:lastRenderedPageBreak/>
        <w:t>PODSÚVAHOVÉ ÚČTY</w:t>
      </w:r>
    </w:p>
    <w:p w14:paraId="587F2226" w14:textId="77777777" w:rsidR="00BD3BFB" w:rsidRDefault="00BD3BFB"/>
    <w:p w14:paraId="204DE6FF" w14:textId="77777777" w:rsidR="005B5CC9" w:rsidRPr="005B5CC9" w:rsidRDefault="005B5CC9" w:rsidP="005B5CC9">
      <w:bookmarkStart w:id="102" w:name="_heading=h.4h042r0" w:colFirst="0" w:colLast="0"/>
      <w:bookmarkEnd w:id="102"/>
      <w:r w:rsidRPr="005B5CC9">
        <w:t xml:space="preserve">Spoločnosť </w:t>
      </w:r>
      <w:proofErr w:type="spellStart"/>
      <w:r w:rsidRPr="005B5CC9">
        <w:t>GymBeam</w:t>
      </w:r>
      <w:proofErr w:type="spellEnd"/>
      <w:r w:rsidRPr="005B5CC9">
        <w:t xml:space="preserve"> </w:t>
      </w:r>
      <w:proofErr w:type="spellStart"/>
      <w:r w:rsidRPr="005B5CC9">
        <w:t>s.r.o</w:t>
      </w:r>
      <w:proofErr w:type="spellEnd"/>
      <w:r w:rsidRPr="005B5CC9">
        <w:t xml:space="preserve">. v súčasnosti pôsobí v prenajatých priestoroch spoločnosti LUTO Slovakia </w:t>
      </w:r>
      <w:proofErr w:type="spellStart"/>
      <w:r w:rsidRPr="005B5CC9">
        <w:t>s.r.o</w:t>
      </w:r>
      <w:proofErr w:type="spellEnd"/>
      <w:r w:rsidRPr="005B5CC9">
        <w:t xml:space="preserve">. na adrese Rastislavova 93. V prenájme má skladové priestory o výmere </w:t>
      </w:r>
      <w:r>
        <w:t>7 700</w:t>
      </w:r>
      <w:r w:rsidRPr="005B5CC9">
        <w:t xml:space="preserve"> m2, kancelárske priestory o výmere 534 m2, šatne o výmere 86 m2 a obchodné priestory predajne vo výmere 155 m2.</w:t>
      </w:r>
    </w:p>
    <w:p w14:paraId="67A37A49" w14:textId="77777777" w:rsidR="005B5CC9" w:rsidRDefault="005B5CC9">
      <w:pPr>
        <w:rPr>
          <w:b/>
        </w:rPr>
      </w:pPr>
    </w:p>
    <w:p w14:paraId="05971E76" w14:textId="77777777" w:rsidR="00BD3BFB" w:rsidRDefault="00A70DF5">
      <w:pPr>
        <w:pStyle w:val="Nadpis1"/>
        <w:numPr>
          <w:ilvl w:val="0"/>
          <w:numId w:val="16"/>
        </w:numPr>
      </w:pPr>
      <w:r>
        <w:t>INÉ AKTÍVA A INÉ PASÍVA</w:t>
      </w:r>
    </w:p>
    <w:p w14:paraId="1178437A" w14:textId="77777777" w:rsidR="00BD3BFB" w:rsidRDefault="00BD3BFB"/>
    <w:p w14:paraId="4DC1520C" w14:textId="77777777" w:rsidR="00BD3BFB" w:rsidRDefault="00A70DF5">
      <w:pPr>
        <w:pStyle w:val="Nadpis2"/>
        <w:numPr>
          <w:ilvl w:val="1"/>
          <w:numId w:val="16"/>
        </w:numPr>
      </w:pPr>
      <w:r>
        <w:t>Podmienené záväzky</w:t>
      </w:r>
    </w:p>
    <w:p w14:paraId="0C756F14" w14:textId="77777777" w:rsidR="00BD3BFB" w:rsidRDefault="00BD3BFB"/>
    <w:p w14:paraId="10330824" w14:textId="77777777" w:rsidR="00BD3BFB" w:rsidRDefault="00A70DF5">
      <w: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5B5CC9">
        <w:t>9</w:t>
      </w:r>
      <w:r>
        <w:t xml:space="preserve"> daňové priznania spoločnosti za roky 20</w:t>
      </w:r>
      <w:r w:rsidR="005B5CC9">
        <w:t>15</w:t>
      </w:r>
      <w:r>
        <w:t xml:space="preserve"> až 201</w:t>
      </w:r>
      <w:r w:rsidR="005B5CC9">
        <w:t>9</w:t>
      </w:r>
      <w:r>
        <w:t xml:space="preserve"> otvorené a môžu sa stať predmetom kontroly.</w:t>
      </w:r>
    </w:p>
    <w:p w14:paraId="10CC178F" w14:textId="77777777" w:rsidR="00BD3BFB" w:rsidRDefault="00BD3BFB"/>
    <w:p w14:paraId="00B0918F" w14:textId="77777777" w:rsidR="00BD3BFB" w:rsidRDefault="00A70DF5">
      <w:bookmarkStart w:id="103" w:name="_heading=h.2w5ecyt" w:colFirst="0" w:colLast="0"/>
      <w:bookmarkEnd w:id="103"/>
      <w: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10CCCECE" w14:textId="77777777" w:rsidR="00BD3BFB" w:rsidRDefault="00BD3BFB"/>
    <w:p w14:paraId="1C265CA0" w14:textId="77777777" w:rsidR="00BD3BFB" w:rsidRDefault="00A70DF5">
      <w:pPr>
        <w:pStyle w:val="Nadpis2"/>
        <w:numPr>
          <w:ilvl w:val="1"/>
          <w:numId w:val="16"/>
        </w:numPr>
      </w:pPr>
      <w:r>
        <w:t>Podmienený majetok</w:t>
      </w:r>
    </w:p>
    <w:p w14:paraId="06BC366A" w14:textId="77777777" w:rsidR="00BD3BFB" w:rsidRDefault="00BD3BFB"/>
    <w:p w14:paraId="7D8038E3" w14:textId="77777777" w:rsidR="005B5CC9" w:rsidRDefault="005B5CC9" w:rsidP="005B5CC9">
      <w:bookmarkStart w:id="104" w:name="_heading=h.3vac5uf" w:colFirst="0" w:colLast="0"/>
      <w:bookmarkEnd w:id="104"/>
      <w:r w:rsidRPr="006A7C90">
        <w:t>Spoločnosť nemá náplň pre túto položku.</w:t>
      </w:r>
    </w:p>
    <w:p w14:paraId="3B1363C0" w14:textId="77777777" w:rsidR="00BD3BFB" w:rsidRDefault="00BD3BFB"/>
    <w:p w14:paraId="71E6819B" w14:textId="77777777" w:rsidR="00BD3BFB" w:rsidRDefault="00A70DF5">
      <w:pPr>
        <w:pStyle w:val="Nadpis1"/>
        <w:numPr>
          <w:ilvl w:val="0"/>
          <w:numId w:val="16"/>
        </w:numPr>
      </w:pPr>
      <w:r>
        <w:t>PRÍJMY A VÝHODY ČLENOV ŠTATUTÁRNYCH, DOZORNÝCH A INÝCH ORGÁNOV SPOLOČNOSTI</w:t>
      </w:r>
    </w:p>
    <w:p w14:paraId="330714BD" w14:textId="77777777" w:rsidR="00BD3BFB" w:rsidRDefault="00BD3BFB"/>
    <w:bookmarkStart w:id="105" w:name="_heading=h.2afmg28" w:colFirst="0" w:colLast="0"/>
    <w:bookmarkEnd w:id="105"/>
    <w:p w14:paraId="31B37333" w14:textId="77777777" w:rsidR="00BD3BFB" w:rsidRDefault="00A70DF5">
      <w:r>
        <w:object w:dxaOrig="8995" w:dyaOrig="5824" w14:anchorId="109EF31E">
          <v:shape id="_x0000_i1064" type="#_x0000_t75" style="width:450pt;height:291.75pt" o:ole="">
            <v:imagedata r:id="rId89" o:title=""/>
          </v:shape>
          <o:OLEObject Type="Embed" ProgID="Excel.Sheet.12" ShapeID="_x0000_i1064" DrawAspect="Content" ObjectID="_1646998934" r:id="rId90"/>
        </w:object>
      </w:r>
    </w:p>
    <w:p w14:paraId="4C572B84" w14:textId="77777777" w:rsidR="00BD3BFB" w:rsidRDefault="00BD3BFB"/>
    <w:p w14:paraId="472D4570" w14:textId="77777777" w:rsidR="00BD3BFB" w:rsidRDefault="00BD3BFB">
      <w:bookmarkStart w:id="106" w:name="_heading=h.pkwqa1" w:colFirst="0" w:colLast="0"/>
      <w:bookmarkEnd w:id="106"/>
    </w:p>
    <w:p w14:paraId="2ECDB567" w14:textId="77777777" w:rsidR="00BD3BFB" w:rsidRDefault="00BD3BFB"/>
    <w:p w14:paraId="24B4F07C" w14:textId="77777777" w:rsidR="00BD3BFB" w:rsidRDefault="00BD3BFB">
      <w:pPr>
        <w:rPr>
          <w:color w:val="000000"/>
        </w:rPr>
      </w:pPr>
    </w:p>
    <w:p w14:paraId="4C7A8423" w14:textId="77777777" w:rsidR="005B5CC9" w:rsidRDefault="005B5CC9">
      <w:pPr>
        <w:rPr>
          <w:rFonts w:cs="Arial"/>
          <w:b/>
          <w:bCs/>
          <w:caps/>
          <w:kern w:val="32"/>
          <w:sz w:val="18"/>
          <w:szCs w:val="32"/>
          <w:u w:val="single"/>
        </w:rPr>
      </w:pPr>
      <w:r>
        <w:br w:type="page"/>
      </w:r>
    </w:p>
    <w:p w14:paraId="132C0A4F" w14:textId="77777777" w:rsidR="00BD3BFB" w:rsidRDefault="00A70DF5">
      <w:pPr>
        <w:pStyle w:val="Nadpis1"/>
        <w:numPr>
          <w:ilvl w:val="0"/>
          <w:numId w:val="16"/>
        </w:numPr>
      </w:pPr>
      <w:r>
        <w:lastRenderedPageBreak/>
        <w:t>SPRIAZNENÉ OSOBY</w:t>
      </w:r>
    </w:p>
    <w:p w14:paraId="1B943924" w14:textId="77777777" w:rsidR="00BD3BFB" w:rsidRDefault="00BD3BFB">
      <w:pPr>
        <w:rPr>
          <w:b/>
          <w:color w:val="000000"/>
        </w:rPr>
      </w:pPr>
    </w:p>
    <w:p w14:paraId="2060D5A6" w14:textId="77777777" w:rsidR="00BD3BFB" w:rsidRDefault="00A70DF5">
      <w:pPr>
        <w:rPr>
          <w:color w:val="000000"/>
        </w:rPr>
      </w:pPr>
      <w:r>
        <w:rPr>
          <w:color w:val="000000"/>
        </w:rPr>
        <w:t xml:space="preserve">Medzi spriaznené osoby patria </w:t>
      </w:r>
      <w:r w:rsidR="005E0DDC">
        <w:rPr>
          <w:color w:val="000000"/>
        </w:rPr>
        <w:t>spoločníci</w:t>
      </w:r>
      <w:r>
        <w:rPr>
          <w:color w:val="000000"/>
        </w:rPr>
        <w:t xml:space="preserve">, </w:t>
      </w:r>
      <w:r w:rsidR="005E0DDC">
        <w:rPr>
          <w:color w:val="000000"/>
        </w:rPr>
        <w:t xml:space="preserve">štatutárny zástupcovia, </w:t>
      </w:r>
      <w:r>
        <w:rPr>
          <w:color w:val="000000"/>
        </w:rPr>
        <w:t>sesterské spoločnosti a spoločnosti, v ktorých podiel na základnom imaní presahuje 20 % (dcérske a pridružené spoločnosti a spoločné podniky).</w:t>
      </w:r>
    </w:p>
    <w:p w14:paraId="3DF1044B" w14:textId="77777777" w:rsidR="00BD3BFB" w:rsidRDefault="00BD3BFB">
      <w:pPr>
        <w:rPr>
          <w:b/>
          <w:color w:val="000000"/>
        </w:rPr>
      </w:pPr>
    </w:p>
    <w:p w14:paraId="623E738E" w14:textId="77777777" w:rsidR="00BD3BFB" w:rsidRDefault="00A70DF5">
      <w:r>
        <w:t>Obchody medzi týmito osobami a spoločnosťou sa uskutočňujú za obvyklých podmienok a za obvyklé ceny. O obchodoch so spriaznenými osobami rozhoduje predstavenstvo. Komentár k týmto obchodom je v jednotlivých častiach poznámok.</w:t>
      </w:r>
    </w:p>
    <w:p w14:paraId="10E40547" w14:textId="77777777" w:rsidR="00BD3BFB" w:rsidRDefault="00BD3BFB"/>
    <w:bookmarkStart w:id="107" w:name="_heading=h.39kk8xu" w:colFirst="0" w:colLast="0"/>
    <w:bookmarkEnd w:id="107"/>
    <w:bookmarkStart w:id="108" w:name="_MON_1645108328"/>
    <w:bookmarkEnd w:id="108"/>
    <w:p w14:paraId="16AB1D7B" w14:textId="77777777" w:rsidR="00BD3BFB" w:rsidRDefault="00754E28">
      <w:r>
        <w:object w:dxaOrig="9049" w:dyaOrig="1464" w14:anchorId="3CE17BC6">
          <v:shape id="_x0000_i1065" type="#_x0000_t75" style="width:453pt;height:72.75pt" o:ole="">
            <v:imagedata r:id="rId91" o:title=""/>
          </v:shape>
          <o:OLEObject Type="Embed" ProgID="Excel.Sheet.12" ShapeID="_x0000_i1065" DrawAspect="Content" ObjectID="_1646998935" r:id="rId92"/>
        </w:object>
      </w:r>
    </w:p>
    <w:p w14:paraId="3D96C35D" w14:textId="77777777" w:rsidR="00BD3BFB" w:rsidRDefault="00BD3BFB"/>
    <w:bookmarkStart w:id="109" w:name="_heading=h.1opuj5n" w:colFirst="0" w:colLast="0"/>
    <w:bookmarkEnd w:id="109"/>
    <w:bookmarkStart w:id="110" w:name="_MON_1645108653"/>
    <w:bookmarkEnd w:id="110"/>
    <w:p w14:paraId="5BD18BCB" w14:textId="77777777" w:rsidR="00BD3BFB" w:rsidRDefault="00754E28">
      <w:r>
        <w:object w:dxaOrig="9212" w:dyaOrig="1219" w14:anchorId="31562569">
          <v:shape id="_x0000_i1066" type="#_x0000_t75" style="width:453pt;height:60.75pt" o:ole="">
            <v:imagedata r:id="rId93" o:title=""/>
          </v:shape>
          <o:OLEObject Type="Embed" ProgID="Excel.Sheet.12" ShapeID="_x0000_i1066" DrawAspect="Content" ObjectID="_1646998936" r:id="rId94"/>
        </w:object>
      </w:r>
    </w:p>
    <w:p w14:paraId="10ECCFC1" w14:textId="77777777" w:rsidR="00BD3BFB" w:rsidRDefault="00BD3BFB">
      <w:pPr>
        <w:rPr>
          <w:color w:val="FF0000"/>
        </w:rPr>
      </w:pPr>
    </w:p>
    <w:bookmarkStart w:id="111" w:name="_heading=h.48pi1tg" w:colFirst="0" w:colLast="0"/>
    <w:bookmarkEnd w:id="111"/>
    <w:bookmarkStart w:id="112" w:name="_MON_1645108741"/>
    <w:bookmarkEnd w:id="112"/>
    <w:p w14:paraId="67EACCE4" w14:textId="77777777" w:rsidR="00BD3BFB" w:rsidRDefault="00B41255">
      <w:r>
        <w:object w:dxaOrig="9188" w:dyaOrig="3058" w14:anchorId="50E5F5C0">
          <v:shape id="_x0000_i1067" type="#_x0000_t75" style="width:451.5pt;height:153pt" o:ole="" o:bordertopcolor="this" o:borderleftcolor="this">
            <v:imagedata r:id="rId95" o:title=""/>
            <w10:bordertop type="single" width="4"/>
            <w10:borderleft type="single" width="4"/>
          </v:shape>
          <o:OLEObject Type="Embed" ProgID="Excel.Sheet.12" ShapeID="_x0000_i1067" DrawAspect="Content" ObjectID="_1646998937" r:id="rId96"/>
        </w:object>
      </w:r>
    </w:p>
    <w:p w14:paraId="35C3465B" w14:textId="77777777" w:rsidR="00BD3BFB" w:rsidRDefault="00BD3BFB">
      <w:pPr>
        <w:rPr>
          <w:sz w:val="15"/>
          <w:szCs w:val="15"/>
        </w:rPr>
      </w:pPr>
    </w:p>
    <w:p w14:paraId="1F6EF0BF" w14:textId="77777777" w:rsidR="00BD3BFB" w:rsidRDefault="00A70DF5">
      <w:pPr>
        <w:pStyle w:val="Nadpis1"/>
        <w:numPr>
          <w:ilvl w:val="0"/>
          <w:numId w:val="16"/>
        </w:numPr>
      </w:pPr>
      <w:r>
        <w:t>SKUTOČNOSTI, KTORÉ NASTALI PO DNI, KU KTORÉMU SA ZOSTAVUJE ÚČTOVNÁ ZÁVIERKA, A DO DŇA ZOSTAVENIA ÚČTOVNEJ ZÁVIERKY</w:t>
      </w:r>
    </w:p>
    <w:p w14:paraId="7E168123" w14:textId="77777777" w:rsidR="00BD3BFB" w:rsidRDefault="00BD3BFB">
      <w:pPr>
        <w:rPr>
          <w:u w:val="single"/>
        </w:rPr>
      </w:pPr>
    </w:p>
    <w:p w14:paraId="40650CEF" w14:textId="77777777" w:rsidR="00932ABB" w:rsidRDefault="00932ABB" w:rsidP="00932ABB">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Výmenné kurzy, ktoré používa účtovná jednotka oslabili, hodnota akcií na trhoch klesla a ceny komodít zaznamenávajú významné fluktuácie. Pretože sa situácia stále vyvíja, vedenie účtovnej jednotky si nemyslí, že je možné poskytnúť spoľahlivé kvantitatívne odhady potenciálneho vplyvu súčasnej situácie na účtovnú jednotku. Akýkoľvek negatívny vplyv resp. straty zahrnie účtovná jednotka do účtovníctva a účtovnej závierky v roku 2020.</w:t>
      </w:r>
    </w:p>
    <w:p w14:paraId="7FADF1FB" w14:textId="77777777" w:rsidR="00932ABB" w:rsidRDefault="00932ABB" w:rsidP="00932ABB"/>
    <w:p w14:paraId="4F291D1F" w14:textId="77777777" w:rsidR="00932ABB" w:rsidRDefault="00932ABB" w:rsidP="00932ABB">
      <w:r>
        <w:t>Manažment spoločnosti zvážil všetky známe potenciálne dopady COVID-19 na naše podnikateľské aktivity a dospel k záveru, že nemajú významný negatívny vplyv na našu schopnosť pokračovať nepretržite v činnosti a fungovať ako zdravý subjekt nasledujúcich 12</w:t>
      </w:r>
      <w:r w:rsidR="0073232A">
        <w:t xml:space="preserve"> mesiacov</w:t>
      </w:r>
      <w:r>
        <w:t>.</w:t>
      </w:r>
    </w:p>
    <w:p w14:paraId="774F20AD" w14:textId="77777777" w:rsidR="00932ABB" w:rsidRDefault="00932ABB" w:rsidP="00932ABB"/>
    <w:p w14:paraId="31A574B3" w14:textId="77777777" w:rsidR="00932ABB" w:rsidRDefault="00932ABB" w:rsidP="00932ABB">
      <w:r>
        <w:t>Manažment bude pokračovať v monitorovaní potenciálneho dopadu a podnikne všetky možné kroky na zmiernenie akýchkoľvek negatívnych účinkov na spoločnosť a jej zamestnancov.</w:t>
      </w:r>
    </w:p>
    <w:p w14:paraId="337AC794" w14:textId="77777777" w:rsidR="00932ABB" w:rsidRDefault="00932ABB"/>
    <w:p w14:paraId="0847365C" w14:textId="77777777" w:rsidR="008B177C" w:rsidRDefault="00A70DF5">
      <w:pPr>
        <w:rPr>
          <w:rFonts w:cs="Arial"/>
          <w:b/>
          <w:bCs/>
          <w:caps/>
          <w:kern w:val="32"/>
          <w:sz w:val="18"/>
          <w:szCs w:val="32"/>
          <w:u w:val="single"/>
        </w:rPr>
      </w:pPr>
      <w:r>
        <w:t>Po 31. decembri 201</w:t>
      </w:r>
      <w:r w:rsidR="00754E28">
        <w:t>9</w:t>
      </w:r>
      <w:r>
        <w:t xml:space="preserve"> a do dňa zostavenia účtovnej závierky nenastali žiadne také udalosti, ktoré by významným spôsobom ovplyvnili aktíva a pasíva spoločnosti, okrem tých, ktoré sú uvedené vyššie a ktoré sú výsledkom bežnej činnosti.</w:t>
      </w:r>
      <w:r w:rsidR="008B177C">
        <w:br w:type="page"/>
      </w:r>
    </w:p>
    <w:p w14:paraId="2EFD26BD" w14:textId="77777777" w:rsidR="00BD3BFB" w:rsidRDefault="00A70DF5">
      <w:pPr>
        <w:pStyle w:val="Nadpis1"/>
        <w:numPr>
          <w:ilvl w:val="0"/>
          <w:numId w:val="16"/>
        </w:numPr>
      </w:pPr>
      <w:r>
        <w:lastRenderedPageBreak/>
        <w:t>PREHĽAD ZMIEN VLASTNÉHO IMANIA</w:t>
      </w:r>
    </w:p>
    <w:p w14:paraId="40C3E6CB" w14:textId="77777777" w:rsidR="00BD3BFB" w:rsidRDefault="00BD3BFB"/>
    <w:bookmarkStart w:id="113" w:name="_heading=h.2nusc19" w:colFirst="0" w:colLast="0"/>
    <w:bookmarkEnd w:id="113"/>
    <w:bookmarkStart w:id="114" w:name="_MON_1645109666"/>
    <w:bookmarkEnd w:id="114"/>
    <w:p w14:paraId="3679D42F" w14:textId="3752C91C" w:rsidR="00BD3BFB" w:rsidRDefault="00545CA0">
      <w:pPr>
        <w:rPr>
          <w:color w:val="000000"/>
        </w:rPr>
      </w:pPr>
      <w:r>
        <w:rPr>
          <w:color w:val="000000"/>
        </w:rPr>
        <w:object w:dxaOrig="8905" w:dyaOrig="7028" w14:anchorId="2111A0F7">
          <v:shape id="_x0000_i1068" type="#_x0000_t75" style="width:445.5pt;height:351.75pt" o:ole="" o:bordertopcolor="this" o:borderleftcolor="this">
            <v:imagedata r:id="rId97" o:title=""/>
            <w10:bordertop type="single" width="4"/>
            <w10:borderleft type="single" width="4"/>
          </v:shape>
          <o:OLEObject Type="Embed" ProgID="Excel.Sheet.12" ShapeID="_x0000_i1068" DrawAspect="Content" ObjectID="_1646998938" r:id="rId98"/>
        </w:object>
      </w:r>
    </w:p>
    <w:p w14:paraId="7ACDF220" w14:textId="77777777" w:rsidR="00BD3BFB" w:rsidRDefault="00BD3BFB"/>
    <w:p w14:paraId="49CEBAC6" w14:textId="77777777" w:rsidR="00BD3BFB" w:rsidRDefault="00AB1389">
      <w:pPr>
        <w:rPr>
          <w:iCs/>
        </w:rPr>
      </w:pPr>
      <w:r>
        <w:rPr>
          <w:iCs/>
        </w:rPr>
        <w:t xml:space="preserve">Spoločnosť dňa 6.9.2019 podpísala so spoločnosťou CB BEAM </w:t>
      </w:r>
      <w:proofErr w:type="spellStart"/>
      <w:r>
        <w:rPr>
          <w:iCs/>
        </w:rPr>
        <w:t>j.s.a</w:t>
      </w:r>
      <w:proofErr w:type="spellEnd"/>
      <w:r>
        <w:rPr>
          <w:iCs/>
        </w:rPr>
        <w:t xml:space="preserve">. prostredníctvom investičnej platformy </w:t>
      </w:r>
      <w:proofErr w:type="spellStart"/>
      <w:r>
        <w:rPr>
          <w:iCs/>
        </w:rPr>
        <w:t>Crowdberry</w:t>
      </w:r>
      <w:proofErr w:type="spellEnd"/>
      <w:r>
        <w:rPr>
          <w:iCs/>
        </w:rPr>
        <w:t xml:space="preserve"> </w:t>
      </w:r>
      <w:r w:rsidR="00A32E4C">
        <w:rPr>
          <w:iCs/>
        </w:rPr>
        <w:t>(</w:t>
      </w:r>
      <w:proofErr w:type="spellStart"/>
      <w:r w:rsidR="00A32E4C">
        <w:rPr>
          <w:iCs/>
        </w:rPr>
        <w:t>Crowdberry</w:t>
      </w:r>
      <w:proofErr w:type="spellEnd"/>
      <w:r w:rsidR="00A32E4C">
        <w:rPr>
          <w:iCs/>
        </w:rPr>
        <w:t xml:space="preserve"> </w:t>
      </w:r>
      <w:proofErr w:type="spellStart"/>
      <w:r w:rsidR="00A32E4C">
        <w:rPr>
          <w:iCs/>
        </w:rPr>
        <w:t>a.s</w:t>
      </w:r>
      <w:proofErr w:type="spellEnd"/>
      <w:r w:rsidR="00A32E4C">
        <w:rPr>
          <w:iCs/>
        </w:rPr>
        <w:t xml:space="preserve">.) zmluvu o konvertibilnej pôžičke, ktorej predmetom je investícia do ostatných kapitálových fondov vo výške 2 mil. EUR. Následne Spoločnosť podpísala dňa 9.10.2019 dodatok č.1, ktorého predmetom bolo navýšenie investície o 1 mil. EUR a dňa 13.11.2019 dodatok č.2, ktorého predmetom bolo navýšenie investície o 1 mil. EUR, teda celkovo na 4 mil. EUR. Uvedená investícia bola realizovaná formou konvertibilnej pôžičky, ktorá bude konvertovať do priameho podielu na spoločnosti </w:t>
      </w:r>
      <w:proofErr w:type="spellStart"/>
      <w:r w:rsidR="00A32E4C">
        <w:rPr>
          <w:iCs/>
        </w:rPr>
        <w:t>GymBeam</w:t>
      </w:r>
      <w:proofErr w:type="spellEnd"/>
      <w:r w:rsidR="00A32E4C">
        <w:rPr>
          <w:iCs/>
        </w:rPr>
        <w:t xml:space="preserve"> </w:t>
      </w:r>
      <w:proofErr w:type="spellStart"/>
      <w:r w:rsidR="00A32E4C">
        <w:rPr>
          <w:iCs/>
        </w:rPr>
        <w:t>s.r.o</w:t>
      </w:r>
      <w:proofErr w:type="spellEnd"/>
      <w:r w:rsidR="00A32E4C">
        <w:rPr>
          <w:iCs/>
        </w:rPr>
        <w:t>. k 1.1.2022.</w:t>
      </w:r>
    </w:p>
    <w:p w14:paraId="1AE00F3B" w14:textId="77777777" w:rsidR="00A32E4C" w:rsidRDefault="00A32E4C">
      <w:pPr>
        <w:rPr>
          <w:iCs/>
        </w:rPr>
      </w:pPr>
    </w:p>
    <w:p w14:paraId="20B500FC" w14:textId="77777777" w:rsidR="00A32E4C" w:rsidRPr="00AB1389" w:rsidRDefault="00A32E4C">
      <w:pPr>
        <w:rPr>
          <w:iCs/>
        </w:rPr>
      </w:pPr>
      <w:r>
        <w:rPr>
          <w:iCs/>
        </w:rPr>
        <w:t>Spoločnosť tvorila zákonný rezervný fond v zákonnej výške 500 EUR, zo zisku minulého roka, v súlade s rozhodnutím valného zhromaždenia.</w:t>
      </w:r>
    </w:p>
    <w:p w14:paraId="5AF38003" w14:textId="77777777" w:rsidR="00BD3BFB" w:rsidRDefault="00BD3BFB">
      <w:pPr>
        <w:rPr>
          <w:color w:val="000000"/>
          <w:u w:val="single"/>
        </w:rPr>
      </w:pPr>
    </w:p>
    <w:p w14:paraId="4A82E355" w14:textId="77777777" w:rsidR="00A32E4C" w:rsidRPr="00A32E4C" w:rsidRDefault="00A32E4C">
      <w:pPr>
        <w:rPr>
          <w:color w:val="000000"/>
        </w:rPr>
      </w:pPr>
      <w:r w:rsidRPr="00A32E4C">
        <w:rPr>
          <w:color w:val="000000"/>
        </w:rPr>
        <w:t xml:space="preserve">Spoločnosť </w:t>
      </w:r>
      <w:r>
        <w:rPr>
          <w:color w:val="000000"/>
        </w:rPr>
        <w:t xml:space="preserve">účtovala o oprave chýb minulých rokov, čím došlo k navýšeniu neuhradenej straty minulých rokov. </w:t>
      </w:r>
      <w:r w:rsidR="00E93EA4">
        <w:rPr>
          <w:color w:val="000000"/>
        </w:rPr>
        <w:t>(Časť II. 14.)</w:t>
      </w:r>
    </w:p>
    <w:bookmarkStart w:id="115" w:name="_heading=h.1302m92" w:colFirst="0" w:colLast="0"/>
    <w:bookmarkEnd w:id="115"/>
    <w:bookmarkStart w:id="116" w:name="_MON_1645109441"/>
    <w:bookmarkEnd w:id="116"/>
    <w:p w14:paraId="1A581178" w14:textId="45D16E0E" w:rsidR="00BD3BFB" w:rsidRDefault="00545CA0">
      <w:pPr>
        <w:rPr>
          <w:color w:val="000000"/>
          <w:u w:val="single"/>
        </w:rPr>
      </w:pPr>
      <w:r>
        <w:rPr>
          <w:color w:val="000000"/>
        </w:rPr>
        <w:object w:dxaOrig="9269" w:dyaOrig="7448" w14:anchorId="3C58F1E2">
          <v:shape id="_x0000_i1069" type="#_x0000_t75" style="width:463.5pt;height:372.75pt" o:ole="" o:bordertopcolor="this" o:borderleftcolor="this">
            <v:imagedata r:id="rId99" o:title=""/>
            <w10:bordertop type="single" width="4"/>
            <w10:borderleft type="single" width="4"/>
          </v:shape>
          <o:OLEObject Type="Embed" ProgID="Excel.Sheet.12" ShapeID="_x0000_i1069" DrawAspect="Content" ObjectID="_1646998939" r:id="rId100"/>
        </w:object>
      </w:r>
    </w:p>
    <w:p w14:paraId="3FA2D70D" w14:textId="77777777" w:rsidR="008B177C" w:rsidRDefault="008B177C">
      <w:pPr>
        <w:rPr>
          <w:i/>
          <w:color w:val="FF0000"/>
        </w:rPr>
      </w:pPr>
    </w:p>
    <w:p w14:paraId="6520D8E0" w14:textId="77777777" w:rsidR="00BD3BFB" w:rsidRPr="008B177C" w:rsidRDefault="008B177C">
      <w:pPr>
        <w:rPr>
          <w:iCs/>
          <w:u w:val="single"/>
        </w:rPr>
      </w:pPr>
      <w:r w:rsidRPr="008B177C">
        <w:rPr>
          <w:iCs/>
        </w:rPr>
        <w:t xml:space="preserve">Ostatné kapitálové fondy boli započítané </w:t>
      </w:r>
      <w:r>
        <w:rPr>
          <w:iCs/>
        </w:rPr>
        <w:t xml:space="preserve">v plnej výške </w:t>
      </w:r>
      <w:r w:rsidRPr="008B177C">
        <w:rPr>
          <w:iCs/>
        </w:rPr>
        <w:t>s pohľadávkami voči spoločníkom k 1.1.2018</w:t>
      </w:r>
    </w:p>
    <w:p w14:paraId="382CEA55" w14:textId="77777777" w:rsidR="00BD3BFB" w:rsidRDefault="00BD3BFB">
      <w:pPr>
        <w:rPr>
          <w:color w:val="000000"/>
          <w:u w:val="single"/>
        </w:rPr>
      </w:pPr>
    </w:p>
    <w:p w14:paraId="2E269A5E" w14:textId="77777777" w:rsidR="00BD3BFB" w:rsidRDefault="00A70DF5">
      <w:pPr>
        <w:pStyle w:val="Nadpis1"/>
        <w:numPr>
          <w:ilvl w:val="0"/>
          <w:numId w:val="16"/>
        </w:numPr>
      </w:pPr>
      <w:r>
        <w:t>PREHĽAD PEŇAŽNÝCH TOKOV</w:t>
      </w:r>
    </w:p>
    <w:p w14:paraId="19FCD9AC" w14:textId="77777777" w:rsidR="00BD3BFB" w:rsidRDefault="00BD3BFB"/>
    <w:p w14:paraId="143766F1" w14:textId="77777777" w:rsidR="00BD3BFB" w:rsidRDefault="00A70DF5">
      <w:pPr>
        <w:rPr>
          <w:color w:val="000000"/>
        </w:rPr>
      </w:pPr>
      <w:r>
        <w:rPr>
          <w:color w:val="000000"/>
        </w:rPr>
        <w:t>Prehľad peňažných tokov je uvedený v prílohe, tabuľka č. 1.</w:t>
      </w:r>
    </w:p>
    <w:p w14:paraId="2C74DBA8" w14:textId="77777777" w:rsidR="00BD3BFB" w:rsidRDefault="00BD3BFB"/>
    <w:p w14:paraId="1A1B870A" w14:textId="77777777" w:rsidR="00BD3BFB" w:rsidRDefault="00A70DF5">
      <w:r>
        <w:t>Peňažné prostriedky sú peňažné hotovosti, ekvivalenty peňažných hotovostí, peňažné prostriedky na bežných účtoch v bankách, kontokorentný účet a časť zostatku účtu „Peniaze na ceste“.</w:t>
      </w:r>
    </w:p>
    <w:p w14:paraId="2D18374B" w14:textId="77777777" w:rsidR="00BD3BFB" w:rsidRDefault="00BD3BFB"/>
    <w:p w14:paraId="150DF59E" w14:textId="77777777" w:rsidR="00BD3BFB" w:rsidRDefault="00A70DF5">
      <w: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539458CF" w14:textId="77777777" w:rsidR="00BD3BFB" w:rsidRDefault="00BD3BFB"/>
    <w:p w14:paraId="7D1FCFB1" w14:textId="77777777" w:rsidR="00BD3BFB" w:rsidRDefault="00A70DF5">
      <w:r>
        <w:t>Štruktúra peňažných prostriedkov a peňažných ekvivalentov:</w:t>
      </w:r>
    </w:p>
    <w:p w14:paraId="486FB8FA" w14:textId="77777777" w:rsidR="00BD3BFB" w:rsidRDefault="00BD3BFB"/>
    <w:p w14:paraId="01183C72" w14:textId="77777777" w:rsidR="00BD3BFB" w:rsidRDefault="00BD3BFB"/>
    <w:bookmarkStart w:id="117" w:name="_heading=h.3mzq4wv" w:colFirst="0" w:colLast="0"/>
    <w:bookmarkEnd w:id="117"/>
    <w:bookmarkStart w:id="118" w:name="_MON_1645111412"/>
    <w:bookmarkEnd w:id="118"/>
    <w:p w14:paraId="19D38AED" w14:textId="77777777" w:rsidR="00BD3BFB" w:rsidRDefault="00E93EA4">
      <w:r>
        <w:object w:dxaOrig="9550" w:dyaOrig="2302" w14:anchorId="3B442FE3">
          <v:shape id="_x0000_i1070" type="#_x0000_t75" style="width:477.75pt;height:114.75pt" o:ole="" o:bordertopcolor="this" o:borderleftcolor="this">
            <v:imagedata r:id="rId101" o:title=""/>
            <w10:bordertop type="single" width="4"/>
            <w10:borderleft type="single" width="4"/>
          </v:shape>
          <o:OLEObject Type="Embed" ProgID="Excel.Sheet.12" ShapeID="_x0000_i1070" DrawAspect="Content" ObjectID="_1646998940" r:id="rId102"/>
        </w:object>
      </w:r>
    </w:p>
    <w:p w14:paraId="638571B3" w14:textId="77777777" w:rsidR="00BD3BFB" w:rsidRDefault="00BD3BFB"/>
    <w:p w14:paraId="1167CFF0" w14:textId="77777777" w:rsidR="00BD3BFB" w:rsidRDefault="00A70DF5">
      <w:r>
        <w:t>Spoločnosť použila na vykazovanie peňažných tokov z prevádzkovej činnosti nepriamu metódu.</w:t>
      </w:r>
    </w:p>
    <w:p w14:paraId="56A0D532" w14:textId="77777777" w:rsidR="00BD3BFB" w:rsidRDefault="00BD3BFB"/>
    <w:p w14:paraId="731FC30A" w14:textId="77777777" w:rsidR="00BD3BFB" w:rsidRDefault="00A70DF5">
      <w:pPr>
        <w:pStyle w:val="Nadpis1"/>
        <w:numPr>
          <w:ilvl w:val="0"/>
          <w:numId w:val="16"/>
        </w:numPr>
      </w:pPr>
      <w:r>
        <w:t xml:space="preserve">Dodatočné informácie </w:t>
      </w:r>
    </w:p>
    <w:p w14:paraId="248A5BB5" w14:textId="77777777" w:rsidR="00BD3BFB" w:rsidRDefault="00BD3BFB">
      <w:pPr>
        <w:rPr>
          <w:color w:val="000000"/>
          <w:u w:val="single"/>
        </w:rPr>
      </w:pPr>
    </w:p>
    <w:p w14:paraId="6AECF901" w14:textId="77777777" w:rsidR="00513128" w:rsidRDefault="00513128" w:rsidP="00513128">
      <w:r w:rsidRPr="006A7C90">
        <w:t>Spoločnosť nemá náplň pre túto položku.</w:t>
      </w:r>
    </w:p>
    <w:p w14:paraId="20199BCB" w14:textId="77777777" w:rsidR="00BD3BFB" w:rsidRDefault="00BD3BFB"/>
    <w:p w14:paraId="117A7B1D" w14:textId="77777777" w:rsidR="00BD3BFB" w:rsidRDefault="00A70DF5">
      <w:pPr>
        <w:rPr>
          <w:b/>
        </w:rPr>
      </w:pPr>
      <w:r>
        <w:rPr>
          <w:b/>
        </w:rPr>
        <w:t>Prílohy:</w:t>
      </w:r>
    </w:p>
    <w:p w14:paraId="22D1BC23" w14:textId="77777777" w:rsidR="00BD3BFB" w:rsidRDefault="00BD3BFB"/>
    <w:p w14:paraId="632B51D2" w14:textId="77777777" w:rsidR="00BD3BFB" w:rsidRDefault="00A70DF5">
      <w:r>
        <w:t>Tabuľka č. 1 – Prehľad peňažných tokov</w:t>
      </w:r>
    </w:p>
    <w:p w14:paraId="0FEECD98" w14:textId="77777777" w:rsidR="00BD3BFB" w:rsidRDefault="00BD3BFB"/>
    <w:p w14:paraId="5751EDB3" w14:textId="77777777" w:rsidR="00BD3BFB" w:rsidRDefault="00BD3BFB"/>
    <w:tbl>
      <w:tblPr>
        <w:tblW w:w="9351" w:type="dxa"/>
        <w:tblCellMar>
          <w:left w:w="70" w:type="dxa"/>
          <w:right w:w="70" w:type="dxa"/>
        </w:tblCellMar>
        <w:tblLook w:val="04A0" w:firstRow="1" w:lastRow="0" w:firstColumn="1" w:lastColumn="0" w:noHBand="0" w:noVBand="1"/>
      </w:tblPr>
      <w:tblGrid>
        <w:gridCol w:w="960"/>
        <w:gridCol w:w="5414"/>
        <w:gridCol w:w="1559"/>
        <w:gridCol w:w="1418"/>
      </w:tblGrid>
      <w:tr w:rsidR="00545CA0" w:rsidRPr="00545CA0" w14:paraId="168507CD" w14:textId="77777777" w:rsidTr="00545CA0">
        <w:trPr>
          <w:trHeight w:val="540"/>
        </w:trPr>
        <w:tc>
          <w:tcPr>
            <w:tcW w:w="960" w:type="dxa"/>
            <w:tcBorders>
              <w:top w:val="single" w:sz="4" w:space="0" w:color="auto"/>
              <w:left w:val="single" w:sz="4" w:space="0" w:color="auto"/>
              <w:bottom w:val="nil"/>
              <w:right w:val="single" w:sz="4" w:space="0" w:color="auto"/>
            </w:tcBorders>
            <w:shd w:val="clear" w:color="auto" w:fill="auto"/>
            <w:vAlign w:val="center"/>
            <w:hideMark/>
          </w:tcPr>
          <w:p w14:paraId="6D994A27" w14:textId="77777777" w:rsidR="00545CA0" w:rsidRPr="00545CA0" w:rsidRDefault="00545CA0" w:rsidP="00545CA0">
            <w:pPr>
              <w:jc w:val="center"/>
              <w:rPr>
                <w:rFonts w:eastAsia="Times New Roman" w:cs="Calibri"/>
                <w:b/>
                <w:bCs/>
                <w:sz w:val="14"/>
                <w:szCs w:val="14"/>
                <w:lang w:eastAsia="sk-SK"/>
              </w:rPr>
            </w:pPr>
            <w:bookmarkStart w:id="119" w:name="RANGE!A1:D86"/>
            <w:r w:rsidRPr="00545CA0">
              <w:rPr>
                <w:rFonts w:eastAsia="Times New Roman" w:cs="Calibri"/>
                <w:b/>
                <w:bCs/>
                <w:sz w:val="14"/>
                <w:szCs w:val="14"/>
                <w:lang w:eastAsia="sk-SK"/>
              </w:rPr>
              <w:t>Označenie položky</w:t>
            </w:r>
            <w:bookmarkEnd w:id="119"/>
          </w:p>
        </w:tc>
        <w:tc>
          <w:tcPr>
            <w:tcW w:w="5414" w:type="dxa"/>
            <w:tcBorders>
              <w:top w:val="single" w:sz="4" w:space="0" w:color="auto"/>
              <w:left w:val="nil"/>
              <w:bottom w:val="nil"/>
              <w:right w:val="single" w:sz="4" w:space="0" w:color="auto"/>
            </w:tcBorders>
            <w:shd w:val="clear" w:color="auto" w:fill="auto"/>
            <w:vAlign w:val="center"/>
            <w:hideMark/>
          </w:tcPr>
          <w:p w14:paraId="2CBEB0EE" w14:textId="77777777" w:rsidR="00545CA0" w:rsidRPr="00545CA0" w:rsidRDefault="00545CA0" w:rsidP="00545CA0">
            <w:pPr>
              <w:jc w:val="center"/>
              <w:rPr>
                <w:rFonts w:eastAsia="Times New Roman" w:cs="Calibri"/>
                <w:b/>
                <w:bCs/>
                <w:sz w:val="14"/>
                <w:szCs w:val="14"/>
                <w:lang w:eastAsia="sk-SK"/>
              </w:rPr>
            </w:pPr>
            <w:r w:rsidRPr="00545CA0">
              <w:rPr>
                <w:rFonts w:eastAsia="Times New Roman" w:cs="Calibri"/>
                <w:b/>
                <w:bCs/>
                <w:sz w:val="14"/>
                <w:szCs w:val="14"/>
                <w:lang w:eastAsia="sk-SK"/>
              </w:rPr>
              <w:t>Obsah položky</w:t>
            </w:r>
          </w:p>
        </w:tc>
        <w:tc>
          <w:tcPr>
            <w:tcW w:w="1559" w:type="dxa"/>
            <w:tcBorders>
              <w:top w:val="single" w:sz="4" w:space="0" w:color="auto"/>
              <w:left w:val="nil"/>
              <w:bottom w:val="nil"/>
              <w:right w:val="single" w:sz="4" w:space="0" w:color="auto"/>
            </w:tcBorders>
            <w:shd w:val="clear" w:color="auto" w:fill="auto"/>
            <w:vAlign w:val="center"/>
            <w:hideMark/>
          </w:tcPr>
          <w:p w14:paraId="2A96708E" w14:textId="77777777" w:rsidR="00545CA0" w:rsidRPr="00545CA0" w:rsidRDefault="00545CA0" w:rsidP="00545CA0">
            <w:pPr>
              <w:jc w:val="center"/>
              <w:rPr>
                <w:rFonts w:eastAsia="Times New Roman" w:cs="Calibri"/>
                <w:b/>
                <w:bCs/>
                <w:sz w:val="14"/>
                <w:szCs w:val="14"/>
                <w:lang w:eastAsia="sk-SK"/>
              </w:rPr>
            </w:pPr>
            <w:r w:rsidRPr="00545CA0">
              <w:rPr>
                <w:rFonts w:eastAsia="Times New Roman" w:cs="Calibri"/>
                <w:b/>
                <w:bCs/>
                <w:sz w:val="14"/>
                <w:szCs w:val="14"/>
                <w:lang w:eastAsia="sk-SK"/>
              </w:rPr>
              <w:t>Bežné účtovné obdobie</w:t>
            </w:r>
          </w:p>
        </w:tc>
        <w:tc>
          <w:tcPr>
            <w:tcW w:w="1418" w:type="dxa"/>
            <w:tcBorders>
              <w:top w:val="single" w:sz="4" w:space="0" w:color="auto"/>
              <w:left w:val="nil"/>
              <w:bottom w:val="nil"/>
              <w:right w:val="single" w:sz="4" w:space="0" w:color="auto"/>
            </w:tcBorders>
            <w:shd w:val="clear" w:color="auto" w:fill="auto"/>
            <w:vAlign w:val="center"/>
            <w:hideMark/>
          </w:tcPr>
          <w:p w14:paraId="6868C61C" w14:textId="77777777" w:rsidR="00545CA0" w:rsidRPr="00545CA0" w:rsidRDefault="00545CA0" w:rsidP="00545CA0">
            <w:pPr>
              <w:jc w:val="center"/>
              <w:rPr>
                <w:rFonts w:eastAsia="Times New Roman" w:cs="Calibri"/>
                <w:b/>
                <w:bCs/>
                <w:sz w:val="14"/>
                <w:szCs w:val="14"/>
                <w:lang w:eastAsia="sk-SK"/>
              </w:rPr>
            </w:pPr>
            <w:r w:rsidRPr="00545CA0">
              <w:rPr>
                <w:rFonts w:eastAsia="Times New Roman" w:cs="Calibri"/>
                <w:b/>
                <w:bCs/>
                <w:sz w:val="14"/>
                <w:szCs w:val="14"/>
                <w:lang w:eastAsia="sk-SK"/>
              </w:rPr>
              <w:t>Bezprostredne predchádzajúce účtovné obdobie</w:t>
            </w:r>
          </w:p>
        </w:tc>
      </w:tr>
      <w:tr w:rsidR="00545CA0" w:rsidRPr="00545CA0" w14:paraId="189BB492" w14:textId="77777777" w:rsidTr="00545CA0">
        <w:trPr>
          <w:trHeight w:val="18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88FEF8"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5414" w:type="dxa"/>
            <w:tcBorders>
              <w:top w:val="single" w:sz="4" w:space="0" w:color="auto"/>
              <w:left w:val="nil"/>
              <w:bottom w:val="single" w:sz="4" w:space="0" w:color="auto"/>
              <w:right w:val="single" w:sz="4" w:space="0" w:color="auto"/>
            </w:tcBorders>
            <w:shd w:val="clear" w:color="auto" w:fill="auto"/>
            <w:vAlign w:val="center"/>
            <w:hideMark/>
          </w:tcPr>
          <w:p w14:paraId="0AAA2C1D"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Peňažné toky z prevádzkovej činnosti</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D6B1AF8"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 </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50F66C0B"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 </w:t>
            </w:r>
          </w:p>
        </w:tc>
      </w:tr>
      <w:tr w:rsidR="00545CA0" w:rsidRPr="00545CA0" w14:paraId="162EA833" w14:textId="77777777" w:rsidTr="00545CA0">
        <w:trPr>
          <w:trHeight w:val="21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86AFEF6"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Z/S</w:t>
            </w:r>
          </w:p>
        </w:tc>
        <w:tc>
          <w:tcPr>
            <w:tcW w:w="5414" w:type="dxa"/>
            <w:tcBorders>
              <w:top w:val="nil"/>
              <w:left w:val="nil"/>
              <w:bottom w:val="single" w:sz="4" w:space="0" w:color="auto"/>
              <w:right w:val="single" w:sz="4" w:space="0" w:color="auto"/>
            </w:tcBorders>
            <w:shd w:val="clear" w:color="auto" w:fill="auto"/>
            <w:vAlign w:val="center"/>
            <w:hideMark/>
          </w:tcPr>
          <w:p w14:paraId="2BC3E681"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Výsledok hospodárenia z bežnej činnosti pred zdanením daňou z príjmov </w:t>
            </w:r>
            <w:r w:rsidRPr="00545CA0">
              <w:rPr>
                <w:rFonts w:eastAsia="Times New Roman" w:cs="Calibri"/>
                <w:sz w:val="14"/>
                <w:szCs w:val="14"/>
                <w:vertAlign w:val="superscript"/>
                <w:lang w:eastAsia="sk-SK"/>
              </w:rPr>
              <w:t xml:space="preserve"> </w:t>
            </w:r>
            <w:r w:rsidRPr="00545CA0">
              <w:rPr>
                <w:rFonts w:eastAsia="Times New Roman" w:cs="Calibri"/>
                <w:sz w:val="14"/>
                <w:szCs w:val="14"/>
                <w:lang w:eastAsia="sk-SK"/>
              </w:rPr>
              <w:t>(+/-)</w:t>
            </w:r>
          </w:p>
        </w:tc>
        <w:tc>
          <w:tcPr>
            <w:tcW w:w="1559" w:type="dxa"/>
            <w:tcBorders>
              <w:top w:val="nil"/>
              <w:left w:val="nil"/>
              <w:bottom w:val="single" w:sz="4" w:space="0" w:color="auto"/>
              <w:right w:val="single" w:sz="4" w:space="0" w:color="auto"/>
            </w:tcBorders>
            <w:shd w:val="clear" w:color="auto" w:fill="auto"/>
            <w:vAlign w:val="center"/>
            <w:hideMark/>
          </w:tcPr>
          <w:p w14:paraId="156EB31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152 513</w:t>
            </w:r>
          </w:p>
        </w:tc>
        <w:tc>
          <w:tcPr>
            <w:tcW w:w="1418" w:type="dxa"/>
            <w:tcBorders>
              <w:top w:val="nil"/>
              <w:left w:val="nil"/>
              <w:bottom w:val="single" w:sz="4" w:space="0" w:color="auto"/>
              <w:right w:val="single" w:sz="4" w:space="0" w:color="auto"/>
            </w:tcBorders>
            <w:shd w:val="clear" w:color="auto" w:fill="auto"/>
            <w:vAlign w:val="center"/>
            <w:hideMark/>
          </w:tcPr>
          <w:p w14:paraId="52DA279E"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108 190</w:t>
            </w:r>
          </w:p>
        </w:tc>
      </w:tr>
      <w:tr w:rsidR="00545CA0" w:rsidRPr="00545CA0" w14:paraId="6E6ABE03"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6F7712A"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A.1.</w:t>
            </w:r>
          </w:p>
        </w:tc>
        <w:tc>
          <w:tcPr>
            <w:tcW w:w="5414" w:type="dxa"/>
            <w:tcBorders>
              <w:top w:val="nil"/>
              <w:left w:val="nil"/>
              <w:bottom w:val="single" w:sz="4" w:space="0" w:color="auto"/>
              <w:right w:val="single" w:sz="4" w:space="0" w:color="auto"/>
            </w:tcBorders>
            <w:shd w:val="clear" w:color="auto" w:fill="auto"/>
            <w:vAlign w:val="center"/>
            <w:hideMark/>
          </w:tcPr>
          <w:p w14:paraId="2DBD1A6C"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 xml:space="preserve">Nepeňažné operácie ovplyvňujúce výsledok hospodárenia z bežnej činnosti pred  zdanením daňou z príjmov (+/-), (súčet A. 1. 1. až A. 1. 13.)  </w:t>
            </w:r>
          </w:p>
        </w:tc>
        <w:tc>
          <w:tcPr>
            <w:tcW w:w="1559" w:type="dxa"/>
            <w:tcBorders>
              <w:top w:val="nil"/>
              <w:left w:val="nil"/>
              <w:bottom w:val="single" w:sz="4" w:space="0" w:color="auto"/>
              <w:right w:val="single" w:sz="4" w:space="0" w:color="auto"/>
            </w:tcBorders>
            <w:shd w:val="clear" w:color="auto" w:fill="auto"/>
            <w:vAlign w:val="center"/>
            <w:hideMark/>
          </w:tcPr>
          <w:p w14:paraId="4AAB639F"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177 013</w:t>
            </w:r>
          </w:p>
        </w:tc>
        <w:tc>
          <w:tcPr>
            <w:tcW w:w="1418" w:type="dxa"/>
            <w:tcBorders>
              <w:top w:val="nil"/>
              <w:left w:val="nil"/>
              <w:bottom w:val="single" w:sz="4" w:space="0" w:color="auto"/>
              <w:right w:val="single" w:sz="4" w:space="0" w:color="auto"/>
            </w:tcBorders>
            <w:shd w:val="clear" w:color="auto" w:fill="auto"/>
            <w:vAlign w:val="center"/>
            <w:hideMark/>
          </w:tcPr>
          <w:p w14:paraId="2C19A20E"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35 143</w:t>
            </w:r>
          </w:p>
        </w:tc>
      </w:tr>
      <w:tr w:rsidR="00545CA0" w:rsidRPr="00545CA0" w14:paraId="369E063D" w14:textId="77777777" w:rsidTr="00545CA0">
        <w:trPr>
          <w:trHeight w:val="21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086B82"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1.</w:t>
            </w:r>
          </w:p>
        </w:tc>
        <w:tc>
          <w:tcPr>
            <w:tcW w:w="5414" w:type="dxa"/>
            <w:tcBorders>
              <w:top w:val="nil"/>
              <w:left w:val="nil"/>
              <w:bottom w:val="single" w:sz="4" w:space="0" w:color="auto"/>
              <w:right w:val="single" w:sz="4" w:space="0" w:color="auto"/>
            </w:tcBorders>
            <w:shd w:val="clear" w:color="auto" w:fill="auto"/>
            <w:vAlign w:val="center"/>
            <w:hideMark/>
          </w:tcPr>
          <w:p w14:paraId="2E111BCA"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Odpisy dlhodobého nehmotného majetku a dlhodobého hmotného majetku</w:t>
            </w:r>
            <w:r w:rsidRPr="00545CA0">
              <w:rPr>
                <w:rFonts w:eastAsia="Times New Roman" w:cs="Calibri"/>
                <w:sz w:val="14"/>
                <w:szCs w:val="14"/>
                <w:vertAlign w:val="superscript"/>
                <w:lang w:eastAsia="sk-SK"/>
              </w:rPr>
              <w:t xml:space="preserve"> </w:t>
            </w:r>
            <w:r w:rsidRPr="00545CA0">
              <w:rPr>
                <w:rFonts w:eastAsia="Times New Roman" w:cs="Calibri"/>
                <w:sz w:val="14"/>
                <w:szCs w:val="14"/>
                <w:lang w:eastAsia="sk-SK"/>
              </w:rPr>
              <w:t>(+)</w:t>
            </w:r>
          </w:p>
        </w:tc>
        <w:tc>
          <w:tcPr>
            <w:tcW w:w="1559" w:type="dxa"/>
            <w:tcBorders>
              <w:top w:val="nil"/>
              <w:left w:val="nil"/>
              <w:bottom w:val="single" w:sz="4" w:space="0" w:color="auto"/>
              <w:right w:val="single" w:sz="4" w:space="0" w:color="auto"/>
            </w:tcBorders>
            <w:shd w:val="clear" w:color="auto" w:fill="auto"/>
            <w:vAlign w:val="center"/>
            <w:hideMark/>
          </w:tcPr>
          <w:p w14:paraId="6163EBBF"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98 388</w:t>
            </w:r>
          </w:p>
        </w:tc>
        <w:tc>
          <w:tcPr>
            <w:tcW w:w="1418" w:type="dxa"/>
            <w:tcBorders>
              <w:top w:val="nil"/>
              <w:left w:val="nil"/>
              <w:bottom w:val="single" w:sz="4" w:space="0" w:color="auto"/>
              <w:right w:val="single" w:sz="4" w:space="0" w:color="auto"/>
            </w:tcBorders>
            <w:shd w:val="clear" w:color="auto" w:fill="auto"/>
            <w:vAlign w:val="center"/>
            <w:hideMark/>
          </w:tcPr>
          <w:p w14:paraId="5157F6A5"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7 296</w:t>
            </w:r>
          </w:p>
        </w:tc>
      </w:tr>
      <w:tr w:rsidR="00545CA0" w:rsidRPr="00545CA0" w14:paraId="3E21049F" w14:textId="77777777" w:rsidTr="00545CA0">
        <w:trPr>
          <w:trHeight w:val="21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7621405"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4.</w:t>
            </w:r>
          </w:p>
        </w:tc>
        <w:tc>
          <w:tcPr>
            <w:tcW w:w="5414" w:type="dxa"/>
            <w:tcBorders>
              <w:top w:val="nil"/>
              <w:left w:val="nil"/>
              <w:bottom w:val="single" w:sz="4" w:space="0" w:color="auto"/>
              <w:right w:val="single" w:sz="4" w:space="0" w:color="auto"/>
            </w:tcBorders>
            <w:shd w:val="clear" w:color="auto" w:fill="auto"/>
            <w:vAlign w:val="center"/>
            <w:hideMark/>
          </w:tcPr>
          <w:p w14:paraId="38A6F70F"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Zmena stavu krátkodobých a dlhodobých rezerv </w:t>
            </w:r>
            <w:r w:rsidRPr="00545CA0">
              <w:rPr>
                <w:rFonts w:eastAsia="Times New Roman" w:cs="Calibri"/>
                <w:sz w:val="14"/>
                <w:szCs w:val="14"/>
                <w:vertAlign w:val="superscript"/>
                <w:lang w:eastAsia="sk-SK"/>
              </w:rPr>
              <w:t xml:space="preserve"> </w:t>
            </w:r>
            <w:r w:rsidRPr="00545CA0">
              <w:rPr>
                <w:rFonts w:eastAsia="Times New Roman" w:cs="Calibri"/>
                <w:sz w:val="14"/>
                <w:szCs w:val="14"/>
                <w:lang w:eastAsia="sk-SK"/>
              </w:rPr>
              <w:t>(+/-)</w:t>
            </w:r>
          </w:p>
        </w:tc>
        <w:tc>
          <w:tcPr>
            <w:tcW w:w="1559" w:type="dxa"/>
            <w:tcBorders>
              <w:top w:val="nil"/>
              <w:left w:val="nil"/>
              <w:bottom w:val="single" w:sz="4" w:space="0" w:color="auto"/>
              <w:right w:val="single" w:sz="4" w:space="0" w:color="auto"/>
            </w:tcBorders>
            <w:shd w:val="clear" w:color="auto" w:fill="auto"/>
            <w:vAlign w:val="center"/>
            <w:hideMark/>
          </w:tcPr>
          <w:p w14:paraId="7860BBDC"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107 272</w:t>
            </w:r>
          </w:p>
        </w:tc>
        <w:tc>
          <w:tcPr>
            <w:tcW w:w="1418" w:type="dxa"/>
            <w:tcBorders>
              <w:top w:val="nil"/>
              <w:left w:val="nil"/>
              <w:bottom w:val="single" w:sz="4" w:space="0" w:color="auto"/>
              <w:right w:val="single" w:sz="4" w:space="0" w:color="auto"/>
            </w:tcBorders>
            <w:shd w:val="clear" w:color="auto" w:fill="auto"/>
            <w:vAlign w:val="center"/>
            <w:hideMark/>
          </w:tcPr>
          <w:p w14:paraId="3213D6B7"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6 872</w:t>
            </w:r>
          </w:p>
        </w:tc>
      </w:tr>
      <w:tr w:rsidR="00545CA0" w:rsidRPr="00545CA0" w14:paraId="046E388C"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3BB0EF2"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6.</w:t>
            </w:r>
          </w:p>
        </w:tc>
        <w:tc>
          <w:tcPr>
            <w:tcW w:w="5414" w:type="dxa"/>
            <w:tcBorders>
              <w:top w:val="nil"/>
              <w:left w:val="nil"/>
              <w:bottom w:val="single" w:sz="4" w:space="0" w:color="auto"/>
              <w:right w:val="single" w:sz="4" w:space="0" w:color="auto"/>
            </w:tcBorders>
            <w:shd w:val="clear" w:color="auto" w:fill="auto"/>
            <w:vAlign w:val="center"/>
            <w:hideMark/>
          </w:tcPr>
          <w:p w14:paraId="0A3922D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Zmena stavu položiek časového rozlíšenia nákladov a výnosov  (+/-)</w:t>
            </w:r>
          </w:p>
        </w:tc>
        <w:tc>
          <w:tcPr>
            <w:tcW w:w="1559" w:type="dxa"/>
            <w:tcBorders>
              <w:top w:val="nil"/>
              <w:left w:val="nil"/>
              <w:bottom w:val="single" w:sz="4" w:space="0" w:color="auto"/>
              <w:right w:val="single" w:sz="4" w:space="0" w:color="auto"/>
            </w:tcBorders>
            <w:shd w:val="clear" w:color="auto" w:fill="auto"/>
            <w:vAlign w:val="center"/>
            <w:hideMark/>
          </w:tcPr>
          <w:p w14:paraId="4CF9A203"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-67 378</w:t>
            </w:r>
          </w:p>
        </w:tc>
        <w:tc>
          <w:tcPr>
            <w:tcW w:w="1418" w:type="dxa"/>
            <w:tcBorders>
              <w:top w:val="nil"/>
              <w:left w:val="nil"/>
              <w:bottom w:val="single" w:sz="4" w:space="0" w:color="auto"/>
              <w:right w:val="single" w:sz="4" w:space="0" w:color="auto"/>
            </w:tcBorders>
            <w:shd w:val="clear" w:color="auto" w:fill="auto"/>
            <w:vAlign w:val="center"/>
            <w:hideMark/>
          </w:tcPr>
          <w:p w14:paraId="1FC9311F"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-463</w:t>
            </w:r>
          </w:p>
        </w:tc>
      </w:tr>
      <w:tr w:rsidR="00545CA0" w:rsidRPr="00545CA0" w14:paraId="7AC54A7E"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37C14E0"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8.</w:t>
            </w:r>
          </w:p>
        </w:tc>
        <w:tc>
          <w:tcPr>
            <w:tcW w:w="5414" w:type="dxa"/>
            <w:tcBorders>
              <w:top w:val="nil"/>
              <w:left w:val="nil"/>
              <w:bottom w:val="single" w:sz="4" w:space="0" w:color="auto"/>
              <w:right w:val="single" w:sz="4" w:space="0" w:color="auto"/>
            </w:tcBorders>
            <w:shd w:val="clear" w:color="auto" w:fill="auto"/>
            <w:vAlign w:val="center"/>
            <w:hideMark/>
          </w:tcPr>
          <w:p w14:paraId="1A3989D4"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Úroky účtované do nákladov   (+)</w:t>
            </w:r>
          </w:p>
        </w:tc>
        <w:tc>
          <w:tcPr>
            <w:tcW w:w="1559" w:type="dxa"/>
            <w:tcBorders>
              <w:top w:val="nil"/>
              <w:left w:val="nil"/>
              <w:bottom w:val="single" w:sz="4" w:space="0" w:color="auto"/>
              <w:right w:val="single" w:sz="4" w:space="0" w:color="auto"/>
            </w:tcBorders>
            <w:shd w:val="clear" w:color="auto" w:fill="auto"/>
            <w:vAlign w:val="center"/>
            <w:hideMark/>
          </w:tcPr>
          <w:p w14:paraId="2C694330"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31 962</w:t>
            </w:r>
          </w:p>
        </w:tc>
        <w:tc>
          <w:tcPr>
            <w:tcW w:w="1418" w:type="dxa"/>
            <w:tcBorders>
              <w:top w:val="nil"/>
              <w:left w:val="nil"/>
              <w:bottom w:val="single" w:sz="4" w:space="0" w:color="auto"/>
              <w:right w:val="single" w:sz="4" w:space="0" w:color="auto"/>
            </w:tcBorders>
            <w:shd w:val="clear" w:color="auto" w:fill="auto"/>
            <w:vAlign w:val="center"/>
            <w:hideMark/>
          </w:tcPr>
          <w:p w14:paraId="5D43529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21 437</w:t>
            </w:r>
          </w:p>
        </w:tc>
      </w:tr>
      <w:tr w:rsidR="00545CA0" w:rsidRPr="00545CA0" w14:paraId="1C7CBAA9"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DC7AE78"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9.</w:t>
            </w:r>
          </w:p>
        </w:tc>
        <w:tc>
          <w:tcPr>
            <w:tcW w:w="5414" w:type="dxa"/>
            <w:tcBorders>
              <w:top w:val="nil"/>
              <w:left w:val="nil"/>
              <w:bottom w:val="single" w:sz="4" w:space="0" w:color="auto"/>
              <w:right w:val="single" w:sz="4" w:space="0" w:color="auto"/>
            </w:tcBorders>
            <w:shd w:val="clear" w:color="auto" w:fill="auto"/>
            <w:vAlign w:val="center"/>
            <w:hideMark/>
          </w:tcPr>
          <w:p w14:paraId="707D249B"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Úroky účtované do výnosov    (-)</w:t>
            </w:r>
          </w:p>
        </w:tc>
        <w:tc>
          <w:tcPr>
            <w:tcW w:w="1559" w:type="dxa"/>
            <w:tcBorders>
              <w:top w:val="nil"/>
              <w:left w:val="nil"/>
              <w:bottom w:val="single" w:sz="4" w:space="0" w:color="auto"/>
              <w:right w:val="single" w:sz="4" w:space="0" w:color="auto"/>
            </w:tcBorders>
            <w:shd w:val="clear" w:color="auto" w:fill="auto"/>
            <w:vAlign w:val="center"/>
            <w:hideMark/>
          </w:tcPr>
          <w:p w14:paraId="0BF2479F"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-3</w:t>
            </w:r>
          </w:p>
        </w:tc>
        <w:tc>
          <w:tcPr>
            <w:tcW w:w="1418" w:type="dxa"/>
            <w:tcBorders>
              <w:top w:val="nil"/>
              <w:left w:val="nil"/>
              <w:bottom w:val="single" w:sz="4" w:space="0" w:color="auto"/>
              <w:right w:val="single" w:sz="4" w:space="0" w:color="auto"/>
            </w:tcBorders>
            <w:shd w:val="clear" w:color="auto" w:fill="auto"/>
            <w:vAlign w:val="center"/>
            <w:hideMark/>
          </w:tcPr>
          <w:p w14:paraId="68B2553C"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58FDA662"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811B364"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11.</w:t>
            </w:r>
          </w:p>
        </w:tc>
        <w:tc>
          <w:tcPr>
            <w:tcW w:w="5414" w:type="dxa"/>
            <w:tcBorders>
              <w:top w:val="nil"/>
              <w:left w:val="nil"/>
              <w:bottom w:val="single" w:sz="4" w:space="0" w:color="auto"/>
              <w:right w:val="single" w:sz="4" w:space="0" w:color="auto"/>
            </w:tcBorders>
            <w:shd w:val="clear" w:color="auto" w:fill="auto"/>
            <w:vAlign w:val="center"/>
            <w:hideMark/>
          </w:tcPr>
          <w:p w14:paraId="5A1C06E7"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Kurzová strata vyčíslená k peňažným prostriedkom a peňažným ekvivalentom ku dňu, ku ktorému sa zostavuje účtovná závierka (+)</w:t>
            </w:r>
          </w:p>
        </w:tc>
        <w:tc>
          <w:tcPr>
            <w:tcW w:w="1559" w:type="dxa"/>
            <w:tcBorders>
              <w:top w:val="nil"/>
              <w:left w:val="nil"/>
              <w:bottom w:val="single" w:sz="4" w:space="0" w:color="auto"/>
              <w:right w:val="single" w:sz="4" w:space="0" w:color="auto"/>
            </w:tcBorders>
            <w:shd w:val="clear" w:color="auto" w:fill="auto"/>
            <w:vAlign w:val="center"/>
            <w:hideMark/>
          </w:tcPr>
          <w:p w14:paraId="0041A443"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203</w:t>
            </w:r>
          </w:p>
        </w:tc>
        <w:tc>
          <w:tcPr>
            <w:tcW w:w="1418" w:type="dxa"/>
            <w:tcBorders>
              <w:top w:val="nil"/>
              <w:left w:val="nil"/>
              <w:bottom w:val="single" w:sz="4" w:space="0" w:color="auto"/>
              <w:right w:val="single" w:sz="4" w:space="0" w:color="auto"/>
            </w:tcBorders>
            <w:shd w:val="clear" w:color="auto" w:fill="auto"/>
            <w:vAlign w:val="center"/>
            <w:hideMark/>
          </w:tcPr>
          <w:p w14:paraId="714757BB"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36828013"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5E4D2CC"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1. 13.</w:t>
            </w:r>
          </w:p>
        </w:tc>
        <w:tc>
          <w:tcPr>
            <w:tcW w:w="5414" w:type="dxa"/>
            <w:tcBorders>
              <w:top w:val="nil"/>
              <w:left w:val="nil"/>
              <w:bottom w:val="single" w:sz="4" w:space="0" w:color="auto"/>
              <w:right w:val="single" w:sz="4" w:space="0" w:color="auto"/>
            </w:tcBorders>
            <w:shd w:val="clear" w:color="auto" w:fill="auto"/>
            <w:vAlign w:val="center"/>
            <w:hideMark/>
          </w:tcPr>
          <w:p w14:paraId="0677A3BF"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Ostatné položky nepeňažného charakteru, ktoré ovplyvňujú výsledok hospodárenia z bežnej činnosti, s výnimkou tých, ktoré sa uvádzajú osobitne v iných častiach prehľadu peňažných tokov  (+/-)</w:t>
            </w:r>
          </w:p>
        </w:tc>
        <w:tc>
          <w:tcPr>
            <w:tcW w:w="1559" w:type="dxa"/>
            <w:tcBorders>
              <w:top w:val="nil"/>
              <w:left w:val="nil"/>
              <w:bottom w:val="single" w:sz="4" w:space="0" w:color="auto"/>
              <w:right w:val="single" w:sz="4" w:space="0" w:color="auto"/>
            </w:tcBorders>
            <w:shd w:val="clear" w:color="auto" w:fill="auto"/>
            <w:vAlign w:val="center"/>
            <w:hideMark/>
          </w:tcPr>
          <w:p w14:paraId="36D17C60"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6 569</w:t>
            </w:r>
          </w:p>
        </w:tc>
        <w:tc>
          <w:tcPr>
            <w:tcW w:w="1418" w:type="dxa"/>
            <w:tcBorders>
              <w:top w:val="nil"/>
              <w:left w:val="nil"/>
              <w:bottom w:val="single" w:sz="4" w:space="0" w:color="auto"/>
              <w:right w:val="single" w:sz="4" w:space="0" w:color="auto"/>
            </w:tcBorders>
            <w:shd w:val="clear" w:color="auto" w:fill="auto"/>
            <w:vAlign w:val="center"/>
            <w:hideMark/>
          </w:tcPr>
          <w:p w14:paraId="1D9D4C3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0F261961" w14:textId="77777777" w:rsidTr="00545CA0">
        <w:trPr>
          <w:trHeight w:val="7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778306B"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A. 2.</w:t>
            </w:r>
          </w:p>
        </w:tc>
        <w:tc>
          <w:tcPr>
            <w:tcW w:w="5414" w:type="dxa"/>
            <w:tcBorders>
              <w:top w:val="nil"/>
              <w:left w:val="nil"/>
              <w:bottom w:val="single" w:sz="4" w:space="0" w:color="auto"/>
              <w:right w:val="single" w:sz="4" w:space="0" w:color="auto"/>
            </w:tcBorders>
            <w:shd w:val="clear" w:color="auto" w:fill="auto"/>
            <w:vAlign w:val="center"/>
            <w:hideMark/>
          </w:tcPr>
          <w:p w14:paraId="68E658B4"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Vplyv zmien stavu pracovného kapitálu,</w:t>
            </w:r>
            <w:r w:rsidRPr="00545CA0">
              <w:rPr>
                <w:rFonts w:eastAsia="Times New Roman" w:cs="Calibri"/>
                <w:i/>
                <w:iCs/>
                <w:sz w:val="14"/>
                <w:szCs w:val="14"/>
                <w:vertAlign w:val="superscript"/>
                <w:lang w:eastAsia="sk-SK"/>
              </w:rPr>
              <w:t xml:space="preserve"> </w:t>
            </w:r>
            <w:r w:rsidRPr="00545CA0">
              <w:rPr>
                <w:rFonts w:eastAsia="Times New Roman" w:cs="Calibri"/>
                <w:i/>
                <w:iCs/>
                <w:sz w:val="14"/>
                <w:szCs w:val="14"/>
                <w:lang w:eastAsia="sk-SK"/>
              </w:rPr>
              <w:t>ktorým sa na účely tohto opatrenia rozumie rozdiel medzi obežným majetkom a krátkodobými záväzkami</w:t>
            </w:r>
            <w:r w:rsidRPr="00545CA0">
              <w:rPr>
                <w:rFonts w:eastAsia="Times New Roman" w:cs="Calibri"/>
                <w:i/>
                <w:iCs/>
                <w:sz w:val="14"/>
                <w:szCs w:val="14"/>
                <w:vertAlign w:val="superscript"/>
                <w:lang w:eastAsia="sk-SK"/>
              </w:rPr>
              <w:t xml:space="preserve"> </w:t>
            </w:r>
            <w:r w:rsidRPr="00545CA0">
              <w:rPr>
                <w:rFonts w:eastAsia="Times New Roman" w:cs="Calibri"/>
                <w:i/>
                <w:iCs/>
                <w:sz w:val="14"/>
                <w:szCs w:val="14"/>
                <w:lang w:eastAsia="sk-SK"/>
              </w:rPr>
              <w:t xml:space="preserve"> s výnimkou položiek obežného majetku, ktoré sú súčasťou peňažných prostriedkov a peňažných ekvivalentov, na výsledok hospodárenia z bežnej činnosti (súčet A. 2. 1. až A. 2. 4.)</w:t>
            </w:r>
          </w:p>
        </w:tc>
        <w:tc>
          <w:tcPr>
            <w:tcW w:w="1559" w:type="dxa"/>
            <w:tcBorders>
              <w:top w:val="nil"/>
              <w:left w:val="nil"/>
              <w:bottom w:val="single" w:sz="4" w:space="0" w:color="auto"/>
              <w:right w:val="single" w:sz="4" w:space="0" w:color="auto"/>
            </w:tcBorders>
            <w:shd w:val="clear" w:color="auto" w:fill="auto"/>
            <w:vAlign w:val="center"/>
            <w:hideMark/>
          </w:tcPr>
          <w:p w14:paraId="67E5D771"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-1 799 139</w:t>
            </w:r>
          </w:p>
        </w:tc>
        <w:tc>
          <w:tcPr>
            <w:tcW w:w="1418" w:type="dxa"/>
            <w:tcBorders>
              <w:top w:val="nil"/>
              <w:left w:val="nil"/>
              <w:bottom w:val="single" w:sz="4" w:space="0" w:color="auto"/>
              <w:right w:val="single" w:sz="4" w:space="0" w:color="auto"/>
            </w:tcBorders>
            <w:shd w:val="clear" w:color="auto" w:fill="auto"/>
            <w:vAlign w:val="center"/>
            <w:hideMark/>
          </w:tcPr>
          <w:p w14:paraId="7786F306"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234 889</w:t>
            </w:r>
          </w:p>
        </w:tc>
      </w:tr>
      <w:tr w:rsidR="00545CA0" w:rsidRPr="00545CA0" w14:paraId="24FC28B7"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3A85CCE"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2. 1.</w:t>
            </w:r>
          </w:p>
        </w:tc>
        <w:tc>
          <w:tcPr>
            <w:tcW w:w="5414" w:type="dxa"/>
            <w:tcBorders>
              <w:top w:val="nil"/>
              <w:left w:val="nil"/>
              <w:bottom w:val="single" w:sz="4" w:space="0" w:color="auto"/>
              <w:right w:val="single" w:sz="4" w:space="0" w:color="auto"/>
            </w:tcBorders>
            <w:shd w:val="clear" w:color="auto" w:fill="auto"/>
            <w:vAlign w:val="center"/>
            <w:hideMark/>
          </w:tcPr>
          <w:p w14:paraId="2CFD180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Zmena stavu pohľadávok z prevádzkovej činnosti (-/+)</w:t>
            </w:r>
          </w:p>
        </w:tc>
        <w:tc>
          <w:tcPr>
            <w:tcW w:w="1559" w:type="dxa"/>
            <w:tcBorders>
              <w:top w:val="nil"/>
              <w:left w:val="nil"/>
              <w:bottom w:val="single" w:sz="4" w:space="0" w:color="auto"/>
              <w:right w:val="single" w:sz="4" w:space="0" w:color="auto"/>
            </w:tcBorders>
            <w:shd w:val="clear" w:color="auto" w:fill="auto"/>
            <w:vAlign w:val="center"/>
            <w:hideMark/>
          </w:tcPr>
          <w:p w14:paraId="048F0861"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-266 933</w:t>
            </w:r>
          </w:p>
        </w:tc>
        <w:tc>
          <w:tcPr>
            <w:tcW w:w="1418" w:type="dxa"/>
            <w:tcBorders>
              <w:top w:val="nil"/>
              <w:left w:val="nil"/>
              <w:bottom w:val="single" w:sz="4" w:space="0" w:color="auto"/>
              <w:right w:val="single" w:sz="4" w:space="0" w:color="auto"/>
            </w:tcBorders>
            <w:shd w:val="clear" w:color="auto" w:fill="auto"/>
            <w:vAlign w:val="center"/>
            <w:hideMark/>
          </w:tcPr>
          <w:p w14:paraId="7E412A2E"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-1 251 005</w:t>
            </w:r>
          </w:p>
        </w:tc>
      </w:tr>
      <w:tr w:rsidR="00545CA0" w:rsidRPr="00545CA0" w14:paraId="5132A46A"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8B2ADA6"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2. 2.</w:t>
            </w:r>
          </w:p>
        </w:tc>
        <w:tc>
          <w:tcPr>
            <w:tcW w:w="5414" w:type="dxa"/>
            <w:tcBorders>
              <w:top w:val="nil"/>
              <w:left w:val="nil"/>
              <w:bottom w:val="single" w:sz="4" w:space="0" w:color="auto"/>
              <w:right w:val="single" w:sz="4" w:space="0" w:color="auto"/>
            </w:tcBorders>
            <w:shd w:val="clear" w:color="auto" w:fill="auto"/>
            <w:vAlign w:val="center"/>
            <w:hideMark/>
          </w:tcPr>
          <w:p w14:paraId="79BCA9D8"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Zmena stavu záväzkov z prevádzkovej činnosti (+/-)</w:t>
            </w:r>
          </w:p>
        </w:tc>
        <w:tc>
          <w:tcPr>
            <w:tcW w:w="1559" w:type="dxa"/>
            <w:tcBorders>
              <w:top w:val="nil"/>
              <w:left w:val="nil"/>
              <w:bottom w:val="single" w:sz="4" w:space="0" w:color="auto"/>
              <w:right w:val="single" w:sz="4" w:space="0" w:color="auto"/>
            </w:tcBorders>
            <w:shd w:val="clear" w:color="auto" w:fill="auto"/>
            <w:vAlign w:val="center"/>
            <w:hideMark/>
          </w:tcPr>
          <w:p w14:paraId="55CCBD14"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681 232</w:t>
            </w:r>
          </w:p>
        </w:tc>
        <w:tc>
          <w:tcPr>
            <w:tcW w:w="1418" w:type="dxa"/>
            <w:tcBorders>
              <w:top w:val="nil"/>
              <w:left w:val="nil"/>
              <w:bottom w:val="single" w:sz="4" w:space="0" w:color="auto"/>
              <w:right w:val="single" w:sz="4" w:space="0" w:color="auto"/>
            </w:tcBorders>
            <w:shd w:val="clear" w:color="auto" w:fill="auto"/>
            <w:vAlign w:val="center"/>
            <w:hideMark/>
          </w:tcPr>
          <w:p w14:paraId="2A7E7A9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2 049 036</w:t>
            </w:r>
          </w:p>
        </w:tc>
      </w:tr>
      <w:tr w:rsidR="00545CA0" w:rsidRPr="00545CA0" w14:paraId="23CF9D97"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EDA4602"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2. 3.</w:t>
            </w:r>
          </w:p>
        </w:tc>
        <w:tc>
          <w:tcPr>
            <w:tcW w:w="5414" w:type="dxa"/>
            <w:tcBorders>
              <w:top w:val="nil"/>
              <w:left w:val="nil"/>
              <w:bottom w:val="single" w:sz="4" w:space="0" w:color="auto"/>
              <w:right w:val="single" w:sz="4" w:space="0" w:color="auto"/>
            </w:tcBorders>
            <w:shd w:val="clear" w:color="auto" w:fill="auto"/>
            <w:vAlign w:val="center"/>
            <w:hideMark/>
          </w:tcPr>
          <w:p w14:paraId="36BC89DA"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Zmena stavu zásob (-/+)</w:t>
            </w:r>
          </w:p>
        </w:tc>
        <w:tc>
          <w:tcPr>
            <w:tcW w:w="1559" w:type="dxa"/>
            <w:tcBorders>
              <w:top w:val="nil"/>
              <w:left w:val="nil"/>
              <w:bottom w:val="single" w:sz="4" w:space="0" w:color="auto"/>
              <w:right w:val="single" w:sz="4" w:space="0" w:color="auto"/>
            </w:tcBorders>
            <w:shd w:val="clear" w:color="auto" w:fill="auto"/>
            <w:vAlign w:val="center"/>
            <w:hideMark/>
          </w:tcPr>
          <w:p w14:paraId="7A0142D7"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-2 213 438</w:t>
            </w:r>
          </w:p>
        </w:tc>
        <w:tc>
          <w:tcPr>
            <w:tcW w:w="1418" w:type="dxa"/>
            <w:tcBorders>
              <w:top w:val="nil"/>
              <w:left w:val="nil"/>
              <w:bottom w:val="single" w:sz="4" w:space="0" w:color="auto"/>
              <w:right w:val="single" w:sz="4" w:space="0" w:color="auto"/>
            </w:tcBorders>
            <w:shd w:val="clear" w:color="auto" w:fill="auto"/>
            <w:vAlign w:val="center"/>
            <w:hideMark/>
          </w:tcPr>
          <w:p w14:paraId="1D6E195C"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-563 142</w:t>
            </w:r>
          </w:p>
        </w:tc>
      </w:tr>
      <w:tr w:rsidR="00545CA0" w:rsidRPr="00545CA0" w14:paraId="10961E3C"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EDD620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5414" w:type="dxa"/>
            <w:tcBorders>
              <w:top w:val="nil"/>
              <w:left w:val="nil"/>
              <w:bottom w:val="single" w:sz="4" w:space="0" w:color="auto"/>
              <w:right w:val="single" w:sz="4" w:space="0" w:color="auto"/>
            </w:tcBorders>
            <w:shd w:val="clear" w:color="auto" w:fill="auto"/>
            <w:vAlign w:val="center"/>
            <w:hideMark/>
          </w:tcPr>
          <w:p w14:paraId="3E076F67"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Peňažné  toky  z prevádzkovej  činnosti s výnimkou príjmov a výdavkov, ktoré sa  uvádzajú  osobitne v iných častiach prehľadu  peňažných tokov (+/-), (súčet Z/S  +  A. 1. + A. 2.)</w:t>
            </w:r>
          </w:p>
        </w:tc>
        <w:tc>
          <w:tcPr>
            <w:tcW w:w="1559" w:type="dxa"/>
            <w:tcBorders>
              <w:top w:val="nil"/>
              <w:left w:val="nil"/>
              <w:bottom w:val="single" w:sz="4" w:space="0" w:color="auto"/>
              <w:right w:val="single" w:sz="4" w:space="0" w:color="auto"/>
            </w:tcBorders>
            <w:shd w:val="clear" w:color="auto" w:fill="auto"/>
            <w:vAlign w:val="center"/>
            <w:hideMark/>
          </w:tcPr>
          <w:p w14:paraId="3E49A4CD"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-1 469 613</w:t>
            </w:r>
          </w:p>
        </w:tc>
        <w:tc>
          <w:tcPr>
            <w:tcW w:w="1418" w:type="dxa"/>
            <w:tcBorders>
              <w:top w:val="nil"/>
              <w:left w:val="nil"/>
              <w:bottom w:val="single" w:sz="4" w:space="0" w:color="auto"/>
              <w:right w:val="single" w:sz="4" w:space="0" w:color="auto"/>
            </w:tcBorders>
            <w:shd w:val="clear" w:color="auto" w:fill="auto"/>
            <w:vAlign w:val="center"/>
            <w:hideMark/>
          </w:tcPr>
          <w:p w14:paraId="2A4412E8"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378 221</w:t>
            </w:r>
          </w:p>
        </w:tc>
      </w:tr>
      <w:tr w:rsidR="00545CA0" w:rsidRPr="00545CA0" w14:paraId="4D2D5E0E"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A129001"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3.</w:t>
            </w:r>
          </w:p>
        </w:tc>
        <w:tc>
          <w:tcPr>
            <w:tcW w:w="5414" w:type="dxa"/>
            <w:tcBorders>
              <w:top w:val="nil"/>
              <w:left w:val="nil"/>
              <w:bottom w:val="single" w:sz="4" w:space="0" w:color="auto"/>
              <w:right w:val="single" w:sz="4" w:space="0" w:color="auto"/>
            </w:tcBorders>
            <w:shd w:val="clear" w:color="auto" w:fill="auto"/>
            <w:vAlign w:val="center"/>
            <w:hideMark/>
          </w:tcPr>
          <w:p w14:paraId="652B56A5"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Prijaté úroky, s výnimkou tých, ktoré sa začleňujú do investičných činností (+)</w:t>
            </w:r>
          </w:p>
        </w:tc>
        <w:tc>
          <w:tcPr>
            <w:tcW w:w="1559" w:type="dxa"/>
            <w:tcBorders>
              <w:top w:val="nil"/>
              <w:left w:val="nil"/>
              <w:bottom w:val="single" w:sz="4" w:space="0" w:color="auto"/>
              <w:right w:val="single" w:sz="4" w:space="0" w:color="auto"/>
            </w:tcBorders>
            <w:shd w:val="clear" w:color="auto" w:fill="auto"/>
            <w:vAlign w:val="center"/>
            <w:hideMark/>
          </w:tcPr>
          <w:p w14:paraId="4AA7E171"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3</w:t>
            </w:r>
          </w:p>
        </w:tc>
        <w:tc>
          <w:tcPr>
            <w:tcW w:w="1418" w:type="dxa"/>
            <w:tcBorders>
              <w:top w:val="nil"/>
              <w:left w:val="nil"/>
              <w:bottom w:val="single" w:sz="4" w:space="0" w:color="auto"/>
              <w:right w:val="single" w:sz="4" w:space="0" w:color="auto"/>
            </w:tcBorders>
            <w:shd w:val="clear" w:color="auto" w:fill="auto"/>
            <w:vAlign w:val="center"/>
            <w:hideMark/>
          </w:tcPr>
          <w:p w14:paraId="25807C4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773D47BD"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07E0EE2"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4.</w:t>
            </w:r>
          </w:p>
        </w:tc>
        <w:tc>
          <w:tcPr>
            <w:tcW w:w="5414" w:type="dxa"/>
            <w:tcBorders>
              <w:top w:val="nil"/>
              <w:left w:val="nil"/>
              <w:bottom w:val="single" w:sz="4" w:space="0" w:color="auto"/>
              <w:right w:val="single" w:sz="4" w:space="0" w:color="auto"/>
            </w:tcBorders>
            <w:shd w:val="clear" w:color="auto" w:fill="auto"/>
            <w:vAlign w:val="center"/>
            <w:hideMark/>
          </w:tcPr>
          <w:p w14:paraId="5F0DDF19"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zaplatené úroky, s výnimkou tých, ktoré sa začleňujú do finančných činností (-)</w:t>
            </w:r>
          </w:p>
        </w:tc>
        <w:tc>
          <w:tcPr>
            <w:tcW w:w="1559" w:type="dxa"/>
            <w:tcBorders>
              <w:top w:val="nil"/>
              <w:left w:val="nil"/>
              <w:bottom w:val="single" w:sz="4" w:space="0" w:color="auto"/>
              <w:right w:val="single" w:sz="4" w:space="0" w:color="auto"/>
            </w:tcBorders>
            <w:shd w:val="clear" w:color="auto" w:fill="auto"/>
            <w:vAlign w:val="center"/>
            <w:hideMark/>
          </w:tcPr>
          <w:p w14:paraId="3234AA9C"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-31 962</w:t>
            </w:r>
          </w:p>
        </w:tc>
        <w:tc>
          <w:tcPr>
            <w:tcW w:w="1418" w:type="dxa"/>
            <w:tcBorders>
              <w:top w:val="nil"/>
              <w:left w:val="nil"/>
              <w:bottom w:val="single" w:sz="4" w:space="0" w:color="auto"/>
              <w:right w:val="single" w:sz="4" w:space="0" w:color="auto"/>
            </w:tcBorders>
            <w:shd w:val="clear" w:color="auto" w:fill="auto"/>
            <w:vAlign w:val="center"/>
            <w:hideMark/>
          </w:tcPr>
          <w:p w14:paraId="2981E50F"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-21 437</w:t>
            </w:r>
          </w:p>
        </w:tc>
      </w:tr>
      <w:tr w:rsidR="00545CA0" w:rsidRPr="00545CA0" w14:paraId="6E64F06F"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4F60EF5"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5414" w:type="dxa"/>
            <w:tcBorders>
              <w:top w:val="nil"/>
              <w:left w:val="nil"/>
              <w:bottom w:val="single" w:sz="4" w:space="0" w:color="auto"/>
              <w:right w:val="single" w:sz="4" w:space="0" w:color="auto"/>
            </w:tcBorders>
            <w:shd w:val="clear" w:color="auto" w:fill="auto"/>
            <w:vAlign w:val="center"/>
            <w:hideMark/>
          </w:tcPr>
          <w:p w14:paraId="6EA872B1"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Peňažné  toky z prevádzkovej činnosti (+/-), (súčet Z/S + A. 1. až A. 6.)</w:t>
            </w:r>
          </w:p>
        </w:tc>
        <w:tc>
          <w:tcPr>
            <w:tcW w:w="1559" w:type="dxa"/>
            <w:tcBorders>
              <w:top w:val="nil"/>
              <w:left w:val="nil"/>
              <w:bottom w:val="single" w:sz="4" w:space="0" w:color="auto"/>
              <w:right w:val="single" w:sz="4" w:space="0" w:color="auto"/>
            </w:tcBorders>
            <w:shd w:val="clear" w:color="auto" w:fill="auto"/>
            <w:vAlign w:val="center"/>
            <w:hideMark/>
          </w:tcPr>
          <w:p w14:paraId="4F44D827"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-1 501 572</w:t>
            </w:r>
          </w:p>
        </w:tc>
        <w:tc>
          <w:tcPr>
            <w:tcW w:w="1418" w:type="dxa"/>
            <w:tcBorders>
              <w:top w:val="nil"/>
              <w:left w:val="nil"/>
              <w:bottom w:val="single" w:sz="4" w:space="0" w:color="auto"/>
              <w:right w:val="single" w:sz="4" w:space="0" w:color="auto"/>
            </w:tcBorders>
            <w:shd w:val="clear" w:color="auto" w:fill="auto"/>
            <w:vAlign w:val="center"/>
            <w:hideMark/>
          </w:tcPr>
          <w:p w14:paraId="1F2520B8"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356 784</w:t>
            </w:r>
          </w:p>
        </w:tc>
      </w:tr>
      <w:tr w:rsidR="00545CA0" w:rsidRPr="00545CA0" w14:paraId="38DEFF7E"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168B801"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A. 7.</w:t>
            </w:r>
          </w:p>
        </w:tc>
        <w:tc>
          <w:tcPr>
            <w:tcW w:w="5414" w:type="dxa"/>
            <w:tcBorders>
              <w:top w:val="nil"/>
              <w:left w:val="nil"/>
              <w:bottom w:val="single" w:sz="4" w:space="0" w:color="auto"/>
              <w:right w:val="single" w:sz="4" w:space="0" w:color="auto"/>
            </w:tcBorders>
            <w:shd w:val="clear" w:color="auto" w:fill="auto"/>
            <w:vAlign w:val="center"/>
            <w:hideMark/>
          </w:tcPr>
          <w:p w14:paraId="1967C49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daň z príjmov účtovnej jednotky, s výnimkou tých, ktoré sa  začleňujú do investičných činností alebo finančných činností (-/+)</w:t>
            </w:r>
          </w:p>
        </w:tc>
        <w:tc>
          <w:tcPr>
            <w:tcW w:w="1559" w:type="dxa"/>
            <w:tcBorders>
              <w:top w:val="nil"/>
              <w:left w:val="nil"/>
              <w:bottom w:val="single" w:sz="4" w:space="0" w:color="auto"/>
              <w:right w:val="single" w:sz="4" w:space="0" w:color="auto"/>
            </w:tcBorders>
            <w:shd w:val="clear" w:color="auto" w:fill="auto"/>
            <w:vAlign w:val="center"/>
            <w:hideMark/>
          </w:tcPr>
          <w:p w14:paraId="3CECF672"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-52 945</w:t>
            </w:r>
          </w:p>
        </w:tc>
        <w:tc>
          <w:tcPr>
            <w:tcW w:w="1418" w:type="dxa"/>
            <w:tcBorders>
              <w:top w:val="nil"/>
              <w:left w:val="nil"/>
              <w:bottom w:val="single" w:sz="4" w:space="0" w:color="auto"/>
              <w:right w:val="single" w:sz="4" w:space="0" w:color="auto"/>
            </w:tcBorders>
            <w:shd w:val="clear" w:color="auto" w:fill="auto"/>
            <w:vAlign w:val="center"/>
            <w:hideMark/>
          </w:tcPr>
          <w:p w14:paraId="69B75259"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-16 363</w:t>
            </w:r>
          </w:p>
        </w:tc>
      </w:tr>
      <w:tr w:rsidR="00545CA0" w:rsidRPr="00545CA0" w14:paraId="0DC66E1A"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DFC5279"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A.</w:t>
            </w:r>
          </w:p>
        </w:tc>
        <w:tc>
          <w:tcPr>
            <w:tcW w:w="5414" w:type="dxa"/>
            <w:tcBorders>
              <w:top w:val="nil"/>
              <w:left w:val="nil"/>
              <w:bottom w:val="single" w:sz="4" w:space="0" w:color="auto"/>
              <w:right w:val="single" w:sz="4" w:space="0" w:color="auto"/>
            </w:tcBorders>
            <w:shd w:val="clear" w:color="auto" w:fill="auto"/>
            <w:vAlign w:val="center"/>
            <w:hideMark/>
          </w:tcPr>
          <w:p w14:paraId="33F4D3A9"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Čisté peňažné toky z prevádzkovej činnosti (+/-),(súčet Z/S +  A. 1.  až  A. 9.)</w:t>
            </w:r>
          </w:p>
        </w:tc>
        <w:tc>
          <w:tcPr>
            <w:tcW w:w="1559" w:type="dxa"/>
            <w:tcBorders>
              <w:top w:val="nil"/>
              <w:left w:val="nil"/>
              <w:bottom w:val="single" w:sz="4" w:space="0" w:color="auto"/>
              <w:right w:val="single" w:sz="4" w:space="0" w:color="auto"/>
            </w:tcBorders>
            <w:shd w:val="clear" w:color="auto" w:fill="auto"/>
            <w:vAlign w:val="center"/>
            <w:hideMark/>
          </w:tcPr>
          <w:p w14:paraId="5268BCDB"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-1 554 517</w:t>
            </w:r>
          </w:p>
        </w:tc>
        <w:tc>
          <w:tcPr>
            <w:tcW w:w="1418" w:type="dxa"/>
            <w:tcBorders>
              <w:top w:val="nil"/>
              <w:left w:val="nil"/>
              <w:bottom w:val="single" w:sz="4" w:space="0" w:color="auto"/>
              <w:right w:val="single" w:sz="4" w:space="0" w:color="auto"/>
            </w:tcBorders>
            <w:shd w:val="clear" w:color="auto" w:fill="auto"/>
            <w:vAlign w:val="center"/>
            <w:hideMark/>
          </w:tcPr>
          <w:p w14:paraId="1721FBD2"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340 421</w:t>
            </w:r>
          </w:p>
        </w:tc>
      </w:tr>
      <w:tr w:rsidR="00545CA0" w:rsidRPr="00545CA0" w14:paraId="34ED5A52"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7A818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5414" w:type="dxa"/>
            <w:tcBorders>
              <w:top w:val="nil"/>
              <w:left w:val="nil"/>
              <w:bottom w:val="single" w:sz="4" w:space="0" w:color="auto"/>
              <w:right w:val="single" w:sz="4" w:space="0" w:color="auto"/>
            </w:tcBorders>
            <w:shd w:val="clear" w:color="auto" w:fill="auto"/>
            <w:vAlign w:val="center"/>
            <w:hideMark/>
          </w:tcPr>
          <w:p w14:paraId="46C73C8E"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Peňažné toky z investičnej činnosti</w:t>
            </w:r>
          </w:p>
        </w:tc>
        <w:tc>
          <w:tcPr>
            <w:tcW w:w="1559" w:type="dxa"/>
            <w:tcBorders>
              <w:top w:val="nil"/>
              <w:left w:val="nil"/>
              <w:bottom w:val="single" w:sz="4" w:space="0" w:color="auto"/>
              <w:right w:val="single" w:sz="4" w:space="0" w:color="auto"/>
            </w:tcBorders>
            <w:shd w:val="clear" w:color="auto" w:fill="auto"/>
            <w:vAlign w:val="center"/>
            <w:hideMark/>
          </w:tcPr>
          <w:p w14:paraId="646AF5B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1418" w:type="dxa"/>
            <w:tcBorders>
              <w:top w:val="nil"/>
              <w:left w:val="nil"/>
              <w:bottom w:val="single" w:sz="4" w:space="0" w:color="auto"/>
              <w:right w:val="single" w:sz="4" w:space="0" w:color="auto"/>
            </w:tcBorders>
            <w:shd w:val="clear" w:color="auto" w:fill="auto"/>
            <w:vAlign w:val="center"/>
            <w:hideMark/>
          </w:tcPr>
          <w:p w14:paraId="766251E9"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r>
      <w:tr w:rsidR="00545CA0" w:rsidRPr="00545CA0" w14:paraId="4D4644D0"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AECD3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B. 1.</w:t>
            </w:r>
          </w:p>
        </w:tc>
        <w:tc>
          <w:tcPr>
            <w:tcW w:w="5414" w:type="dxa"/>
            <w:tcBorders>
              <w:top w:val="nil"/>
              <w:left w:val="nil"/>
              <w:bottom w:val="single" w:sz="4" w:space="0" w:color="auto"/>
              <w:right w:val="single" w:sz="4" w:space="0" w:color="auto"/>
            </w:tcBorders>
            <w:shd w:val="clear" w:color="auto" w:fill="auto"/>
            <w:vAlign w:val="center"/>
            <w:hideMark/>
          </w:tcPr>
          <w:p w14:paraId="1D0461A6"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obstaranie dlhodobého nehmotného majetku (-)</w:t>
            </w:r>
          </w:p>
        </w:tc>
        <w:tc>
          <w:tcPr>
            <w:tcW w:w="1559" w:type="dxa"/>
            <w:tcBorders>
              <w:top w:val="nil"/>
              <w:left w:val="nil"/>
              <w:bottom w:val="single" w:sz="4" w:space="0" w:color="auto"/>
              <w:right w:val="single" w:sz="4" w:space="0" w:color="auto"/>
            </w:tcBorders>
            <w:shd w:val="clear" w:color="auto" w:fill="auto"/>
            <w:vAlign w:val="center"/>
            <w:hideMark/>
          </w:tcPr>
          <w:p w14:paraId="4C22D187"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-1 170 522</w:t>
            </w:r>
          </w:p>
        </w:tc>
        <w:tc>
          <w:tcPr>
            <w:tcW w:w="1418" w:type="dxa"/>
            <w:tcBorders>
              <w:top w:val="nil"/>
              <w:left w:val="nil"/>
              <w:bottom w:val="single" w:sz="4" w:space="0" w:color="auto"/>
              <w:right w:val="single" w:sz="4" w:space="0" w:color="auto"/>
            </w:tcBorders>
            <w:shd w:val="clear" w:color="auto" w:fill="auto"/>
            <w:vAlign w:val="center"/>
            <w:hideMark/>
          </w:tcPr>
          <w:p w14:paraId="6ECD1908"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38769E6A"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BCAB19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lastRenderedPageBreak/>
              <w:t>B. 2.</w:t>
            </w:r>
          </w:p>
        </w:tc>
        <w:tc>
          <w:tcPr>
            <w:tcW w:w="5414" w:type="dxa"/>
            <w:tcBorders>
              <w:top w:val="nil"/>
              <w:left w:val="nil"/>
              <w:bottom w:val="single" w:sz="4" w:space="0" w:color="auto"/>
              <w:right w:val="single" w:sz="4" w:space="0" w:color="auto"/>
            </w:tcBorders>
            <w:shd w:val="clear" w:color="auto" w:fill="auto"/>
            <w:vAlign w:val="center"/>
            <w:hideMark/>
          </w:tcPr>
          <w:p w14:paraId="4A0C838A"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obstaranie dlhodobého hmotného majetku (-)</w:t>
            </w:r>
          </w:p>
        </w:tc>
        <w:tc>
          <w:tcPr>
            <w:tcW w:w="1559" w:type="dxa"/>
            <w:tcBorders>
              <w:top w:val="nil"/>
              <w:left w:val="nil"/>
              <w:bottom w:val="single" w:sz="4" w:space="0" w:color="auto"/>
              <w:right w:val="single" w:sz="4" w:space="0" w:color="auto"/>
            </w:tcBorders>
            <w:shd w:val="clear" w:color="auto" w:fill="auto"/>
            <w:vAlign w:val="center"/>
            <w:hideMark/>
          </w:tcPr>
          <w:p w14:paraId="5D1F251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-229 990</w:t>
            </w:r>
          </w:p>
        </w:tc>
        <w:tc>
          <w:tcPr>
            <w:tcW w:w="1418" w:type="dxa"/>
            <w:tcBorders>
              <w:top w:val="nil"/>
              <w:left w:val="nil"/>
              <w:bottom w:val="single" w:sz="4" w:space="0" w:color="auto"/>
              <w:right w:val="single" w:sz="4" w:space="0" w:color="auto"/>
            </w:tcBorders>
            <w:shd w:val="clear" w:color="auto" w:fill="auto"/>
            <w:vAlign w:val="center"/>
            <w:hideMark/>
          </w:tcPr>
          <w:p w14:paraId="0EDFBD87"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-42 519</w:t>
            </w:r>
          </w:p>
        </w:tc>
      </w:tr>
      <w:tr w:rsidR="00545CA0" w:rsidRPr="00545CA0" w14:paraId="0091F288"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9A80F17"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B. 3.</w:t>
            </w:r>
          </w:p>
        </w:tc>
        <w:tc>
          <w:tcPr>
            <w:tcW w:w="5414" w:type="dxa"/>
            <w:tcBorders>
              <w:top w:val="nil"/>
              <w:left w:val="nil"/>
              <w:bottom w:val="single" w:sz="4" w:space="0" w:color="auto"/>
              <w:right w:val="single" w:sz="4" w:space="0" w:color="auto"/>
            </w:tcBorders>
            <w:shd w:val="clear" w:color="auto" w:fill="auto"/>
            <w:vAlign w:val="center"/>
            <w:hideMark/>
          </w:tcPr>
          <w:p w14:paraId="7F57C33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559" w:type="dxa"/>
            <w:tcBorders>
              <w:top w:val="nil"/>
              <w:left w:val="nil"/>
              <w:bottom w:val="single" w:sz="4" w:space="0" w:color="auto"/>
              <w:right w:val="single" w:sz="4" w:space="0" w:color="auto"/>
            </w:tcBorders>
            <w:shd w:val="clear" w:color="auto" w:fill="auto"/>
            <w:vAlign w:val="center"/>
            <w:hideMark/>
          </w:tcPr>
          <w:p w14:paraId="64E9EBDA"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-15 097</w:t>
            </w:r>
          </w:p>
        </w:tc>
        <w:tc>
          <w:tcPr>
            <w:tcW w:w="1418" w:type="dxa"/>
            <w:tcBorders>
              <w:top w:val="nil"/>
              <w:left w:val="nil"/>
              <w:bottom w:val="single" w:sz="4" w:space="0" w:color="auto"/>
              <w:right w:val="single" w:sz="4" w:space="0" w:color="auto"/>
            </w:tcBorders>
            <w:shd w:val="clear" w:color="auto" w:fill="auto"/>
            <w:vAlign w:val="center"/>
            <w:hideMark/>
          </w:tcPr>
          <w:p w14:paraId="7D09EB39"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1B240DDB"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A11F297"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B.</w:t>
            </w:r>
          </w:p>
        </w:tc>
        <w:tc>
          <w:tcPr>
            <w:tcW w:w="5414" w:type="dxa"/>
            <w:tcBorders>
              <w:top w:val="nil"/>
              <w:left w:val="nil"/>
              <w:bottom w:val="single" w:sz="4" w:space="0" w:color="auto"/>
              <w:right w:val="single" w:sz="4" w:space="0" w:color="auto"/>
            </w:tcBorders>
            <w:shd w:val="clear" w:color="auto" w:fill="auto"/>
            <w:vAlign w:val="center"/>
            <w:hideMark/>
          </w:tcPr>
          <w:p w14:paraId="1D948AFD"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Čisté  peňažné toky z investičnej  činnosti (súčet B. 1. až B. 19.)</w:t>
            </w:r>
          </w:p>
        </w:tc>
        <w:tc>
          <w:tcPr>
            <w:tcW w:w="1559" w:type="dxa"/>
            <w:tcBorders>
              <w:top w:val="nil"/>
              <w:left w:val="nil"/>
              <w:bottom w:val="single" w:sz="4" w:space="0" w:color="auto"/>
              <w:right w:val="single" w:sz="4" w:space="0" w:color="auto"/>
            </w:tcBorders>
            <w:shd w:val="clear" w:color="auto" w:fill="auto"/>
            <w:vAlign w:val="center"/>
            <w:hideMark/>
          </w:tcPr>
          <w:p w14:paraId="66A4BBCA"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-1 415 609</w:t>
            </w:r>
          </w:p>
        </w:tc>
        <w:tc>
          <w:tcPr>
            <w:tcW w:w="1418" w:type="dxa"/>
            <w:tcBorders>
              <w:top w:val="nil"/>
              <w:left w:val="nil"/>
              <w:bottom w:val="single" w:sz="4" w:space="0" w:color="auto"/>
              <w:right w:val="single" w:sz="4" w:space="0" w:color="auto"/>
            </w:tcBorders>
            <w:shd w:val="clear" w:color="auto" w:fill="auto"/>
            <w:vAlign w:val="center"/>
            <w:hideMark/>
          </w:tcPr>
          <w:p w14:paraId="58C510D8"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-42 519</w:t>
            </w:r>
          </w:p>
        </w:tc>
      </w:tr>
      <w:tr w:rsidR="00545CA0" w:rsidRPr="00545CA0" w14:paraId="16130139"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13446C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5414" w:type="dxa"/>
            <w:tcBorders>
              <w:top w:val="nil"/>
              <w:left w:val="nil"/>
              <w:bottom w:val="single" w:sz="4" w:space="0" w:color="auto"/>
              <w:right w:val="single" w:sz="4" w:space="0" w:color="auto"/>
            </w:tcBorders>
            <w:shd w:val="clear" w:color="auto" w:fill="auto"/>
            <w:vAlign w:val="center"/>
            <w:hideMark/>
          </w:tcPr>
          <w:p w14:paraId="5D8D01CF"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Peňažné toky z finančnej činnosti</w:t>
            </w:r>
          </w:p>
        </w:tc>
        <w:tc>
          <w:tcPr>
            <w:tcW w:w="1559" w:type="dxa"/>
            <w:tcBorders>
              <w:top w:val="nil"/>
              <w:left w:val="nil"/>
              <w:bottom w:val="single" w:sz="4" w:space="0" w:color="auto"/>
              <w:right w:val="single" w:sz="4" w:space="0" w:color="auto"/>
            </w:tcBorders>
            <w:shd w:val="clear" w:color="auto" w:fill="auto"/>
            <w:vAlign w:val="center"/>
            <w:hideMark/>
          </w:tcPr>
          <w:p w14:paraId="058B4C27"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1418" w:type="dxa"/>
            <w:tcBorders>
              <w:top w:val="nil"/>
              <w:left w:val="nil"/>
              <w:bottom w:val="single" w:sz="4" w:space="0" w:color="auto"/>
              <w:right w:val="single" w:sz="4" w:space="0" w:color="auto"/>
            </w:tcBorders>
            <w:shd w:val="clear" w:color="auto" w:fill="auto"/>
            <w:vAlign w:val="center"/>
            <w:hideMark/>
          </w:tcPr>
          <w:p w14:paraId="4BF52180"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r>
      <w:tr w:rsidR="00545CA0" w:rsidRPr="00545CA0" w14:paraId="4B9A3E79"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2229363"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C. 1.</w:t>
            </w:r>
          </w:p>
        </w:tc>
        <w:tc>
          <w:tcPr>
            <w:tcW w:w="5414" w:type="dxa"/>
            <w:tcBorders>
              <w:top w:val="nil"/>
              <w:left w:val="nil"/>
              <w:bottom w:val="single" w:sz="4" w:space="0" w:color="auto"/>
              <w:right w:val="single" w:sz="4" w:space="0" w:color="auto"/>
            </w:tcBorders>
            <w:shd w:val="clear" w:color="auto" w:fill="auto"/>
            <w:vAlign w:val="center"/>
            <w:hideMark/>
          </w:tcPr>
          <w:p w14:paraId="337D3932"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Peňažné toky vo  vlastnom  imaní (súčet C. 1. 1. až C. 1. 8.)</w:t>
            </w:r>
          </w:p>
        </w:tc>
        <w:tc>
          <w:tcPr>
            <w:tcW w:w="1559" w:type="dxa"/>
            <w:tcBorders>
              <w:top w:val="nil"/>
              <w:left w:val="nil"/>
              <w:bottom w:val="single" w:sz="4" w:space="0" w:color="auto"/>
              <w:right w:val="single" w:sz="4" w:space="0" w:color="auto"/>
            </w:tcBorders>
            <w:shd w:val="clear" w:color="auto" w:fill="auto"/>
            <w:vAlign w:val="center"/>
            <w:hideMark/>
          </w:tcPr>
          <w:p w14:paraId="6608134C"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3 004 800</w:t>
            </w:r>
          </w:p>
        </w:tc>
        <w:tc>
          <w:tcPr>
            <w:tcW w:w="1418" w:type="dxa"/>
            <w:tcBorders>
              <w:top w:val="nil"/>
              <w:left w:val="nil"/>
              <w:bottom w:val="single" w:sz="4" w:space="0" w:color="auto"/>
              <w:right w:val="single" w:sz="4" w:space="0" w:color="auto"/>
            </w:tcBorders>
            <w:shd w:val="clear" w:color="auto" w:fill="auto"/>
            <w:vAlign w:val="center"/>
            <w:hideMark/>
          </w:tcPr>
          <w:p w14:paraId="5ED9262C"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-324 000</w:t>
            </w:r>
          </w:p>
        </w:tc>
      </w:tr>
      <w:tr w:rsidR="00545CA0" w:rsidRPr="00545CA0" w14:paraId="6D87B4EB"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75B95A6"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 1. 2.</w:t>
            </w:r>
          </w:p>
        </w:tc>
        <w:tc>
          <w:tcPr>
            <w:tcW w:w="5414" w:type="dxa"/>
            <w:tcBorders>
              <w:top w:val="nil"/>
              <w:left w:val="nil"/>
              <w:bottom w:val="single" w:sz="4" w:space="0" w:color="auto"/>
              <w:right w:val="single" w:sz="4" w:space="0" w:color="auto"/>
            </w:tcBorders>
            <w:shd w:val="clear" w:color="auto" w:fill="auto"/>
            <w:vAlign w:val="center"/>
            <w:hideMark/>
          </w:tcPr>
          <w:p w14:paraId="0F88FE8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Príjmy z  ďalších vkladov do vlastného imania spoločníkmi alebo fyzickou osobou, ktorá je  účtovnou jednotkou (+)</w:t>
            </w:r>
          </w:p>
        </w:tc>
        <w:tc>
          <w:tcPr>
            <w:tcW w:w="1559" w:type="dxa"/>
            <w:tcBorders>
              <w:top w:val="nil"/>
              <w:left w:val="nil"/>
              <w:bottom w:val="single" w:sz="4" w:space="0" w:color="auto"/>
              <w:right w:val="single" w:sz="4" w:space="0" w:color="auto"/>
            </w:tcBorders>
            <w:shd w:val="clear" w:color="auto" w:fill="auto"/>
            <w:vAlign w:val="center"/>
            <w:hideMark/>
          </w:tcPr>
          <w:p w14:paraId="1598AF26"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3 004 800</w:t>
            </w:r>
          </w:p>
        </w:tc>
        <w:tc>
          <w:tcPr>
            <w:tcW w:w="1418" w:type="dxa"/>
            <w:tcBorders>
              <w:top w:val="nil"/>
              <w:left w:val="nil"/>
              <w:bottom w:val="single" w:sz="4" w:space="0" w:color="auto"/>
              <w:right w:val="single" w:sz="4" w:space="0" w:color="auto"/>
            </w:tcBorders>
            <w:shd w:val="clear" w:color="auto" w:fill="auto"/>
            <w:vAlign w:val="center"/>
            <w:hideMark/>
          </w:tcPr>
          <w:p w14:paraId="1D840A31"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0D382C45"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A348147"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C.1. 8.</w:t>
            </w:r>
          </w:p>
        </w:tc>
        <w:tc>
          <w:tcPr>
            <w:tcW w:w="5414" w:type="dxa"/>
            <w:tcBorders>
              <w:top w:val="nil"/>
              <w:left w:val="nil"/>
              <w:bottom w:val="single" w:sz="4" w:space="0" w:color="auto"/>
              <w:right w:val="single" w:sz="4" w:space="0" w:color="auto"/>
            </w:tcBorders>
            <w:shd w:val="clear" w:color="auto" w:fill="auto"/>
            <w:vAlign w:val="center"/>
            <w:hideMark/>
          </w:tcPr>
          <w:p w14:paraId="1B503578"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z  iných dôvodov, ktoré súvisia so znížením vlastného imania (-)</w:t>
            </w:r>
          </w:p>
        </w:tc>
        <w:tc>
          <w:tcPr>
            <w:tcW w:w="1559" w:type="dxa"/>
            <w:tcBorders>
              <w:top w:val="nil"/>
              <w:left w:val="nil"/>
              <w:bottom w:val="single" w:sz="4" w:space="0" w:color="auto"/>
              <w:right w:val="single" w:sz="4" w:space="0" w:color="auto"/>
            </w:tcBorders>
            <w:shd w:val="clear" w:color="auto" w:fill="auto"/>
            <w:vAlign w:val="center"/>
            <w:hideMark/>
          </w:tcPr>
          <w:p w14:paraId="6F200AAB"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c>
          <w:tcPr>
            <w:tcW w:w="1418" w:type="dxa"/>
            <w:tcBorders>
              <w:top w:val="nil"/>
              <w:left w:val="nil"/>
              <w:bottom w:val="single" w:sz="4" w:space="0" w:color="auto"/>
              <w:right w:val="single" w:sz="4" w:space="0" w:color="auto"/>
            </w:tcBorders>
            <w:shd w:val="clear" w:color="auto" w:fill="auto"/>
            <w:vAlign w:val="center"/>
            <w:hideMark/>
          </w:tcPr>
          <w:p w14:paraId="3B46264D"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-324 000</w:t>
            </w:r>
          </w:p>
        </w:tc>
      </w:tr>
      <w:tr w:rsidR="00545CA0" w:rsidRPr="00545CA0" w14:paraId="1CC77B7E"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F0713CE"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C. 2.</w:t>
            </w:r>
          </w:p>
        </w:tc>
        <w:tc>
          <w:tcPr>
            <w:tcW w:w="5414" w:type="dxa"/>
            <w:tcBorders>
              <w:top w:val="nil"/>
              <w:left w:val="nil"/>
              <w:bottom w:val="single" w:sz="4" w:space="0" w:color="auto"/>
              <w:right w:val="single" w:sz="4" w:space="0" w:color="auto"/>
            </w:tcBorders>
            <w:shd w:val="clear" w:color="auto" w:fill="auto"/>
            <w:vAlign w:val="center"/>
            <w:hideMark/>
          </w:tcPr>
          <w:p w14:paraId="0D8F9D48" w14:textId="77777777" w:rsidR="00545CA0" w:rsidRPr="00545CA0" w:rsidRDefault="00545CA0" w:rsidP="00545CA0">
            <w:pPr>
              <w:jc w:val="left"/>
              <w:rPr>
                <w:rFonts w:eastAsia="Times New Roman" w:cs="Calibri"/>
                <w:i/>
                <w:iCs/>
                <w:sz w:val="14"/>
                <w:szCs w:val="14"/>
                <w:lang w:eastAsia="sk-SK"/>
              </w:rPr>
            </w:pPr>
            <w:r w:rsidRPr="00545CA0">
              <w:rPr>
                <w:rFonts w:eastAsia="Times New Roman" w:cs="Calibri"/>
                <w:i/>
                <w:iCs/>
                <w:sz w:val="14"/>
                <w:szCs w:val="14"/>
                <w:lang w:eastAsia="sk-SK"/>
              </w:rPr>
              <w:t>Peňažné toky vznikajúce z dlhodobých záväzkov  a krátkodobých záväzkov  z finančnej činnosti, (súčet C. 2. 1. až C. 2. 9.)</w:t>
            </w:r>
          </w:p>
        </w:tc>
        <w:tc>
          <w:tcPr>
            <w:tcW w:w="1559" w:type="dxa"/>
            <w:tcBorders>
              <w:top w:val="nil"/>
              <w:left w:val="nil"/>
              <w:bottom w:val="single" w:sz="4" w:space="0" w:color="auto"/>
              <w:right w:val="single" w:sz="4" w:space="0" w:color="auto"/>
            </w:tcBorders>
            <w:shd w:val="clear" w:color="auto" w:fill="auto"/>
            <w:vAlign w:val="center"/>
            <w:hideMark/>
          </w:tcPr>
          <w:p w14:paraId="599185A8"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-63 047</w:t>
            </w:r>
          </w:p>
        </w:tc>
        <w:tc>
          <w:tcPr>
            <w:tcW w:w="1418" w:type="dxa"/>
            <w:tcBorders>
              <w:top w:val="nil"/>
              <w:left w:val="nil"/>
              <w:bottom w:val="single" w:sz="4" w:space="0" w:color="auto"/>
              <w:right w:val="single" w:sz="4" w:space="0" w:color="auto"/>
            </w:tcBorders>
            <w:shd w:val="clear" w:color="auto" w:fill="auto"/>
            <w:vAlign w:val="center"/>
            <w:hideMark/>
          </w:tcPr>
          <w:p w14:paraId="3EC16834" w14:textId="77777777" w:rsidR="00545CA0" w:rsidRPr="00545CA0" w:rsidRDefault="00545CA0" w:rsidP="00545CA0">
            <w:pPr>
              <w:jc w:val="right"/>
              <w:rPr>
                <w:rFonts w:eastAsia="Times New Roman" w:cs="Calibri"/>
                <w:i/>
                <w:iCs/>
                <w:sz w:val="14"/>
                <w:szCs w:val="14"/>
                <w:lang w:eastAsia="sk-SK"/>
              </w:rPr>
            </w:pPr>
            <w:r w:rsidRPr="00545CA0">
              <w:rPr>
                <w:rFonts w:eastAsia="Times New Roman" w:cs="Calibri"/>
                <w:i/>
                <w:iCs/>
                <w:sz w:val="14"/>
                <w:szCs w:val="14"/>
                <w:lang w:eastAsia="sk-SK"/>
              </w:rPr>
              <w:t>-152 385</w:t>
            </w:r>
          </w:p>
        </w:tc>
      </w:tr>
      <w:tr w:rsidR="00545CA0" w:rsidRPr="00545CA0" w14:paraId="0EA06EB3"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BD95A21"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 2. 3.</w:t>
            </w:r>
          </w:p>
        </w:tc>
        <w:tc>
          <w:tcPr>
            <w:tcW w:w="5414" w:type="dxa"/>
            <w:tcBorders>
              <w:top w:val="nil"/>
              <w:left w:val="nil"/>
              <w:bottom w:val="single" w:sz="4" w:space="0" w:color="auto"/>
              <w:right w:val="single" w:sz="4" w:space="0" w:color="auto"/>
            </w:tcBorders>
            <w:shd w:val="clear" w:color="auto" w:fill="auto"/>
            <w:vAlign w:val="center"/>
            <w:hideMark/>
          </w:tcPr>
          <w:p w14:paraId="4C637729"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Príjmy z úverov, ktoré  účtovnej jednotke poskytla banka alebo pobočka zahraničnej banky, s výnimkou úverov, ktoré boli poskytnuté na zabezpečenie hlavného predmetu činnosti  (+)</w:t>
            </w:r>
          </w:p>
        </w:tc>
        <w:tc>
          <w:tcPr>
            <w:tcW w:w="1559" w:type="dxa"/>
            <w:tcBorders>
              <w:top w:val="nil"/>
              <w:left w:val="nil"/>
              <w:bottom w:val="single" w:sz="4" w:space="0" w:color="auto"/>
              <w:right w:val="single" w:sz="4" w:space="0" w:color="auto"/>
            </w:tcBorders>
            <w:shd w:val="clear" w:color="auto" w:fill="auto"/>
            <w:vAlign w:val="center"/>
            <w:hideMark/>
          </w:tcPr>
          <w:p w14:paraId="1EDF2B3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 </w:t>
            </w:r>
          </w:p>
        </w:tc>
        <w:tc>
          <w:tcPr>
            <w:tcW w:w="1418" w:type="dxa"/>
            <w:tcBorders>
              <w:top w:val="nil"/>
              <w:left w:val="nil"/>
              <w:bottom w:val="single" w:sz="4" w:space="0" w:color="auto"/>
              <w:right w:val="single" w:sz="4" w:space="0" w:color="auto"/>
            </w:tcBorders>
            <w:shd w:val="clear" w:color="auto" w:fill="auto"/>
            <w:vAlign w:val="center"/>
            <w:hideMark/>
          </w:tcPr>
          <w:p w14:paraId="72890C0E"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63D0BA1D"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BC37503"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 2. 4.</w:t>
            </w:r>
          </w:p>
        </w:tc>
        <w:tc>
          <w:tcPr>
            <w:tcW w:w="5414" w:type="dxa"/>
            <w:tcBorders>
              <w:top w:val="nil"/>
              <w:left w:val="nil"/>
              <w:bottom w:val="single" w:sz="4" w:space="0" w:color="auto"/>
              <w:right w:val="single" w:sz="4" w:space="0" w:color="auto"/>
            </w:tcBorders>
            <w:shd w:val="clear" w:color="auto" w:fill="auto"/>
            <w:vAlign w:val="center"/>
            <w:hideMark/>
          </w:tcPr>
          <w:p w14:paraId="546CBF77"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splácanie úverov, ktoré  účtovnej jednotke poskytla banka alebo pobočka zahraničnej banky, s výnimkou úverov, ktoré boli poskytnuté na zabezpečenie hlavného predmetu činnosti (-)</w:t>
            </w:r>
          </w:p>
        </w:tc>
        <w:tc>
          <w:tcPr>
            <w:tcW w:w="1559" w:type="dxa"/>
            <w:tcBorders>
              <w:top w:val="nil"/>
              <w:left w:val="nil"/>
              <w:bottom w:val="single" w:sz="4" w:space="0" w:color="auto"/>
              <w:right w:val="single" w:sz="4" w:space="0" w:color="auto"/>
            </w:tcBorders>
            <w:shd w:val="clear" w:color="auto" w:fill="auto"/>
            <w:vAlign w:val="center"/>
            <w:hideMark/>
          </w:tcPr>
          <w:p w14:paraId="6AFA2E17"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-25 007</w:t>
            </w:r>
          </w:p>
        </w:tc>
        <w:tc>
          <w:tcPr>
            <w:tcW w:w="1418" w:type="dxa"/>
            <w:tcBorders>
              <w:top w:val="nil"/>
              <w:left w:val="nil"/>
              <w:bottom w:val="single" w:sz="4" w:space="0" w:color="auto"/>
              <w:right w:val="single" w:sz="4" w:space="0" w:color="auto"/>
            </w:tcBorders>
            <w:shd w:val="clear" w:color="auto" w:fill="auto"/>
            <w:vAlign w:val="center"/>
            <w:hideMark/>
          </w:tcPr>
          <w:p w14:paraId="1AC71DD8"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-165 009</w:t>
            </w:r>
          </w:p>
        </w:tc>
      </w:tr>
      <w:tr w:rsidR="00545CA0" w:rsidRPr="00545CA0" w14:paraId="5FEDD81F"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980D1C9"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 2. 7.</w:t>
            </w:r>
          </w:p>
        </w:tc>
        <w:tc>
          <w:tcPr>
            <w:tcW w:w="5414" w:type="dxa"/>
            <w:tcBorders>
              <w:top w:val="nil"/>
              <w:left w:val="nil"/>
              <w:bottom w:val="single" w:sz="4" w:space="0" w:color="auto"/>
              <w:right w:val="single" w:sz="4" w:space="0" w:color="auto"/>
            </w:tcBorders>
            <w:shd w:val="clear" w:color="auto" w:fill="auto"/>
            <w:vAlign w:val="center"/>
            <w:hideMark/>
          </w:tcPr>
          <w:p w14:paraId="3DFCF166"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úhradu záväzkov z používania majetku, ktorý je predmetom zmluvy o kúpe prenajatej veci (-)</w:t>
            </w:r>
          </w:p>
        </w:tc>
        <w:tc>
          <w:tcPr>
            <w:tcW w:w="1559" w:type="dxa"/>
            <w:tcBorders>
              <w:top w:val="nil"/>
              <w:left w:val="nil"/>
              <w:bottom w:val="single" w:sz="4" w:space="0" w:color="auto"/>
              <w:right w:val="single" w:sz="4" w:space="0" w:color="auto"/>
            </w:tcBorders>
            <w:shd w:val="clear" w:color="auto" w:fill="auto"/>
            <w:vAlign w:val="center"/>
            <w:hideMark/>
          </w:tcPr>
          <w:p w14:paraId="2BC5A6AE"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-82 109</w:t>
            </w:r>
          </w:p>
        </w:tc>
        <w:tc>
          <w:tcPr>
            <w:tcW w:w="1418" w:type="dxa"/>
            <w:tcBorders>
              <w:top w:val="nil"/>
              <w:left w:val="nil"/>
              <w:bottom w:val="single" w:sz="4" w:space="0" w:color="auto"/>
              <w:right w:val="single" w:sz="4" w:space="0" w:color="auto"/>
            </w:tcBorders>
            <w:shd w:val="clear" w:color="auto" w:fill="auto"/>
            <w:vAlign w:val="center"/>
            <w:hideMark/>
          </w:tcPr>
          <w:p w14:paraId="589825C5"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016730CE"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2890A22"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 2. 8.</w:t>
            </w:r>
          </w:p>
        </w:tc>
        <w:tc>
          <w:tcPr>
            <w:tcW w:w="5414" w:type="dxa"/>
            <w:tcBorders>
              <w:top w:val="nil"/>
              <w:left w:val="nil"/>
              <w:bottom w:val="single" w:sz="4" w:space="0" w:color="auto"/>
              <w:right w:val="single" w:sz="4" w:space="0" w:color="auto"/>
            </w:tcBorders>
            <w:shd w:val="clear" w:color="auto" w:fill="auto"/>
            <w:vAlign w:val="center"/>
            <w:hideMark/>
          </w:tcPr>
          <w:p w14:paraId="1E569145"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559" w:type="dxa"/>
            <w:tcBorders>
              <w:top w:val="nil"/>
              <w:left w:val="nil"/>
              <w:bottom w:val="single" w:sz="4" w:space="0" w:color="auto"/>
              <w:right w:val="single" w:sz="4" w:space="0" w:color="auto"/>
            </w:tcBorders>
            <w:shd w:val="clear" w:color="auto" w:fill="auto"/>
            <w:vAlign w:val="center"/>
            <w:hideMark/>
          </w:tcPr>
          <w:p w14:paraId="7A0FD283"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44 069</w:t>
            </w:r>
          </w:p>
        </w:tc>
        <w:tc>
          <w:tcPr>
            <w:tcW w:w="1418" w:type="dxa"/>
            <w:tcBorders>
              <w:top w:val="nil"/>
              <w:left w:val="nil"/>
              <w:bottom w:val="single" w:sz="4" w:space="0" w:color="auto"/>
              <w:right w:val="single" w:sz="4" w:space="0" w:color="auto"/>
            </w:tcBorders>
            <w:shd w:val="clear" w:color="auto" w:fill="auto"/>
            <w:vAlign w:val="center"/>
            <w:hideMark/>
          </w:tcPr>
          <w:p w14:paraId="4C0BF29C"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12 624</w:t>
            </w:r>
          </w:p>
        </w:tc>
      </w:tr>
      <w:tr w:rsidR="00545CA0" w:rsidRPr="00545CA0" w14:paraId="22D7EFFE"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EC7F20D"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C. 3.</w:t>
            </w:r>
          </w:p>
        </w:tc>
        <w:tc>
          <w:tcPr>
            <w:tcW w:w="5414" w:type="dxa"/>
            <w:tcBorders>
              <w:top w:val="nil"/>
              <w:left w:val="nil"/>
              <w:bottom w:val="single" w:sz="4" w:space="0" w:color="auto"/>
              <w:right w:val="single" w:sz="4" w:space="0" w:color="auto"/>
            </w:tcBorders>
            <w:shd w:val="clear" w:color="auto" w:fill="auto"/>
            <w:vAlign w:val="center"/>
            <w:hideMark/>
          </w:tcPr>
          <w:p w14:paraId="079DC4CE" w14:textId="77777777" w:rsidR="00545CA0" w:rsidRPr="00545CA0" w:rsidRDefault="00545CA0" w:rsidP="00545CA0">
            <w:pPr>
              <w:jc w:val="left"/>
              <w:rPr>
                <w:rFonts w:eastAsia="Times New Roman" w:cs="Calibri"/>
                <w:sz w:val="14"/>
                <w:szCs w:val="14"/>
                <w:lang w:eastAsia="sk-SK"/>
              </w:rPr>
            </w:pPr>
            <w:r w:rsidRPr="00545CA0">
              <w:rPr>
                <w:rFonts w:eastAsia="Times New Roman" w:cs="Calibri"/>
                <w:sz w:val="14"/>
                <w:szCs w:val="14"/>
                <w:lang w:eastAsia="sk-SK"/>
              </w:rPr>
              <w:t>Výdavky na zaplatené úroky, s výnimkou tých, ktoré sa začleňujú do prevádzkových činností (-)</w:t>
            </w:r>
          </w:p>
        </w:tc>
        <w:tc>
          <w:tcPr>
            <w:tcW w:w="1559" w:type="dxa"/>
            <w:tcBorders>
              <w:top w:val="nil"/>
              <w:left w:val="nil"/>
              <w:bottom w:val="single" w:sz="4" w:space="0" w:color="auto"/>
              <w:right w:val="single" w:sz="4" w:space="0" w:color="auto"/>
            </w:tcBorders>
            <w:shd w:val="clear" w:color="auto" w:fill="auto"/>
            <w:vAlign w:val="center"/>
            <w:hideMark/>
          </w:tcPr>
          <w:p w14:paraId="4A93B707"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-1 272</w:t>
            </w:r>
          </w:p>
        </w:tc>
        <w:tc>
          <w:tcPr>
            <w:tcW w:w="1418" w:type="dxa"/>
            <w:tcBorders>
              <w:top w:val="nil"/>
              <w:left w:val="nil"/>
              <w:bottom w:val="single" w:sz="4" w:space="0" w:color="auto"/>
              <w:right w:val="single" w:sz="4" w:space="0" w:color="auto"/>
            </w:tcBorders>
            <w:shd w:val="clear" w:color="auto" w:fill="auto"/>
            <w:vAlign w:val="center"/>
            <w:hideMark/>
          </w:tcPr>
          <w:p w14:paraId="1FE1571E" w14:textId="77777777" w:rsidR="00545CA0" w:rsidRPr="00545CA0" w:rsidRDefault="00545CA0" w:rsidP="00545CA0">
            <w:pPr>
              <w:jc w:val="right"/>
              <w:rPr>
                <w:rFonts w:eastAsia="Times New Roman" w:cs="Calibri"/>
                <w:sz w:val="14"/>
                <w:szCs w:val="14"/>
                <w:lang w:eastAsia="sk-SK"/>
              </w:rPr>
            </w:pPr>
            <w:r w:rsidRPr="00545CA0">
              <w:rPr>
                <w:rFonts w:eastAsia="Times New Roman" w:cs="Calibri"/>
                <w:sz w:val="14"/>
                <w:szCs w:val="14"/>
                <w:lang w:eastAsia="sk-SK"/>
              </w:rPr>
              <w:t>-</w:t>
            </w:r>
          </w:p>
        </w:tc>
      </w:tr>
      <w:tr w:rsidR="00545CA0" w:rsidRPr="00545CA0" w14:paraId="39C455A8" w14:textId="77777777" w:rsidTr="00545CA0">
        <w:trPr>
          <w:trHeight w:val="18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11EB1CC"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C.</w:t>
            </w:r>
          </w:p>
        </w:tc>
        <w:tc>
          <w:tcPr>
            <w:tcW w:w="5414" w:type="dxa"/>
            <w:tcBorders>
              <w:top w:val="nil"/>
              <w:left w:val="nil"/>
              <w:bottom w:val="single" w:sz="4" w:space="0" w:color="auto"/>
              <w:right w:val="single" w:sz="4" w:space="0" w:color="auto"/>
            </w:tcBorders>
            <w:shd w:val="clear" w:color="auto" w:fill="auto"/>
            <w:vAlign w:val="center"/>
            <w:hideMark/>
          </w:tcPr>
          <w:p w14:paraId="2197C6BD" w14:textId="77777777" w:rsidR="00545CA0" w:rsidRPr="00545CA0" w:rsidRDefault="00545CA0" w:rsidP="00545CA0">
            <w:pPr>
              <w:jc w:val="left"/>
              <w:rPr>
                <w:rFonts w:eastAsia="Times New Roman" w:cs="Calibri"/>
                <w:b/>
                <w:bCs/>
                <w:i/>
                <w:iCs/>
                <w:sz w:val="14"/>
                <w:szCs w:val="14"/>
                <w:lang w:eastAsia="sk-SK"/>
              </w:rPr>
            </w:pPr>
            <w:r w:rsidRPr="00545CA0">
              <w:rPr>
                <w:rFonts w:eastAsia="Times New Roman" w:cs="Calibri"/>
                <w:b/>
                <w:bCs/>
                <w:i/>
                <w:iCs/>
                <w:sz w:val="14"/>
                <w:szCs w:val="14"/>
                <w:lang w:eastAsia="sk-SK"/>
              </w:rPr>
              <w:t>Čisté peňažné  toky  z finančnej činnosti (súčet C. 1. až C. 9.)</w:t>
            </w:r>
          </w:p>
        </w:tc>
        <w:tc>
          <w:tcPr>
            <w:tcW w:w="1559" w:type="dxa"/>
            <w:tcBorders>
              <w:top w:val="nil"/>
              <w:left w:val="nil"/>
              <w:bottom w:val="single" w:sz="4" w:space="0" w:color="auto"/>
              <w:right w:val="single" w:sz="4" w:space="0" w:color="auto"/>
            </w:tcBorders>
            <w:shd w:val="clear" w:color="auto" w:fill="auto"/>
            <w:vAlign w:val="center"/>
            <w:hideMark/>
          </w:tcPr>
          <w:p w14:paraId="56AFFC27"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2 940 481</w:t>
            </w:r>
          </w:p>
        </w:tc>
        <w:tc>
          <w:tcPr>
            <w:tcW w:w="1418" w:type="dxa"/>
            <w:tcBorders>
              <w:top w:val="nil"/>
              <w:left w:val="nil"/>
              <w:bottom w:val="single" w:sz="4" w:space="0" w:color="auto"/>
              <w:right w:val="single" w:sz="4" w:space="0" w:color="auto"/>
            </w:tcBorders>
            <w:shd w:val="clear" w:color="auto" w:fill="auto"/>
            <w:vAlign w:val="center"/>
            <w:hideMark/>
          </w:tcPr>
          <w:p w14:paraId="3869468D" w14:textId="77777777" w:rsidR="00545CA0" w:rsidRPr="00545CA0" w:rsidRDefault="00545CA0" w:rsidP="00545CA0">
            <w:pPr>
              <w:jc w:val="right"/>
              <w:rPr>
                <w:rFonts w:eastAsia="Times New Roman" w:cs="Calibri"/>
                <w:b/>
                <w:bCs/>
                <w:i/>
                <w:iCs/>
                <w:sz w:val="14"/>
                <w:szCs w:val="14"/>
                <w:lang w:eastAsia="sk-SK"/>
              </w:rPr>
            </w:pPr>
            <w:r w:rsidRPr="00545CA0">
              <w:rPr>
                <w:rFonts w:eastAsia="Times New Roman" w:cs="Calibri"/>
                <w:b/>
                <w:bCs/>
                <w:i/>
                <w:iCs/>
                <w:sz w:val="14"/>
                <w:szCs w:val="14"/>
                <w:lang w:eastAsia="sk-SK"/>
              </w:rPr>
              <w:t>-476 385</w:t>
            </w:r>
          </w:p>
        </w:tc>
      </w:tr>
      <w:tr w:rsidR="00545CA0" w:rsidRPr="00545CA0" w14:paraId="4EC3480C"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C16DDFB"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D.</w:t>
            </w:r>
          </w:p>
        </w:tc>
        <w:tc>
          <w:tcPr>
            <w:tcW w:w="5414" w:type="dxa"/>
            <w:tcBorders>
              <w:top w:val="nil"/>
              <w:left w:val="nil"/>
              <w:bottom w:val="single" w:sz="4" w:space="0" w:color="auto"/>
              <w:right w:val="single" w:sz="4" w:space="0" w:color="auto"/>
            </w:tcBorders>
            <w:shd w:val="clear" w:color="auto" w:fill="auto"/>
            <w:vAlign w:val="center"/>
            <w:hideMark/>
          </w:tcPr>
          <w:p w14:paraId="544EB8C1"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Čisté zvýšenie alebo čisté  zníženie peňažných prostriedkov (+/-), (súčet A + B + C)</w:t>
            </w:r>
          </w:p>
        </w:tc>
        <w:tc>
          <w:tcPr>
            <w:tcW w:w="1559" w:type="dxa"/>
            <w:tcBorders>
              <w:top w:val="nil"/>
              <w:left w:val="nil"/>
              <w:bottom w:val="single" w:sz="4" w:space="0" w:color="auto"/>
              <w:right w:val="single" w:sz="4" w:space="0" w:color="auto"/>
            </w:tcBorders>
            <w:shd w:val="clear" w:color="auto" w:fill="auto"/>
            <w:vAlign w:val="center"/>
            <w:hideMark/>
          </w:tcPr>
          <w:p w14:paraId="6B12A465"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-29 645</w:t>
            </w:r>
          </w:p>
        </w:tc>
        <w:tc>
          <w:tcPr>
            <w:tcW w:w="1418" w:type="dxa"/>
            <w:tcBorders>
              <w:top w:val="nil"/>
              <w:left w:val="nil"/>
              <w:bottom w:val="single" w:sz="4" w:space="0" w:color="auto"/>
              <w:right w:val="single" w:sz="4" w:space="0" w:color="auto"/>
            </w:tcBorders>
            <w:shd w:val="clear" w:color="auto" w:fill="auto"/>
            <w:vAlign w:val="center"/>
            <w:hideMark/>
          </w:tcPr>
          <w:p w14:paraId="4539A031"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-178 483</w:t>
            </w:r>
          </w:p>
        </w:tc>
      </w:tr>
      <w:tr w:rsidR="00545CA0" w:rsidRPr="00545CA0" w14:paraId="267985CF" w14:textId="77777777" w:rsidTr="00545CA0">
        <w:trPr>
          <w:trHeight w:val="36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4AFE2CE"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 xml:space="preserve">E. </w:t>
            </w:r>
          </w:p>
        </w:tc>
        <w:tc>
          <w:tcPr>
            <w:tcW w:w="5414" w:type="dxa"/>
            <w:tcBorders>
              <w:top w:val="nil"/>
              <w:left w:val="nil"/>
              <w:bottom w:val="single" w:sz="4" w:space="0" w:color="auto"/>
              <w:right w:val="single" w:sz="4" w:space="0" w:color="auto"/>
            </w:tcBorders>
            <w:shd w:val="clear" w:color="auto" w:fill="auto"/>
            <w:vAlign w:val="center"/>
            <w:hideMark/>
          </w:tcPr>
          <w:p w14:paraId="5A9CC8A2"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 xml:space="preserve">Stav peňažných prostriedkov a peňažných ekvivalentov na začiatku účtovného obdobia (+/-) </w:t>
            </w:r>
          </w:p>
        </w:tc>
        <w:tc>
          <w:tcPr>
            <w:tcW w:w="1559" w:type="dxa"/>
            <w:tcBorders>
              <w:top w:val="nil"/>
              <w:left w:val="nil"/>
              <w:bottom w:val="single" w:sz="4" w:space="0" w:color="auto"/>
              <w:right w:val="single" w:sz="4" w:space="0" w:color="auto"/>
            </w:tcBorders>
            <w:shd w:val="clear" w:color="auto" w:fill="auto"/>
            <w:vAlign w:val="center"/>
            <w:hideMark/>
          </w:tcPr>
          <w:p w14:paraId="4BC9D9D9"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-512 076</w:t>
            </w:r>
          </w:p>
        </w:tc>
        <w:tc>
          <w:tcPr>
            <w:tcW w:w="1418" w:type="dxa"/>
            <w:tcBorders>
              <w:top w:val="nil"/>
              <w:left w:val="nil"/>
              <w:bottom w:val="single" w:sz="4" w:space="0" w:color="auto"/>
              <w:right w:val="single" w:sz="4" w:space="0" w:color="auto"/>
            </w:tcBorders>
            <w:shd w:val="clear" w:color="auto" w:fill="auto"/>
            <w:vAlign w:val="center"/>
            <w:hideMark/>
          </w:tcPr>
          <w:p w14:paraId="19B7425C"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-333 593</w:t>
            </w:r>
          </w:p>
        </w:tc>
      </w:tr>
      <w:tr w:rsidR="00545CA0" w:rsidRPr="00545CA0" w14:paraId="2CF1F251"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F0F2D7E"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 xml:space="preserve">F. </w:t>
            </w:r>
          </w:p>
        </w:tc>
        <w:tc>
          <w:tcPr>
            <w:tcW w:w="5414" w:type="dxa"/>
            <w:tcBorders>
              <w:top w:val="nil"/>
              <w:left w:val="nil"/>
              <w:bottom w:val="single" w:sz="4" w:space="0" w:color="auto"/>
              <w:right w:val="single" w:sz="4" w:space="0" w:color="auto"/>
            </w:tcBorders>
            <w:shd w:val="clear" w:color="auto" w:fill="auto"/>
            <w:vAlign w:val="center"/>
            <w:hideMark/>
          </w:tcPr>
          <w:p w14:paraId="245105B4"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Stav peňažných prostriedkov a peňažných ekvivalentov na konci účtovného  obdobia pred zohľadnením kurzových rozdielov vyčíslených ku dňu, ku ktorému  sa zostavuje účtovná závierka (+/-)</w:t>
            </w:r>
          </w:p>
        </w:tc>
        <w:tc>
          <w:tcPr>
            <w:tcW w:w="1559" w:type="dxa"/>
            <w:tcBorders>
              <w:top w:val="nil"/>
              <w:left w:val="nil"/>
              <w:bottom w:val="single" w:sz="4" w:space="0" w:color="auto"/>
              <w:right w:val="single" w:sz="4" w:space="0" w:color="auto"/>
            </w:tcBorders>
            <w:shd w:val="clear" w:color="auto" w:fill="auto"/>
            <w:vAlign w:val="center"/>
            <w:hideMark/>
          </w:tcPr>
          <w:p w14:paraId="53549671"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-541 722</w:t>
            </w:r>
          </w:p>
        </w:tc>
        <w:tc>
          <w:tcPr>
            <w:tcW w:w="1418" w:type="dxa"/>
            <w:tcBorders>
              <w:top w:val="nil"/>
              <w:left w:val="nil"/>
              <w:bottom w:val="single" w:sz="4" w:space="0" w:color="auto"/>
              <w:right w:val="single" w:sz="4" w:space="0" w:color="auto"/>
            </w:tcBorders>
            <w:shd w:val="clear" w:color="auto" w:fill="auto"/>
            <w:vAlign w:val="center"/>
            <w:hideMark/>
          </w:tcPr>
          <w:p w14:paraId="6F1C54E6"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-512 076</w:t>
            </w:r>
          </w:p>
        </w:tc>
      </w:tr>
      <w:tr w:rsidR="00545CA0" w:rsidRPr="00545CA0" w14:paraId="726C68C3" w14:textId="77777777" w:rsidTr="00545CA0">
        <w:trPr>
          <w:trHeight w:val="54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8E9E384"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 xml:space="preserve">H. </w:t>
            </w:r>
          </w:p>
        </w:tc>
        <w:tc>
          <w:tcPr>
            <w:tcW w:w="5414" w:type="dxa"/>
            <w:tcBorders>
              <w:top w:val="nil"/>
              <w:left w:val="nil"/>
              <w:bottom w:val="single" w:sz="4" w:space="0" w:color="auto"/>
              <w:right w:val="single" w:sz="4" w:space="0" w:color="auto"/>
            </w:tcBorders>
            <w:shd w:val="clear" w:color="auto" w:fill="auto"/>
            <w:vAlign w:val="center"/>
            <w:hideMark/>
          </w:tcPr>
          <w:p w14:paraId="1FCA33D8" w14:textId="77777777" w:rsidR="00545CA0" w:rsidRPr="00545CA0" w:rsidRDefault="00545CA0" w:rsidP="00545CA0">
            <w:pPr>
              <w:jc w:val="left"/>
              <w:rPr>
                <w:rFonts w:eastAsia="Times New Roman" w:cs="Calibri"/>
                <w:b/>
                <w:bCs/>
                <w:sz w:val="14"/>
                <w:szCs w:val="14"/>
                <w:lang w:eastAsia="sk-SK"/>
              </w:rPr>
            </w:pPr>
            <w:r w:rsidRPr="00545CA0">
              <w:rPr>
                <w:rFonts w:eastAsia="Times New Roman" w:cs="Calibri"/>
                <w:b/>
                <w:bCs/>
                <w:sz w:val="14"/>
                <w:szCs w:val="14"/>
                <w:lang w:eastAsia="sk-SK"/>
              </w:rPr>
              <w:t>Zostatok peňažných prostriedkov a peňažných ekvivalentov na konci účtovného  obdobia upravený o kurzové rozdiely vyčíslené ku dňu, ku ktorému sa zostavuje  účtovná závierka (+/-)</w:t>
            </w:r>
          </w:p>
        </w:tc>
        <w:tc>
          <w:tcPr>
            <w:tcW w:w="1559" w:type="dxa"/>
            <w:tcBorders>
              <w:top w:val="nil"/>
              <w:left w:val="nil"/>
              <w:bottom w:val="single" w:sz="4" w:space="0" w:color="auto"/>
              <w:right w:val="single" w:sz="4" w:space="0" w:color="auto"/>
            </w:tcBorders>
            <w:shd w:val="clear" w:color="auto" w:fill="auto"/>
            <w:vAlign w:val="center"/>
            <w:hideMark/>
          </w:tcPr>
          <w:p w14:paraId="2B33A6BC"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-541 722</w:t>
            </w:r>
          </w:p>
        </w:tc>
        <w:tc>
          <w:tcPr>
            <w:tcW w:w="1418" w:type="dxa"/>
            <w:tcBorders>
              <w:top w:val="nil"/>
              <w:left w:val="nil"/>
              <w:bottom w:val="single" w:sz="4" w:space="0" w:color="auto"/>
              <w:right w:val="single" w:sz="4" w:space="0" w:color="auto"/>
            </w:tcBorders>
            <w:shd w:val="clear" w:color="auto" w:fill="auto"/>
            <w:vAlign w:val="center"/>
            <w:hideMark/>
          </w:tcPr>
          <w:p w14:paraId="779035C9" w14:textId="77777777" w:rsidR="00545CA0" w:rsidRPr="00545CA0" w:rsidRDefault="00545CA0" w:rsidP="00545CA0">
            <w:pPr>
              <w:jc w:val="right"/>
              <w:rPr>
                <w:rFonts w:eastAsia="Times New Roman" w:cs="Calibri"/>
                <w:b/>
                <w:bCs/>
                <w:sz w:val="14"/>
                <w:szCs w:val="14"/>
                <w:lang w:eastAsia="sk-SK"/>
              </w:rPr>
            </w:pPr>
            <w:r w:rsidRPr="00545CA0">
              <w:rPr>
                <w:rFonts w:eastAsia="Times New Roman" w:cs="Calibri"/>
                <w:b/>
                <w:bCs/>
                <w:sz w:val="14"/>
                <w:szCs w:val="14"/>
                <w:lang w:eastAsia="sk-SK"/>
              </w:rPr>
              <w:t>-512 076</w:t>
            </w:r>
          </w:p>
        </w:tc>
      </w:tr>
    </w:tbl>
    <w:p w14:paraId="7D18CFAE" w14:textId="77777777" w:rsidR="00BD3BFB" w:rsidRDefault="00BD3BFB"/>
    <w:sectPr w:rsidR="00BD3BFB">
      <w:pgSz w:w="11907" w:h="16840"/>
      <w:pgMar w:top="1418" w:right="1418" w:bottom="992" w:left="1418" w:header="851" w:footer="680" w:gutter="0"/>
      <w:cols w:space="708" w:equalWidth="0">
        <w:col w:w="9406"/>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93AF8C" w14:textId="77777777" w:rsidR="007D669F" w:rsidRDefault="007D669F">
      <w:r>
        <w:separator/>
      </w:r>
    </w:p>
  </w:endnote>
  <w:endnote w:type="continuationSeparator" w:id="0">
    <w:p w14:paraId="252AEE8A" w14:textId="77777777" w:rsidR="007D669F" w:rsidRDefault="007D66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Arial Narrow">
    <w:charset w:val="00"/>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4571067"/>
      <w:docPartObj>
        <w:docPartGallery w:val="Page Numbers (Bottom of Page)"/>
        <w:docPartUnique/>
      </w:docPartObj>
    </w:sdtPr>
    <w:sdtEndPr/>
    <w:sdtContent>
      <w:p w14:paraId="5EAC0E09" w14:textId="70793BE1" w:rsidR="00693882" w:rsidRDefault="00693882">
        <w:pPr>
          <w:pStyle w:val="Pta"/>
          <w:jc w:val="right"/>
        </w:pPr>
        <w:r>
          <w:fldChar w:fldCharType="begin"/>
        </w:r>
        <w:r>
          <w:instrText>PAGE   \* MERGEFORMAT</w:instrText>
        </w:r>
        <w:r>
          <w:fldChar w:fldCharType="separate"/>
        </w:r>
        <w:r>
          <w:rPr>
            <w:noProof/>
          </w:rPr>
          <w:t>37</w:t>
        </w:r>
        <w:r>
          <w:fldChar w:fldCharType="end"/>
        </w:r>
      </w:p>
    </w:sdtContent>
  </w:sdt>
  <w:p w14:paraId="00F74AA6" w14:textId="77777777" w:rsidR="00693882" w:rsidRDefault="00693882">
    <w:pPr>
      <w:pBdr>
        <w:top w:val="single" w:sz="4" w:space="1" w:color="000000"/>
        <w:left w:val="nil"/>
        <w:bottom w:val="nil"/>
        <w:right w:val="nil"/>
        <w:between w:val="nil"/>
      </w:pBdr>
      <w:tabs>
        <w:tab w:val="center" w:pos="4703"/>
        <w:tab w:val="right" w:pos="94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C5536A" w14:textId="77777777" w:rsidR="007D669F" w:rsidRDefault="007D669F">
      <w:r>
        <w:separator/>
      </w:r>
    </w:p>
  </w:footnote>
  <w:footnote w:type="continuationSeparator" w:id="0">
    <w:p w14:paraId="7A62A21B" w14:textId="77777777" w:rsidR="007D669F" w:rsidRDefault="007D66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09C32B" w14:textId="77777777" w:rsidR="00693882" w:rsidRDefault="00693882">
    <w:pPr>
      <w:widowControl w:val="0"/>
      <w:pBdr>
        <w:top w:val="nil"/>
        <w:left w:val="nil"/>
        <w:bottom w:val="nil"/>
        <w:right w:val="nil"/>
        <w:between w:val="nil"/>
      </w:pBdr>
      <w:spacing w:line="276" w:lineRule="auto"/>
      <w:jc w:val="left"/>
    </w:pPr>
  </w:p>
  <w:tbl>
    <w:tblPr>
      <w:tblStyle w:val="a4"/>
      <w:tblW w:w="8305" w:type="dxa"/>
      <w:tblInd w:w="55" w:type="dxa"/>
      <w:tblLayout w:type="fixed"/>
      <w:tblLook w:val="0400" w:firstRow="0" w:lastRow="0" w:firstColumn="0" w:lastColumn="0" w:noHBand="0" w:noVBand="1"/>
    </w:tblPr>
    <w:tblGrid>
      <w:gridCol w:w="2780"/>
      <w:gridCol w:w="2260"/>
      <w:gridCol w:w="465"/>
      <w:gridCol w:w="280"/>
      <w:gridCol w:w="280"/>
      <w:gridCol w:w="280"/>
      <w:gridCol w:w="280"/>
      <w:gridCol w:w="280"/>
      <w:gridCol w:w="280"/>
      <w:gridCol w:w="280"/>
      <w:gridCol w:w="280"/>
      <w:gridCol w:w="280"/>
      <w:gridCol w:w="280"/>
    </w:tblGrid>
    <w:tr w:rsidR="00693882" w14:paraId="46C7816F" w14:textId="77777777" w:rsidTr="006A7C90">
      <w:trPr>
        <w:trHeight w:val="330"/>
      </w:trPr>
      <w:tc>
        <w:tcPr>
          <w:tcW w:w="2780" w:type="dxa"/>
          <w:vMerge w:val="restart"/>
          <w:tcBorders>
            <w:top w:val="single" w:sz="4" w:space="0" w:color="000000"/>
            <w:left w:val="single" w:sz="4" w:space="0" w:color="000000"/>
            <w:bottom w:val="single" w:sz="4" w:space="0" w:color="auto"/>
            <w:right w:val="single" w:sz="4" w:space="0" w:color="000000"/>
          </w:tcBorders>
        </w:tcPr>
        <w:p w14:paraId="67911B44" w14:textId="77777777" w:rsidR="00693882" w:rsidRDefault="00693882">
          <w:pPr>
            <w:jc w:val="left"/>
            <w:rPr>
              <w:color w:val="000000"/>
            </w:rPr>
          </w:pPr>
          <w:r>
            <w:rPr>
              <w:color w:val="000000"/>
            </w:rPr>
            <w:t xml:space="preserve">Poznámky </w:t>
          </w:r>
          <w:proofErr w:type="spellStart"/>
          <w:r>
            <w:rPr>
              <w:color w:val="000000"/>
            </w:rPr>
            <w:t>Úč</w:t>
          </w:r>
          <w:proofErr w:type="spellEnd"/>
          <w:r>
            <w:rPr>
              <w:color w:val="000000"/>
            </w:rPr>
            <w:t xml:space="preserve"> POD 3 – 01</w:t>
          </w:r>
        </w:p>
      </w:tc>
      <w:tc>
        <w:tcPr>
          <w:tcW w:w="2260" w:type="dxa"/>
          <w:tcBorders>
            <w:top w:val="nil"/>
            <w:left w:val="nil"/>
            <w:bottom w:val="nil"/>
            <w:right w:val="nil"/>
          </w:tcBorders>
          <w:vAlign w:val="bottom"/>
        </w:tcPr>
        <w:p w14:paraId="44CFE6F4" w14:textId="77777777" w:rsidR="00693882" w:rsidRDefault="00693882">
          <w:pPr>
            <w:jc w:val="center"/>
            <w:rPr>
              <w:color w:val="000000"/>
            </w:rPr>
          </w:pPr>
        </w:p>
      </w:tc>
      <w:tc>
        <w:tcPr>
          <w:tcW w:w="465" w:type="dxa"/>
          <w:tcBorders>
            <w:top w:val="nil"/>
            <w:left w:val="nil"/>
            <w:bottom w:val="nil"/>
            <w:right w:val="nil"/>
          </w:tcBorders>
          <w:vAlign w:val="bottom"/>
        </w:tcPr>
        <w:p w14:paraId="76DC0404" w14:textId="77777777" w:rsidR="00693882" w:rsidRDefault="00693882">
          <w:pPr>
            <w:rPr>
              <w:color w:val="000000"/>
            </w:rPr>
          </w:pPr>
          <w:r>
            <w:rPr>
              <w:color w:val="000000"/>
            </w:rPr>
            <w:t>DIČ</w:t>
          </w:r>
        </w:p>
      </w:tc>
      <w:tc>
        <w:tcPr>
          <w:tcW w:w="280" w:type="dxa"/>
          <w:tcBorders>
            <w:top w:val="single" w:sz="4" w:space="0" w:color="000000"/>
            <w:left w:val="single" w:sz="4" w:space="0" w:color="000000"/>
            <w:bottom w:val="single" w:sz="4" w:space="0" w:color="000000"/>
            <w:right w:val="single" w:sz="4" w:space="0" w:color="000000"/>
          </w:tcBorders>
          <w:vAlign w:val="center"/>
        </w:tcPr>
        <w:p w14:paraId="71930470" w14:textId="77777777" w:rsidR="00693882" w:rsidRDefault="00693882">
          <w:pPr>
            <w:jc w:val="center"/>
          </w:pPr>
          <w:r>
            <w:t>2</w:t>
          </w:r>
        </w:p>
      </w:tc>
      <w:tc>
        <w:tcPr>
          <w:tcW w:w="280" w:type="dxa"/>
          <w:tcBorders>
            <w:top w:val="single" w:sz="4" w:space="0" w:color="000000"/>
            <w:left w:val="nil"/>
            <w:bottom w:val="single" w:sz="4" w:space="0" w:color="000000"/>
            <w:right w:val="single" w:sz="4" w:space="0" w:color="000000"/>
          </w:tcBorders>
          <w:vAlign w:val="center"/>
        </w:tcPr>
        <w:p w14:paraId="301E279D" w14:textId="77777777" w:rsidR="00693882" w:rsidRDefault="00693882">
          <w:pPr>
            <w:jc w:val="center"/>
          </w:pPr>
          <w:r>
            <w:t>0</w:t>
          </w:r>
        </w:p>
      </w:tc>
      <w:tc>
        <w:tcPr>
          <w:tcW w:w="280" w:type="dxa"/>
          <w:tcBorders>
            <w:top w:val="single" w:sz="4" w:space="0" w:color="000000"/>
            <w:left w:val="nil"/>
            <w:bottom w:val="single" w:sz="4" w:space="0" w:color="000000"/>
            <w:right w:val="single" w:sz="4" w:space="0" w:color="000000"/>
          </w:tcBorders>
          <w:vAlign w:val="center"/>
        </w:tcPr>
        <w:p w14:paraId="0FE26D4F" w14:textId="77777777" w:rsidR="00693882" w:rsidRDefault="00693882">
          <w:pPr>
            <w:jc w:val="center"/>
          </w:pPr>
          <w:r>
            <w:t>2</w:t>
          </w:r>
        </w:p>
      </w:tc>
      <w:tc>
        <w:tcPr>
          <w:tcW w:w="280" w:type="dxa"/>
          <w:tcBorders>
            <w:top w:val="single" w:sz="4" w:space="0" w:color="000000"/>
            <w:left w:val="nil"/>
            <w:bottom w:val="single" w:sz="4" w:space="0" w:color="000000"/>
            <w:right w:val="single" w:sz="4" w:space="0" w:color="000000"/>
          </w:tcBorders>
          <w:vAlign w:val="center"/>
        </w:tcPr>
        <w:p w14:paraId="7C8816CF" w14:textId="77777777" w:rsidR="00693882" w:rsidRDefault="00693882">
          <w:pPr>
            <w:jc w:val="center"/>
          </w:pPr>
          <w:r>
            <w:t>3</w:t>
          </w:r>
        </w:p>
      </w:tc>
      <w:tc>
        <w:tcPr>
          <w:tcW w:w="280" w:type="dxa"/>
          <w:tcBorders>
            <w:top w:val="single" w:sz="4" w:space="0" w:color="000000"/>
            <w:left w:val="nil"/>
            <w:bottom w:val="single" w:sz="4" w:space="0" w:color="000000"/>
            <w:right w:val="single" w:sz="4" w:space="0" w:color="000000"/>
          </w:tcBorders>
          <w:vAlign w:val="center"/>
        </w:tcPr>
        <w:p w14:paraId="0BDFFC5D" w14:textId="77777777" w:rsidR="00693882" w:rsidRDefault="00693882">
          <w:pPr>
            <w:jc w:val="center"/>
          </w:pPr>
          <w:r>
            <w:t>3</w:t>
          </w:r>
        </w:p>
      </w:tc>
      <w:tc>
        <w:tcPr>
          <w:tcW w:w="280" w:type="dxa"/>
          <w:tcBorders>
            <w:top w:val="single" w:sz="4" w:space="0" w:color="000000"/>
            <w:left w:val="nil"/>
            <w:bottom w:val="single" w:sz="4" w:space="0" w:color="000000"/>
            <w:right w:val="single" w:sz="4" w:space="0" w:color="000000"/>
          </w:tcBorders>
          <w:vAlign w:val="center"/>
        </w:tcPr>
        <w:p w14:paraId="2AE12453" w14:textId="77777777" w:rsidR="00693882" w:rsidRDefault="00693882">
          <w:pPr>
            <w:jc w:val="center"/>
          </w:pPr>
          <w:r>
            <w:t>8</w:t>
          </w:r>
        </w:p>
      </w:tc>
      <w:tc>
        <w:tcPr>
          <w:tcW w:w="280" w:type="dxa"/>
          <w:tcBorders>
            <w:top w:val="single" w:sz="4" w:space="0" w:color="000000"/>
            <w:left w:val="nil"/>
            <w:bottom w:val="single" w:sz="4" w:space="0" w:color="000000"/>
            <w:right w:val="single" w:sz="4" w:space="0" w:color="000000"/>
          </w:tcBorders>
          <w:vAlign w:val="center"/>
        </w:tcPr>
        <w:p w14:paraId="1A3B41E5" w14:textId="77777777" w:rsidR="00693882" w:rsidRDefault="00693882">
          <w:pPr>
            <w:jc w:val="center"/>
          </w:pPr>
          <w:r>
            <w:t>0</w:t>
          </w:r>
        </w:p>
      </w:tc>
      <w:tc>
        <w:tcPr>
          <w:tcW w:w="280" w:type="dxa"/>
          <w:tcBorders>
            <w:top w:val="single" w:sz="4" w:space="0" w:color="000000"/>
            <w:left w:val="nil"/>
            <w:bottom w:val="single" w:sz="4" w:space="0" w:color="000000"/>
            <w:right w:val="single" w:sz="4" w:space="0" w:color="000000"/>
          </w:tcBorders>
          <w:vAlign w:val="center"/>
        </w:tcPr>
        <w:p w14:paraId="6E5BBB71" w14:textId="77777777" w:rsidR="00693882" w:rsidRDefault="00693882">
          <w:pPr>
            <w:jc w:val="center"/>
          </w:pPr>
          <w:r>
            <w:t>4</w:t>
          </w:r>
        </w:p>
      </w:tc>
      <w:tc>
        <w:tcPr>
          <w:tcW w:w="280" w:type="dxa"/>
          <w:tcBorders>
            <w:top w:val="single" w:sz="4" w:space="0" w:color="000000"/>
            <w:left w:val="nil"/>
            <w:bottom w:val="single" w:sz="4" w:space="0" w:color="000000"/>
            <w:right w:val="single" w:sz="4" w:space="0" w:color="000000"/>
          </w:tcBorders>
          <w:vAlign w:val="center"/>
        </w:tcPr>
        <w:p w14:paraId="5032C24E" w14:textId="77777777" w:rsidR="00693882" w:rsidRDefault="00693882">
          <w:pPr>
            <w:jc w:val="center"/>
          </w:pPr>
          <w:r>
            <w:t>4</w:t>
          </w:r>
        </w:p>
      </w:tc>
      <w:tc>
        <w:tcPr>
          <w:tcW w:w="280" w:type="dxa"/>
          <w:tcBorders>
            <w:top w:val="single" w:sz="4" w:space="0" w:color="000000"/>
            <w:left w:val="nil"/>
            <w:bottom w:val="single" w:sz="4" w:space="0" w:color="000000"/>
            <w:right w:val="single" w:sz="4" w:space="0" w:color="000000"/>
          </w:tcBorders>
          <w:vAlign w:val="center"/>
        </w:tcPr>
        <w:p w14:paraId="465505AC" w14:textId="77777777" w:rsidR="00693882" w:rsidRDefault="00693882">
          <w:pPr>
            <w:jc w:val="center"/>
          </w:pPr>
          <w:r>
            <w:t>7</w:t>
          </w:r>
        </w:p>
      </w:tc>
    </w:tr>
    <w:tr w:rsidR="00693882" w14:paraId="3F2C0EE8" w14:textId="77777777" w:rsidTr="006A7C90">
      <w:trPr>
        <w:trHeight w:val="330"/>
      </w:trPr>
      <w:tc>
        <w:tcPr>
          <w:tcW w:w="2780" w:type="dxa"/>
          <w:vMerge/>
          <w:tcBorders>
            <w:top w:val="single" w:sz="4" w:space="0" w:color="000000"/>
            <w:left w:val="single" w:sz="4" w:space="0" w:color="000000"/>
            <w:bottom w:val="single" w:sz="4" w:space="0" w:color="auto"/>
            <w:right w:val="single" w:sz="4" w:space="0" w:color="000000"/>
          </w:tcBorders>
        </w:tcPr>
        <w:p w14:paraId="6EBD5304" w14:textId="77777777" w:rsidR="00693882" w:rsidRDefault="00693882">
          <w:pPr>
            <w:widowControl w:val="0"/>
            <w:pBdr>
              <w:top w:val="nil"/>
              <w:left w:val="nil"/>
              <w:bottom w:val="nil"/>
              <w:right w:val="nil"/>
              <w:between w:val="nil"/>
            </w:pBdr>
            <w:spacing w:line="276" w:lineRule="auto"/>
            <w:jc w:val="left"/>
          </w:pPr>
        </w:p>
      </w:tc>
      <w:tc>
        <w:tcPr>
          <w:tcW w:w="2260" w:type="dxa"/>
          <w:tcBorders>
            <w:top w:val="nil"/>
            <w:left w:val="nil"/>
            <w:bottom w:val="nil"/>
            <w:right w:val="nil"/>
          </w:tcBorders>
          <w:vAlign w:val="bottom"/>
        </w:tcPr>
        <w:p w14:paraId="7026BC88" w14:textId="77777777" w:rsidR="00693882" w:rsidRDefault="00693882">
          <w:pPr>
            <w:jc w:val="center"/>
            <w:rPr>
              <w:color w:val="000000"/>
            </w:rPr>
          </w:pPr>
        </w:p>
      </w:tc>
      <w:tc>
        <w:tcPr>
          <w:tcW w:w="465" w:type="dxa"/>
          <w:tcBorders>
            <w:top w:val="nil"/>
            <w:left w:val="nil"/>
            <w:bottom w:val="nil"/>
            <w:right w:val="nil"/>
          </w:tcBorders>
          <w:vAlign w:val="bottom"/>
        </w:tcPr>
        <w:p w14:paraId="191BA5D2" w14:textId="77777777" w:rsidR="00693882" w:rsidRDefault="00693882">
          <w:pPr>
            <w:rPr>
              <w:color w:val="000000"/>
            </w:rPr>
          </w:pPr>
          <w:r>
            <w:rPr>
              <w:color w:val="000000"/>
            </w:rPr>
            <w:t>IČO</w:t>
          </w:r>
        </w:p>
      </w:tc>
      <w:tc>
        <w:tcPr>
          <w:tcW w:w="280" w:type="dxa"/>
          <w:tcBorders>
            <w:top w:val="single" w:sz="4" w:space="0" w:color="000000"/>
            <w:left w:val="single" w:sz="4" w:space="0" w:color="000000"/>
            <w:bottom w:val="single" w:sz="4" w:space="0" w:color="000000"/>
            <w:right w:val="single" w:sz="4" w:space="0" w:color="000000"/>
          </w:tcBorders>
          <w:vAlign w:val="center"/>
        </w:tcPr>
        <w:p w14:paraId="54B518DE" w14:textId="77777777" w:rsidR="00693882" w:rsidRDefault="00693882">
          <w:pPr>
            <w:jc w:val="center"/>
          </w:pPr>
          <w:r>
            <w:t>4</w:t>
          </w:r>
        </w:p>
      </w:tc>
      <w:tc>
        <w:tcPr>
          <w:tcW w:w="280" w:type="dxa"/>
          <w:tcBorders>
            <w:top w:val="single" w:sz="4" w:space="0" w:color="000000"/>
            <w:left w:val="nil"/>
            <w:bottom w:val="single" w:sz="4" w:space="0" w:color="000000"/>
            <w:right w:val="single" w:sz="4" w:space="0" w:color="000000"/>
          </w:tcBorders>
          <w:vAlign w:val="center"/>
        </w:tcPr>
        <w:p w14:paraId="4287E39A" w14:textId="77777777" w:rsidR="00693882" w:rsidRDefault="00693882">
          <w:pPr>
            <w:jc w:val="center"/>
          </w:pPr>
          <w:r>
            <w:t>6</w:t>
          </w:r>
        </w:p>
      </w:tc>
      <w:tc>
        <w:tcPr>
          <w:tcW w:w="280" w:type="dxa"/>
          <w:tcBorders>
            <w:top w:val="single" w:sz="4" w:space="0" w:color="000000"/>
            <w:left w:val="nil"/>
            <w:bottom w:val="single" w:sz="4" w:space="0" w:color="000000"/>
            <w:right w:val="single" w:sz="4" w:space="0" w:color="000000"/>
          </w:tcBorders>
          <w:vAlign w:val="center"/>
        </w:tcPr>
        <w:p w14:paraId="72335472" w14:textId="77777777" w:rsidR="00693882" w:rsidRDefault="00693882">
          <w:pPr>
            <w:jc w:val="center"/>
          </w:pPr>
          <w:r>
            <w:t>4</w:t>
          </w:r>
        </w:p>
      </w:tc>
      <w:tc>
        <w:tcPr>
          <w:tcW w:w="280" w:type="dxa"/>
          <w:tcBorders>
            <w:top w:val="single" w:sz="4" w:space="0" w:color="000000"/>
            <w:left w:val="nil"/>
            <w:bottom w:val="single" w:sz="4" w:space="0" w:color="000000"/>
            <w:right w:val="single" w:sz="4" w:space="0" w:color="000000"/>
          </w:tcBorders>
          <w:vAlign w:val="center"/>
        </w:tcPr>
        <w:p w14:paraId="363BA0E3" w14:textId="77777777" w:rsidR="00693882" w:rsidRDefault="00693882">
          <w:pPr>
            <w:jc w:val="center"/>
          </w:pPr>
          <w:r>
            <w:t>4</w:t>
          </w:r>
        </w:p>
      </w:tc>
      <w:tc>
        <w:tcPr>
          <w:tcW w:w="280" w:type="dxa"/>
          <w:tcBorders>
            <w:top w:val="single" w:sz="4" w:space="0" w:color="000000"/>
            <w:left w:val="nil"/>
            <w:bottom w:val="single" w:sz="4" w:space="0" w:color="000000"/>
            <w:right w:val="single" w:sz="4" w:space="0" w:color="000000"/>
          </w:tcBorders>
          <w:vAlign w:val="center"/>
        </w:tcPr>
        <w:p w14:paraId="2897E787" w14:textId="77777777" w:rsidR="00693882" w:rsidRDefault="00693882">
          <w:pPr>
            <w:jc w:val="center"/>
          </w:pPr>
          <w:r>
            <w:t>0</w:t>
          </w:r>
        </w:p>
      </w:tc>
      <w:tc>
        <w:tcPr>
          <w:tcW w:w="280" w:type="dxa"/>
          <w:tcBorders>
            <w:top w:val="single" w:sz="4" w:space="0" w:color="000000"/>
            <w:left w:val="nil"/>
            <w:bottom w:val="single" w:sz="4" w:space="0" w:color="000000"/>
            <w:right w:val="single" w:sz="4" w:space="0" w:color="000000"/>
          </w:tcBorders>
          <w:vAlign w:val="center"/>
        </w:tcPr>
        <w:p w14:paraId="6699EF52" w14:textId="77777777" w:rsidR="00693882" w:rsidRDefault="00693882">
          <w:pPr>
            <w:jc w:val="center"/>
          </w:pPr>
          <w:r>
            <w:t>2</w:t>
          </w:r>
        </w:p>
      </w:tc>
      <w:tc>
        <w:tcPr>
          <w:tcW w:w="280" w:type="dxa"/>
          <w:tcBorders>
            <w:top w:val="single" w:sz="4" w:space="0" w:color="000000"/>
            <w:left w:val="nil"/>
            <w:bottom w:val="single" w:sz="4" w:space="0" w:color="000000"/>
            <w:right w:val="single" w:sz="4" w:space="0" w:color="000000"/>
          </w:tcBorders>
          <w:vAlign w:val="center"/>
        </w:tcPr>
        <w:p w14:paraId="3A7F0F5B" w14:textId="77777777" w:rsidR="00693882" w:rsidRDefault="00693882">
          <w:pPr>
            <w:jc w:val="center"/>
          </w:pPr>
          <w:r>
            <w:t>2</w:t>
          </w:r>
        </w:p>
      </w:tc>
      <w:tc>
        <w:tcPr>
          <w:tcW w:w="280" w:type="dxa"/>
          <w:tcBorders>
            <w:top w:val="single" w:sz="4" w:space="0" w:color="000000"/>
            <w:left w:val="nil"/>
            <w:bottom w:val="single" w:sz="4" w:space="0" w:color="000000"/>
            <w:right w:val="single" w:sz="4" w:space="0" w:color="000000"/>
          </w:tcBorders>
          <w:vAlign w:val="center"/>
        </w:tcPr>
        <w:p w14:paraId="377CE57C" w14:textId="77777777" w:rsidR="00693882" w:rsidRDefault="00693882">
          <w:pPr>
            <w:jc w:val="center"/>
          </w:pPr>
          <w:r>
            <w:t>4</w:t>
          </w:r>
        </w:p>
      </w:tc>
      <w:tc>
        <w:tcPr>
          <w:tcW w:w="280" w:type="dxa"/>
          <w:tcBorders>
            <w:top w:val="single" w:sz="4" w:space="0" w:color="000000"/>
            <w:left w:val="nil"/>
            <w:bottom w:val="single" w:sz="4" w:space="0" w:color="000000"/>
            <w:right w:val="single" w:sz="4" w:space="0" w:color="000000"/>
          </w:tcBorders>
          <w:vAlign w:val="center"/>
        </w:tcPr>
        <w:p w14:paraId="4D7C8E34" w14:textId="77777777" w:rsidR="00693882" w:rsidRDefault="00693882">
          <w:pPr>
            <w:jc w:val="center"/>
          </w:pPr>
        </w:p>
      </w:tc>
      <w:tc>
        <w:tcPr>
          <w:tcW w:w="280" w:type="dxa"/>
          <w:tcBorders>
            <w:top w:val="single" w:sz="4" w:space="0" w:color="000000"/>
            <w:left w:val="nil"/>
            <w:bottom w:val="single" w:sz="4" w:space="0" w:color="000000"/>
            <w:right w:val="single" w:sz="4" w:space="0" w:color="000000"/>
          </w:tcBorders>
          <w:vAlign w:val="center"/>
        </w:tcPr>
        <w:p w14:paraId="3E6837A8" w14:textId="77777777" w:rsidR="00693882" w:rsidRDefault="00693882">
          <w:pPr>
            <w:jc w:val="center"/>
          </w:pPr>
        </w:p>
      </w:tc>
    </w:tr>
  </w:tbl>
  <w:p w14:paraId="1844C32F" w14:textId="77777777" w:rsidR="00693882" w:rsidRDefault="00693882">
    <w:pPr>
      <w:pBdr>
        <w:top w:val="nil"/>
        <w:left w:val="nil"/>
        <w:bottom w:val="nil"/>
        <w:right w:val="nil"/>
        <w:between w:val="nil"/>
      </w:pBdr>
      <w:tabs>
        <w:tab w:val="center" w:pos="4536"/>
        <w:tab w:val="right" w:pos="9072"/>
      </w:tabs>
      <w:rPr>
        <w:b/>
        <w:color w:val="000000"/>
      </w:rPr>
    </w:pPr>
  </w:p>
  <w:p w14:paraId="2100A0F1" w14:textId="77777777" w:rsidR="00693882" w:rsidRDefault="00693882">
    <w:pPr>
      <w:pBdr>
        <w:top w:val="nil"/>
        <w:left w:val="nil"/>
        <w:bottom w:val="nil"/>
        <w:right w:val="nil"/>
        <w:between w:val="nil"/>
      </w:pBdr>
      <w:tabs>
        <w:tab w:val="center" w:pos="4536"/>
        <w:tab w:val="right" w:pos="9072"/>
      </w:tabs>
      <w:rPr>
        <w:b/>
        <w:color w:val="000000"/>
      </w:rPr>
    </w:pPr>
    <w:proofErr w:type="spellStart"/>
    <w:r>
      <w:rPr>
        <w:b/>
        <w:color w:val="000000"/>
      </w:rPr>
      <w:t>GymBeam</w:t>
    </w:r>
    <w:proofErr w:type="spellEnd"/>
    <w:r>
      <w:rPr>
        <w:b/>
        <w:color w:val="000000"/>
      </w:rPr>
      <w:t xml:space="preserve"> </w:t>
    </w:r>
    <w:proofErr w:type="spellStart"/>
    <w:r>
      <w:rPr>
        <w:b/>
        <w:color w:val="000000"/>
      </w:rPr>
      <w:t>s.r.o</w:t>
    </w:r>
    <w:proofErr w:type="spellEnd"/>
    <w:r>
      <w:rPr>
        <w:b/>
        <w:color w:val="000000"/>
      </w:rPr>
      <w:t>.</w:t>
    </w:r>
  </w:p>
  <w:p w14:paraId="302B003D" w14:textId="77777777" w:rsidR="00693882" w:rsidRDefault="00693882">
    <w:pPr>
      <w:pBdr>
        <w:top w:val="nil"/>
        <w:left w:val="nil"/>
        <w:bottom w:val="nil"/>
        <w:right w:val="nil"/>
        <w:between w:val="nil"/>
      </w:pBdr>
      <w:tabs>
        <w:tab w:val="center" w:pos="4536"/>
        <w:tab w:val="right" w:pos="9072"/>
      </w:tabs>
      <w:rPr>
        <w:b/>
        <w:color w:val="000000"/>
      </w:rPr>
    </w:pPr>
    <w:r>
      <w:rPr>
        <w:b/>
        <w:color w:val="000000"/>
      </w:rPr>
      <w:t>Poznámky k účtovným výkazom k 31. decembru 2019</w:t>
    </w:r>
    <w:r>
      <w:rPr>
        <w:b/>
        <w:color w:val="000000"/>
      </w:rPr>
      <w:tab/>
    </w:r>
  </w:p>
  <w:p w14:paraId="7CB4F0F5" w14:textId="77777777" w:rsidR="00693882" w:rsidRDefault="00693882">
    <w:pPr>
      <w:pBdr>
        <w:top w:val="nil"/>
        <w:left w:val="nil"/>
        <w:bottom w:val="single" w:sz="4" w:space="1" w:color="000000"/>
        <w:right w:val="nil"/>
        <w:between w:val="nil"/>
      </w:pBdr>
      <w:tabs>
        <w:tab w:val="center" w:pos="4536"/>
        <w:tab w:val="right" w:pos="9072"/>
      </w:tabs>
      <w:rPr>
        <w:b/>
        <w:color w:val="000000"/>
      </w:rPr>
    </w:pPr>
    <w:r>
      <w:rPr>
        <w:b/>
        <w:color w:val="000000"/>
      </w:rPr>
      <w:t>(údaje v tabuľkách sú uvedené v celých eurách, ak nie je uvedené inak)</w:t>
    </w:r>
  </w:p>
  <w:p w14:paraId="448CEE2D" w14:textId="77777777" w:rsidR="00693882" w:rsidRDefault="00693882">
    <w:pPr>
      <w:pBdr>
        <w:top w:val="nil"/>
        <w:left w:val="nil"/>
        <w:bottom w:val="nil"/>
        <w:right w:val="nil"/>
        <w:between w:val="nil"/>
      </w:pBdr>
      <w:tabs>
        <w:tab w:val="center" w:pos="4536"/>
        <w:tab w:val="right" w:pos="9072"/>
      </w:tabs>
      <w:rPr>
        <w:b/>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A33D05"/>
    <w:multiLevelType w:val="multilevel"/>
    <w:tmpl w:val="5A747AA8"/>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D82705E"/>
    <w:multiLevelType w:val="multilevel"/>
    <w:tmpl w:val="525E4D52"/>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AF555BF"/>
    <w:multiLevelType w:val="multilevel"/>
    <w:tmpl w:val="9E4C4CB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2C1155E5"/>
    <w:multiLevelType w:val="hybridMultilevel"/>
    <w:tmpl w:val="472E2D5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31611662"/>
    <w:multiLevelType w:val="hybridMultilevel"/>
    <w:tmpl w:val="BAA266E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388043ED"/>
    <w:multiLevelType w:val="multilevel"/>
    <w:tmpl w:val="60120226"/>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98B5B17"/>
    <w:multiLevelType w:val="multilevel"/>
    <w:tmpl w:val="AF8E79B6"/>
    <w:lvl w:ilvl="0">
      <w:start w:val="1"/>
      <w:numFmt w:val="decimal"/>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3"/>
      <w:numFmt w:val="bullet"/>
      <w:lvlText w:val="-"/>
      <w:lvlJc w:val="left"/>
      <w:pPr>
        <w:ind w:left="2880" w:hanging="360"/>
      </w:pPr>
      <w:rPr>
        <w:rFonts w:ascii="Verdana" w:eastAsia="Verdana" w:hAnsi="Verdana" w:cs="Verdana"/>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A5497B"/>
    <w:multiLevelType w:val="multilevel"/>
    <w:tmpl w:val="6C88FAA4"/>
    <w:lvl w:ilvl="0">
      <w:start w:val="1"/>
      <w:numFmt w:val="lowerLetter"/>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0102CEB"/>
    <w:multiLevelType w:val="multilevel"/>
    <w:tmpl w:val="F214904A"/>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3B637BF"/>
    <w:multiLevelType w:val="multilevel"/>
    <w:tmpl w:val="9294D52C"/>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70D4C0A"/>
    <w:multiLevelType w:val="multilevel"/>
    <w:tmpl w:val="DA3E2F82"/>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8C3062D"/>
    <w:multiLevelType w:val="hybridMultilevel"/>
    <w:tmpl w:val="7406AE9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DE866D8"/>
    <w:multiLevelType w:val="multilevel"/>
    <w:tmpl w:val="51F0E75E"/>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F661CD2"/>
    <w:multiLevelType w:val="multilevel"/>
    <w:tmpl w:val="BE52DDB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60E508B7"/>
    <w:multiLevelType w:val="multilevel"/>
    <w:tmpl w:val="EDCC5FA0"/>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17331AC"/>
    <w:multiLevelType w:val="multilevel"/>
    <w:tmpl w:val="8D1A7EFA"/>
    <w:lvl w:ilvl="0">
      <w:start w:val="1"/>
      <w:numFmt w:val="lowerLetter"/>
      <w:lvlText w:val="%1)"/>
      <w:lvlJc w:val="left"/>
      <w:pPr>
        <w:ind w:left="539" w:hanging="539"/>
      </w:pPr>
    </w:lvl>
    <w:lvl w:ilvl="1">
      <w:start w:val="1"/>
      <w:numFmt w:val="bullet"/>
      <w:lvlText w:val="●"/>
      <w:lvlJc w:val="left"/>
      <w:pPr>
        <w:ind w:left="1364" w:hanging="284"/>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09250C3"/>
    <w:multiLevelType w:val="multilevel"/>
    <w:tmpl w:val="44B2C952"/>
    <w:lvl w:ilvl="0">
      <w:start w:val="1"/>
      <w:numFmt w:val="bullet"/>
      <w:lvlText w:val="●"/>
      <w:lvlJc w:val="left"/>
      <w:pPr>
        <w:ind w:left="1276" w:hanging="284"/>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3316EDD"/>
    <w:multiLevelType w:val="multilevel"/>
    <w:tmpl w:val="B7B08456"/>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43978B9"/>
    <w:multiLevelType w:val="multilevel"/>
    <w:tmpl w:val="4116520A"/>
    <w:lvl w:ilvl="0">
      <w:start w:val="1"/>
      <w:numFmt w:val="upperRoman"/>
      <w:lvlText w:val="%1."/>
      <w:lvlJc w:val="left"/>
      <w:pPr>
        <w:ind w:left="539" w:hanging="539"/>
      </w:pPr>
    </w:lvl>
    <w:lvl w:ilvl="1">
      <w:start w:val="1"/>
      <w:numFmt w:val="decimal"/>
      <w:lvlText w:val="%2."/>
      <w:lvlJc w:val="left"/>
      <w:pPr>
        <w:ind w:left="539" w:hanging="539"/>
      </w:p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9FA511D"/>
    <w:multiLevelType w:val="multilevel"/>
    <w:tmpl w:val="F3000B10"/>
    <w:lvl w:ilvl="0">
      <w:start w:val="3"/>
      <w:numFmt w:val="bullet"/>
      <w:pStyle w:val="Nadpis1"/>
      <w:lvlText w:val="-"/>
      <w:lvlJc w:val="left"/>
      <w:pPr>
        <w:ind w:left="720" w:hanging="360"/>
      </w:pPr>
      <w:rPr>
        <w:rFonts w:ascii="Verdana" w:eastAsia="Verdana" w:hAnsi="Verdana" w:cs="Verdana"/>
      </w:rPr>
    </w:lvl>
    <w:lvl w:ilvl="1">
      <w:start w:val="1"/>
      <w:numFmt w:val="bullet"/>
      <w:pStyle w:val="Nadpis2"/>
      <w:lvlText w:val="o"/>
      <w:lvlJc w:val="left"/>
      <w:pPr>
        <w:ind w:left="1440" w:hanging="360"/>
      </w:pPr>
      <w:rPr>
        <w:rFonts w:ascii="Courier New" w:eastAsia="Courier New" w:hAnsi="Courier New" w:cs="Courier New"/>
      </w:rPr>
    </w:lvl>
    <w:lvl w:ilvl="2">
      <w:start w:val="1"/>
      <w:numFmt w:val="bullet"/>
      <w:pStyle w:val="Nadpis3"/>
      <w:lvlText w:val="▪"/>
      <w:lvlJc w:val="left"/>
      <w:pPr>
        <w:ind w:left="2160" w:hanging="360"/>
      </w:pPr>
      <w:rPr>
        <w:rFonts w:ascii="Noto Sans Symbols" w:eastAsia="Noto Sans Symbols" w:hAnsi="Noto Sans Symbols" w:cs="Noto Sans Symbols"/>
      </w:rPr>
    </w:lvl>
    <w:lvl w:ilvl="3">
      <w:start w:val="1"/>
      <w:numFmt w:val="bullet"/>
      <w:pStyle w:val="Nadpis4"/>
      <w:lvlText w:val="●"/>
      <w:lvlJc w:val="left"/>
      <w:pPr>
        <w:ind w:left="2880" w:hanging="360"/>
      </w:pPr>
      <w:rPr>
        <w:rFonts w:ascii="Noto Sans Symbols" w:eastAsia="Noto Sans Symbols" w:hAnsi="Noto Sans Symbols" w:cs="Noto Sans Symbols"/>
      </w:rPr>
    </w:lvl>
    <w:lvl w:ilvl="4">
      <w:start w:val="1"/>
      <w:numFmt w:val="bullet"/>
      <w:pStyle w:val="Nadpis5"/>
      <w:lvlText w:val="o"/>
      <w:lvlJc w:val="left"/>
      <w:pPr>
        <w:ind w:left="3600" w:hanging="360"/>
      </w:pPr>
      <w:rPr>
        <w:rFonts w:ascii="Courier New" w:eastAsia="Courier New" w:hAnsi="Courier New" w:cs="Courier New"/>
      </w:rPr>
    </w:lvl>
    <w:lvl w:ilvl="5">
      <w:start w:val="1"/>
      <w:numFmt w:val="bullet"/>
      <w:pStyle w:val="Nadpis6"/>
      <w:lvlText w:val="▪"/>
      <w:lvlJc w:val="left"/>
      <w:pPr>
        <w:ind w:left="4320" w:hanging="360"/>
      </w:pPr>
      <w:rPr>
        <w:rFonts w:ascii="Noto Sans Symbols" w:eastAsia="Noto Sans Symbols" w:hAnsi="Noto Sans Symbols" w:cs="Noto Sans Symbols"/>
      </w:rPr>
    </w:lvl>
    <w:lvl w:ilvl="6">
      <w:start w:val="1"/>
      <w:numFmt w:val="bullet"/>
      <w:pStyle w:val="Nadpis7"/>
      <w:lvlText w:val="●"/>
      <w:lvlJc w:val="left"/>
      <w:pPr>
        <w:ind w:left="5040" w:hanging="360"/>
      </w:pPr>
      <w:rPr>
        <w:rFonts w:ascii="Noto Sans Symbols" w:eastAsia="Noto Sans Symbols" w:hAnsi="Noto Sans Symbols" w:cs="Noto Sans Symbols"/>
      </w:rPr>
    </w:lvl>
    <w:lvl w:ilvl="7">
      <w:start w:val="1"/>
      <w:numFmt w:val="bullet"/>
      <w:pStyle w:val="Nadpis8"/>
      <w:lvlText w:val="o"/>
      <w:lvlJc w:val="left"/>
      <w:pPr>
        <w:ind w:left="5760" w:hanging="360"/>
      </w:pPr>
      <w:rPr>
        <w:rFonts w:ascii="Courier New" w:eastAsia="Courier New" w:hAnsi="Courier New" w:cs="Courier New"/>
      </w:rPr>
    </w:lvl>
    <w:lvl w:ilvl="8">
      <w:start w:val="1"/>
      <w:numFmt w:val="bullet"/>
      <w:pStyle w:val="Nadpis9"/>
      <w:lvlText w:val="▪"/>
      <w:lvlJc w:val="left"/>
      <w:pPr>
        <w:ind w:left="6480" w:hanging="360"/>
      </w:pPr>
      <w:rPr>
        <w:rFonts w:ascii="Noto Sans Symbols" w:eastAsia="Noto Sans Symbols" w:hAnsi="Noto Sans Symbols" w:cs="Noto Sans Symbols"/>
      </w:rPr>
    </w:lvl>
  </w:abstractNum>
  <w:abstractNum w:abstractNumId="20" w15:restartNumberingAfterBreak="0">
    <w:nsid w:val="7D4F21F8"/>
    <w:multiLevelType w:val="multilevel"/>
    <w:tmpl w:val="A8205D02"/>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7D602703"/>
    <w:multiLevelType w:val="multilevel"/>
    <w:tmpl w:val="C7C0B12C"/>
    <w:lvl w:ilvl="0">
      <w:start w:val="1"/>
      <w:numFmt w:val="bullet"/>
      <w:lvlText w:val="●"/>
      <w:lvlJc w:val="left"/>
      <w:pPr>
        <w:ind w:left="567" w:hanging="567"/>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E7071E2"/>
    <w:multiLevelType w:val="multilevel"/>
    <w:tmpl w:val="835CEEF2"/>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9"/>
  </w:num>
  <w:num w:numId="2">
    <w:abstractNumId w:val="15"/>
  </w:num>
  <w:num w:numId="3">
    <w:abstractNumId w:val="13"/>
  </w:num>
  <w:num w:numId="4">
    <w:abstractNumId w:val="6"/>
  </w:num>
  <w:num w:numId="5">
    <w:abstractNumId w:val="12"/>
  </w:num>
  <w:num w:numId="6">
    <w:abstractNumId w:val="14"/>
  </w:num>
  <w:num w:numId="7">
    <w:abstractNumId w:val="17"/>
  </w:num>
  <w:num w:numId="8">
    <w:abstractNumId w:val="2"/>
  </w:num>
  <w:num w:numId="9">
    <w:abstractNumId w:val="9"/>
  </w:num>
  <w:num w:numId="10">
    <w:abstractNumId w:val="10"/>
  </w:num>
  <w:num w:numId="11">
    <w:abstractNumId w:val="20"/>
  </w:num>
  <w:num w:numId="12">
    <w:abstractNumId w:val="8"/>
  </w:num>
  <w:num w:numId="13">
    <w:abstractNumId w:val="0"/>
  </w:num>
  <w:num w:numId="14">
    <w:abstractNumId w:val="22"/>
  </w:num>
  <w:num w:numId="15">
    <w:abstractNumId w:val="5"/>
  </w:num>
  <w:num w:numId="16">
    <w:abstractNumId w:val="18"/>
  </w:num>
  <w:num w:numId="17">
    <w:abstractNumId w:val="16"/>
  </w:num>
  <w:num w:numId="18">
    <w:abstractNumId w:val="21"/>
  </w:num>
  <w:num w:numId="19">
    <w:abstractNumId w:val="7"/>
  </w:num>
  <w:num w:numId="20">
    <w:abstractNumId w:val="1"/>
  </w:num>
  <w:num w:numId="21">
    <w:abstractNumId w:val="4"/>
  </w:num>
  <w:num w:numId="22">
    <w:abstractNumId w:val="11"/>
  </w:num>
  <w:num w:numId="23">
    <w:abstractNumId w:val="3"/>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3BFB"/>
    <w:rsid w:val="001001D9"/>
    <w:rsid w:val="00112B58"/>
    <w:rsid w:val="0013196A"/>
    <w:rsid w:val="001768BC"/>
    <w:rsid w:val="001A7A2C"/>
    <w:rsid w:val="001B53F1"/>
    <w:rsid w:val="001B5951"/>
    <w:rsid w:val="001D2246"/>
    <w:rsid w:val="00230692"/>
    <w:rsid w:val="00262424"/>
    <w:rsid w:val="00291AF4"/>
    <w:rsid w:val="002D7A3D"/>
    <w:rsid w:val="002E2A59"/>
    <w:rsid w:val="002E4640"/>
    <w:rsid w:val="00320EED"/>
    <w:rsid w:val="00356176"/>
    <w:rsid w:val="00362F34"/>
    <w:rsid w:val="00363012"/>
    <w:rsid w:val="00371237"/>
    <w:rsid w:val="0038106D"/>
    <w:rsid w:val="003A2E66"/>
    <w:rsid w:val="003B7511"/>
    <w:rsid w:val="003D44B3"/>
    <w:rsid w:val="003D682C"/>
    <w:rsid w:val="004477D9"/>
    <w:rsid w:val="004A2DEE"/>
    <w:rsid w:val="004A3361"/>
    <w:rsid w:val="004A54E8"/>
    <w:rsid w:val="004B4AC9"/>
    <w:rsid w:val="00513128"/>
    <w:rsid w:val="00545CA0"/>
    <w:rsid w:val="005944A3"/>
    <w:rsid w:val="005B5CC9"/>
    <w:rsid w:val="005C48C5"/>
    <w:rsid w:val="005E0DDC"/>
    <w:rsid w:val="005F100F"/>
    <w:rsid w:val="005F1FE2"/>
    <w:rsid w:val="0062026E"/>
    <w:rsid w:val="00646D8E"/>
    <w:rsid w:val="00655555"/>
    <w:rsid w:val="00687555"/>
    <w:rsid w:val="00693882"/>
    <w:rsid w:val="006A0240"/>
    <w:rsid w:val="006A7C90"/>
    <w:rsid w:val="00724315"/>
    <w:rsid w:val="0073232A"/>
    <w:rsid w:val="00754E28"/>
    <w:rsid w:val="00793675"/>
    <w:rsid w:val="007D669F"/>
    <w:rsid w:val="00814FA4"/>
    <w:rsid w:val="008407E6"/>
    <w:rsid w:val="008B177C"/>
    <w:rsid w:val="008C1CA5"/>
    <w:rsid w:val="008D297F"/>
    <w:rsid w:val="00904249"/>
    <w:rsid w:val="00915D4F"/>
    <w:rsid w:val="00915EC1"/>
    <w:rsid w:val="00932ABB"/>
    <w:rsid w:val="009411E1"/>
    <w:rsid w:val="00A0579B"/>
    <w:rsid w:val="00A32E4C"/>
    <w:rsid w:val="00A70DF5"/>
    <w:rsid w:val="00A86A13"/>
    <w:rsid w:val="00AB1389"/>
    <w:rsid w:val="00AE4985"/>
    <w:rsid w:val="00AE728F"/>
    <w:rsid w:val="00B06CD1"/>
    <w:rsid w:val="00B15991"/>
    <w:rsid w:val="00B41255"/>
    <w:rsid w:val="00B47161"/>
    <w:rsid w:val="00B71BDA"/>
    <w:rsid w:val="00B74A41"/>
    <w:rsid w:val="00BB1F06"/>
    <w:rsid w:val="00BB3731"/>
    <w:rsid w:val="00BB3B71"/>
    <w:rsid w:val="00BB5E37"/>
    <w:rsid w:val="00BC6F1F"/>
    <w:rsid w:val="00BD3BFB"/>
    <w:rsid w:val="00BE072E"/>
    <w:rsid w:val="00BF70C8"/>
    <w:rsid w:val="00C547BD"/>
    <w:rsid w:val="00C62181"/>
    <w:rsid w:val="00CC0D82"/>
    <w:rsid w:val="00CD0346"/>
    <w:rsid w:val="00CD1C05"/>
    <w:rsid w:val="00D306D9"/>
    <w:rsid w:val="00D4760D"/>
    <w:rsid w:val="00D97FFD"/>
    <w:rsid w:val="00DC0140"/>
    <w:rsid w:val="00DE2169"/>
    <w:rsid w:val="00E360E5"/>
    <w:rsid w:val="00E93EA4"/>
    <w:rsid w:val="00E97D30"/>
    <w:rsid w:val="00ED696B"/>
    <w:rsid w:val="00F1157D"/>
    <w:rsid w:val="00F16FD5"/>
    <w:rsid w:val="00F20C38"/>
    <w:rsid w:val="00F25FF8"/>
    <w:rsid w:val="00F9243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FEDFF8"/>
  <w15:docId w15:val="{C0330BFD-5A67-4B2F-B704-4BB68B222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Verdana" w:hAnsi="Verdana" w:cs="Verdana"/>
        <w:sz w:val="17"/>
        <w:szCs w:val="17"/>
        <w:lang w:val="sk-SK" w:eastAsia="cs-CZ"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rPr>
      <w:lang w:eastAsia="en-US"/>
    </w:rPr>
  </w:style>
  <w:style w:type="paragraph" w:styleId="Nadpis1">
    <w:name w:val="heading 1"/>
    <w:basedOn w:val="Normlny"/>
    <w:next w:val="Normlny"/>
    <w:uiPriority w:val="9"/>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uiPriority w:val="9"/>
    <w:unhideWhenUsed/>
    <w:qFormat/>
    <w:rsid w:val="00111C30"/>
    <w:pPr>
      <w:keepNext/>
      <w:numPr>
        <w:ilvl w:val="1"/>
        <w:numId w:val="1"/>
      </w:numPr>
      <w:outlineLvl w:val="1"/>
    </w:pPr>
    <w:rPr>
      <w:rFonts w:cs="Arial"/>
      <w:b/>
      <w:bCs/>
      <w:iCs/>
      <w:szCs w:val="28"/>
    </w:rPr>
  </w:style>
  <w:style w:type="paragraph" w:styleId="Nadpis3">
    <w:name w:val="heading 3"/>
    <w:basedOn w:val="Normlny"/>
    <w:next w:val="Normlny"/>
    <w:uiPriority w:val="9"/>
    <w:unhideWhenUsed/>
    <w:qFormat/>
    <w:rsid w:val="00111C30"/>
    <w:pPr>
      <w:keepNext/>
      <w:numPr>
        <w:ilvl w:val="2"/>
        <w:numId w:val="1"/>
      </w:numPr>
      <w:outlineLvl w:val="2"/>
    </w:pPr>
    <w:rPr>
      <w:rFonts w:cs="Arial"/>
      <w:bCs/>
      <w:szCs w:val="26"/>
      <w:u w:val="single"/>
    </w:rPr>
  </w:style>
  <w:style w:type="paragraph" w:styleId="Nadpis4">
    <w:name w:val="heading 4"/>
    <w:basedOn w:val="Normlny"/>
    <w:next w:val="Normlny"/>
    <w:uiPriority w:val="9"/>
    <w:unhideWhenUsed/>
    <w:qFormat/>
    <w:rsid w:val="00111C30"/>
    <w:pPr>
      <w:keepNext/>
      <w:numPr>
        <w:ilvl w:val="3"/>
        <w:numId w:val="1"/>
      </w:numPr>
      <w:outlineLvl w:val="3"/>
    </w:pPr>
    <w:rPr>
      <w:bCs/>
      <w:i/>
      <w:szCs w:val="28"/>
    </w:rPr>
  </w:style>
  <w:style w:type="paragraph" w:styleId="Nadpis5">
    <w:name w:val="heading 5"/>
    <w:basedOn w:val="Normlny"/>
    <w:next w:val="Normlny"/>
    <w:uiPriority w:val="9"/>
    <w:semiHidden/>
    <w:unhideWhenUsed/>
    <w:qFormat/>
    <w:rsid w:val="00111C30"/>
    <w:pPr>
      <w:numPr>
        <w:ilvl w:val="4"/>
        <w:numId w:val="1"/>
      </w:numPr>
      <w:spacing w:before="240" w:after="60"/>
      <w:outlineLvl w:val="4"/>
    </w:pPr>
    <w:rPr>
      <w:b/>
      <w:bCs/>
      <w:i/>
      <w:iCs/>
      <w:szCs w:val="26"/>
    </w:rPr>
  </w:style>
  <w:style w:type="paragraph" w:styleId="Nadpis6">
    <w:name w:val="heading 6"/>
    <w:basedOn w:val="Normlny"/>
    <w:next w:val="Normlny"/>
    <w:uiPriority w:val="9"/>
    <w:semiHidden/>
    <w:unhideWhenUsed/>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link w:val="NzovChar"/>
    <w:uiPriority w:val="10"/>
    <w:qFormat/>
    <w:rsid w:val="00076D86"/>
    <w:pPr>
      <w:keepNext/>
      <w:spacing w:before="100" w:beforeAutospacing="1" w:after="220"/>
      <w:jc w:val="center"/>
      <w:outlineLvl w:val="0"/>
    </w:pPr>
    <w:rPr>
      <w:rFonts w:ascii="Arial Narrow" w:hAnsi="Arial Narrow"/>
      <w:b/>
      <w:bCs/>
      <w:kern w:val="28"/>
      <w:sz w:val="22"/>
      <w:szCs w:val="32"/>
    </w:rPr>
  </w:style>
  <w:style w:type="paragraph" w:styleId="Hlavika">
    <w:name w:val="header"/>
    <w:basedOn w:val="Normlny"/>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lang w:eastAsia="en-US"/>
    </w:rPr>
  </w:style>
  <w:style w:type="paragraph" w:customStyle="1" w:styleId="TopHeader">
    <w:name w:val="Top Header"/>
    <w:basedOn w:val="Normlny"/>
    <w:qFormat/>
    <w:rsid w:val="009A69DE"/>
    <w:pPr>
      <w:jc w:val="center"/>
    </w:pPr>
    <w:rPr>
      <w:rFonts w:ascii="Arial Narrow" w:hAnsi="Arial Narrow"/>
      <w:b/>
      <w:bCs/>
      <w:sz w:val="22"/>
      <w:szCs w:val="22"/>
    </w:rPr>
  </w:style>
  <w:style w:type="character" w:customStyle="1" w:styleId="NzovChar">
    <w:name w:val="Názov Char"/>
    <w:link w:val="Nzov"/>
    <w:uiPriority w:val="99"/>
    <w:rsid w:val="00076D86"/>
    <w:rPr>
      <w:rFonts w:ascii="Arial Narrow" w:hAnsi="Arial Narrow"/>
      <w:b/>
      <w:bCs/>
      <w:kern w:val="28"/>
      <w:sz w:val="22"/>
      <w:szCs w:val="32"/>
      <w:lang w:eastAsia="en-US"/>
    </w:rPr>
  </w:style>
  <w:style w:type="paragraph" w:styleId="Odsekzoznamu">
    <w:name w:val="List Paragraph"/>
    <w:basedOn w:val="Normlny"/>
    <w:uiPriority w:val="34"/>
    <w:qFormat/>
    <w:rsid w:val="00116001"/>
    <w:pPr>
      <w:ind w:left="720"/>
      <w:contextualSpacing/>
    </w:pPr>
  </w:style>
  <w:style w:type="character" w:customStyle="1" w:styleId="ra">
    <w:name w:val="ra"/>
    <w:basedOn w:val="Predvolenpsmoodseku"/>
    <w:rsid w:val="008A6B66"/>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42" w:type="dxa"/>
        <w:right w:w="42" w:type="dxa"/>
      </w:tblCellMar>
    </w:tblPr>
  </w:style>
  <w:style w:type="table" w:customStyle="1" w:styleId="a4">
    <w:basedOn w:val="TableNormal"/>
    <w:tblPr>
      <w:tblStyleRowBandSize w:val="1"/>
      <w:tblStyleColBandSize w:val="1"/>
      <w:tblCellMar>
        <w:left w:w="70" w:type="dxa"/>
        <w:right w:w="70" w:type="dxa"/>
      </w:tblCellMar>
    </w:tblPr>
  </w:style>
  <w:style w:type="character" w:customStyle="1" w:styleId="PtaChar">
    <w:name w:val="Päta Char"/>
    <w:basedOn w:val="Predvolenpsmoodseku"/>
    <w:link w:val="Pta"/>
    <w:uiPriority w:val="99"/>
    <w:rsid w:val="00F16FD5"/>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9148392">
      <w:bodyDiv w:val="1"/>
      <w:marLeft w:val="0"/>
      <w:marRight w:val="0"/>
      <w:marTop w:val="0"/>
      <w:marBottom w:val="0"/>
      <w:divBdr>
        <w:top w:val="none" w:sz="0" w:space="0" w:color="auto"/>
        <w:left w:val="none" w:sz="0" w:space="0" w:color="auto"/>
        <w:bottom w:val="none" w:sz="0" w:space="0" w:color="auto"/>
        <w:right w:val="none" w:sz="0" w:space="0" w:color="auto"/>
      </w:divBdr>
    </w:div>
    <w:div w:id="927270291">
      <w:bodyDiv w:val="1"/>
      <w:marLeft w:val="0"/>
      <w:marRight w:val="0"/>
      <w:marTop w:val="0"/>
      <w:marBottom w:val="0"/>
      <w:divBdr>
        <w:top w:val="none" w:sz="0" w:space="0" w:color="auto"/>
        <w:left w:val="none" w:sz="0" w:space="0" w:color="auto"/>
        <w:bottom w:val="none" w:sz="0" w:space="0" w:color="auto"/>
        <w:right w:val="none" w:sz="0" w:space="0" w:color="auto"/>
      </w:divBdr>
      <w:divsChild>
        <w:div w:id="1571187334">
          <w:marLeft w:val="0"/>
          <w:marRight w:val="0"/>
          <w:marTop w:val="0"/>
          <w:marBottom w:val="0"/>
          <w:divBdr>
            <w:top w:val="none" w:sz="0" w:space="0" w:color="auto"/>
            <w:left w:val="none" w:sz="0" w:space="0" w:color="auto"/>
            <w:bottom w:val="none" w:sz="0" w:space="0" w:color="auto"/>
            <w:right w:val="none" w:sz="0" w:space="0" w:color="auto"/>
          </w:divBdr>
          <w:divsChild>
            <w:div w:id="1740446194">
              <w:marLeft w:val="0"/>
              <w:marRight w:val="0"/>
              <w:marTop w:val="0"/>
              <w:marBottom w:val="0"/>
              <w:divBdr>
                <w:top w:val="none" w:sz="0" w:space="0" w:color="auto"/>
                <w:left w:val="none" w:sz="0" w:space="0" w:color="auto"/>
                <w:bottom w:val="none" w:sz="0" w:space="0" w:color="auto"/>
                <w:right w:val="none" w:sz="0" w:space="0" w:color="auto"/>
              </w:divBdr>
              <w:divsChild>
                <w:div w:id="452941609">
                  <w:marLeft w:val="-240"/>
                  <w:marRight w:val="-120"/>
                  <w:marTop w:val="0"/>
                  <w:marBottom w:val="0"/>
                  <w:divBdr>
                    <w:top w:val="none" w:sz="0" w:space="0" w:color="auto"/>
                    <w:left w:val="none" w:sz="0" w:space="0" w:color="auto"/>
                    <w:bottom w:val="none" w:sz="0" w:space="0" w:color="auto"/>
                    <w:right w:val="none" w:sz="0" w:space="0" w:color="auto"/>
                  </w:divBdr>
                  <w:divsChild>
                    <w:div w:id="1074166019">
                      <w:marLeft w:val="0"/>
                      <w:marRight w:val="0"/>
                      <w:marTop w:val="0"/>
                      <w:marBottom w:val="60"/>
                      <w:divBdr>
                        <w:top w:val="none" w:sz="0" w:space="0" w:color="auto"/>
                        <w:left w:val="none" w:sz="0" w:space="0" w:color="auto"/>
                        <w:bottom w:val="none" w:sz="0" w:space="0" w:color="auto"/>
                        <w:right w:val="none" w:sz="0" w:space="0" w:color="auto"/>
                      </w:divBdr>
                      <w:divsChild>
                        <w:div w:id="1608581222">
                          <w:marLeft w:val="0"/>
                          <w:marRight w:val="0"/>
                          <w:marTop w:val="0"/>
                          <w:marBottom w:val="0"/>
                          <w:divBdr>
                            <w:top w:val="none" w:sz="0" w:space="0" w:color="auto"/>
                            <w:left w:val="none" w:sz="0" w:space="0" w:color="auto"/>
                            <w:bottom w:val="none" w:sz="0" w:space="0" w:color="auto"/>
                            <w:right w:val="none" w:sz="0" w:space="0" w:color="auto"/>
                          </w:divBdr>
                          <w:divsChild>
                            <w:div w:id="1584678072">
                              <w:marLeft w:val="0"/>
                              <w:marRight w:val="0"/>
                              <w:marTop w:val="0"/>
                              <w:marBottom w:val="0"/>
                              <w:divBdr>
                                <w:top w:val="none" w:sz="0" w:space="0" w:color="auto"/>
                                <w:left w:val="none" w:sz="0" w:space="0" w:color="auto"/>
                                <w:bottom w:val="none" w:sz="0" w:space="0" w:color="auto"/>
                                <w:right w:val="none" w:sz="0" w:space="0" w:color="auto"/>
                              </w:divBdr>
                              <w:divsChild>
                                <w:div w:id="1706712436">
                                  <w:marLeft w:val="0"/>
                                  <w:marRight w:val="0"/>
                                  <w:marTop w:val="0"/>
                                  <w:marBottom w:val="0"/>
                                  <w:divBdr>
                                    <w:top w:val="none" w:sz="0" w:space="0" w:color="auto"/>
                                    <w:left w:val="none" w:sz="0" w:space="0" w:color="auto"/>
                                    <w:bottom w:val="none" w:sz="0" w:space="0" w:color="auto"/>
                                    <w:right w:val="none" w:sz="0" w:space="0" w:color="auto"/>
                                  </w:divBdr>
                                  <w:divsChild>
                                    <w:div w:id="114080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9193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6.emf"/><Relationship Id="rId42" Type="http://schemas.openxmlformats.org/officeDocument/2006/relationships/package" Target="embeddings/Microsoft_Excel_Worksheet15.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8.xlsx"/><Relationship Id="rId84" Type="http://schemas.openxmlformats.org/officeDocument/2006/relationships/package" Target="embeddings/Microsoft_Excel_Worksheet36.xlsx"/><Relationship Id="rId89" Type="http://schemas.openxmlformats.org/officeDocument/2006/relationships/image" Target="media/image40.emf"/><Relationship Id="rId7" Type="http://schemas.openxmlformats.org/officeDocument/2006/relationships/footnotes" Target="footnotes.xml"/><Relationship Id="rId71" Type="http://schemas.openxmlformats.org/officeDocument/2006/relationships/image" Target="media/image31.emf"/><Relationship Id="rId92" Type="http://schemas.openxmlformats.org/officeDocument/2006/relationships/package" Target="embeddings/Microsoft_Excel_Worksheet40.xlsx"/><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0.emf"/><Relationship Id="rId11" Type="http://schemas.openxmlformats.org/officeDocument/2006/relationships/image" Target="media/image2.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5.emf"/><Relationship Id="rId87" Type="http://schemas.openxmlformats.org/officeDocument/2006/relationships/image" Target="media/image39.emf"/><Relationship Id="rId102" Type="http://schemas.openxmlformats.org/officeDocument/2006/relationships/package" Target="embeddings/Microsoft_Excel_Worksheet45.xlsx"/><Relationship Id="rId5" Type="http://schemas.openxmlformats.org/officeDocument/2006/relationships/settings" Target="settings.xml"/><Relationship Id="rId61" Type="http://schemas.openxmlformats.org/officeDocument/2006/relationships/image" Target="media/image26.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image" Target="media/image43.emf"/><Relationship Id="rId19" Type="http://schemas.openxmlformats.org/officeDocument/2006/relationships/image" Target="media/image5.emf"/><Relationship Id="rId14" Type="http://schemas.openxmlformats.org/officeDocument/2006/relationships/package" Target="embeddings/Microsoft_Excel_Worksheet2.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0.emf"/><Relationship Id="rId77" Type="http://schemas.openxmlformats.org/officeDocument/2006/relationships/image" Target="media/image34.emf"/><Relationship Id="rId100" Type="http://schemas.openxmlformats.org/officeDocument/2006/relationships/package" Target="embeddings/Microsoft_Excel_Worksheet44.xlsx"/><Relationship Id="rId8" Type="http://schemas.openxmlformats.org/officeDocument/2006/relationships/endnotes" Target="endnotes.xml"/><Relationship Id="rId51" Type="http://schemas.openxmlformats.org/officeDocument/2006/relationships/image" Target="media/image21.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8.emf"/><Relationship Id="rId93" Type="http://schemas.openxmlformats.org/officeDocument/2006/relationships/image" Target="media/image42.emf"/><Relationship Id="rId98" Type="http://schemas.openxmlformats.org/officeDocument/2006/relationships/package" Target="embeddings/Microsoft_Excel_Worksheet43.xlsx"/><Relationship Id="rId3" Type="http://schemas.openxmlformats.org/officeDocument/2006/relationships/numbering" Target="numbering.xml"/><Relationship Id="rId12" Type="http://schemas.openxmlformats.org/officeDocument/2006/relationships/package" Target="embeddings/Microsoft_Excel_Worksheet1.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image" Target="media/image29.emf"/><Relationship Id="rId103" Type="http://schemas.openxmlformats.org/officeDocument/2006/relationships/fontTable" Target="fontTable.xml"/><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Microsoft_Excel_Worksheet38.xlsx"/><Relationship Id="rId91" Type="http://schemas.openxmlformats.org/officeDocument/2006/relationships/image" Target="media/image41.emf"/><Relationship Id="rId96" Type="http://schemas.openxmlformats.org/officeDocument/2006/relationships/package" Target="embeddings/Microsoft_Excel_Worksheet42.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package" Target="embeddings/Microsoft_Excel_Worksheet.xlsx"/><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3.xlsx"/><Relationship Id="rId81" Type="http://schemas.openxmlformats.org/officeDocument/2006/relationships/image" Target="media/image36.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image" Target="media/image45.emf"/><Relationship Id="rId101" Type="http://schemas.openxmlformats.org/officeDocument/2006/relationships/image" Target="media/image46.emf"/><Relationship Id="rId4" Type="http://schemas.openxmlformats.org/officeDocument/2006/relationships/styles" Target="style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3.xlsx"/><Relationship Id="rId39" Type="http://schemas.openxmlformats.org/officeDocument/2006/relationships/image" Target="media/image15.emf"/><Relationship Id="rId34" Type="http://schemas.openxmlformats.org/officeDocument/2006/relationships/package" Target="embeddings/Microsoft_Excel_Worksheet11.xlsx"/><Relationship Id="rId50" Type="http://schemas.openxmlformats.org/officeDocument/2006/relationships/package" Target="embeddings/Microsoft_Excel_Worksheet19.xlsx"/><Relationship Id="rId55" Type="http://schemas.openxmlformats.org/officeDocument/2006/relationships/image" Target="media/image23.emf"/><Relationship Id="rId76" Type="http://schemas.openxmlformats.org/officeDocument/2006/relationships/package" Target="embeddings/Microsoft_Excel_Worksheet32.xlsx"/><Relationship Id="rId97" Type="http://schemas.openxmlformats.org/officeDocument/2006/relationships/image" Target="media/image44.emf"/><Relationship Id="rId10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t40QsSy5IRpcu/kq17irCi2s2QA==">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4740719-74DE-4EE8-A449-4E6CF2589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5979</TotalTime>
  <Pages>37</Pages>
  <Words>5741</Words>
  <Characters>33876</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 Durkova</dc:creator>
  <cp:lastModifiedBy>Juraj Tobák</cp:lastModifiedBy>
  <cp:revision>24</cp:revision>
  <cp:lastPrinted>2020-03-29T12:46:00Z</cp:lastPrinted>
  <dcterms:created xsi:type="dcterms:W3CDTF">2020-03-03T18:43:00Z</dcterms:created>
  <dcterms:modified xsi:type="dcterms:W3CDTF">2020-03-29T12:54:00Z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