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180"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Poznámky mikro účtovnej jednotky k závierke zostavenej k 31. </w:t>
      </w:r>
      <w:r w:rsidDel="00000000" w:rsidR="00000000" w:rsidRPr="00000000">
        <w:rPr>
          <w:sz w:val="21.989999771118164"/>
          <w:szCs w:val="21.989999771118164"/>
          <w:rtl w:val="0"/>
        </w:rPr>
        <w:t xml:space="preserve">12.  </w:t>
      </w: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2019 </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62.40000000000009" w:right="3619.2"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A. NÁZOV PRÁVNICKEJ OSOBY : GymBeam Team j.s.a. </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24.00000000000091"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B. INFORMÁCIE O PRIJATÝCH POSTUPOCH </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24.00000000000091"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1. Použité postupy účtovania pre podnikateľov a postupy pre zostavenie ÚJ Spoločnosť účtuje a zostavuje účtovnú závierku ako mikro účtovná jednotka podľa zákona o účtovníctve, § 2, ods.5. </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24.00000000000091"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2. Predpoklad pre zostavenie účtovnej závierky Účtovná závierka bola zostavená za predpokladu nepretržitého trvania Spoločnosti. </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158.39999999999918"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C. INFORMÁCIE O ÚDAJOCH V SÚVAHE </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158.39999999999918"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1. Základné imanie je vo výške 100 EUR, emisné ážio vo výške 100 EUR, Podiely v dcérskej účtovnej </w:t>
      </w:r>
      <w:r w:rsidDel="00000000" w:rsidR="00000000" w:rsidRPr="00000000">
        <w:rPr>
          <w:sz w:val="21.989999771118164"/>
          <w:szCs w:val="21.989999771118164"/>
          <w:rtl w:val="0"/>
        </w:rPr>
        <w:t xml:space="preserve">jednotke 200 EUR</w:t>
      </w: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 </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158.39999999999918"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2. Krátkodobé záväzky: Záväzky so zostatkovou dobou splatnosti do jedného roku sú vo výške 84 EUR </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379.20000000000005" w:line="276" w:lineRule="auto"/>
        <w:ind w:left="0" w:right="427.2000000000003" w:firstLine="0"/>
        <w:jc w:val="left"/>
        <w:rPr>
          <w:rFonts w:ascii="Arial" w:cs="Arial" w:eastAsia="Arial" w:hAnsi="Arial"/>
          <w:b w:val="0"/>
          <w:i w:val="0"/>
          <w:smallCaps w:val="0"/>
          <w:strike w:val="0"/>
          <w:color w:val="000000"/>
          <w:sz w:val="21.989999771118164"/>
          <w:szCs w:val="21.989999771118164"/>
          <w:u w:val="none"/>
          <w:shd w:fill="auto" w:val="clear"/>
          <w:vertAlign w:val="baseline"/>
        </w:rPr>
      </w:pPr>
      <w:r w:rsidDel="00000000" w:rsidR="00000000" w:rsidRPr="00000000">
        <w:rPr>
          <w:rFonts w:ascii="Arial" w:cs="Arial" w:eastAsia="Arial" w:hAnsi="Arial"/>
          <w:b w:val="0"/>
          <w:i w:val="0"/>
          <w:smallCaps w:val="0"/>
          <w:strike w:val="0"/>
          <w:color w:val="000000"/>
          <w:sz w:val="21.989999771118164"/>
          <w:szCs w:val="21.989999771118164"/>
          <w:u w:val="none"/>
          <w:shd w:fill="auto" w:val="clear"/>
          <w:vertAlign w:val="baseline"/>
          <w:rtl w:val="0"/>
        </w:rPr>
        <w:t xml:space="preserve">D. INFORMÁCIE O SKUTOČNOSTIACH, KTORÉ NASTALI PO DNI, KU KTORÉMU SA ZOSTAVUJE ÚČTOVNÁ ZÁVIERKA, DO DŇA ZOSTAVENIA ÚČTOVNEJ ZÁVIERKY Po 31.12.2019 nenastali žiadne udalosti, ktoré by mali významný vplyv na verné zobrazenie skutočnosti, ktoré sú predmetom účtovníctva. </w:t>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