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Flexicomm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J. Kozá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čeka 2, 96001 Zvolen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4,9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5,6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áno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tbl>
      <w:tblPr>
        <w:tblInd w:w="108" w:type="dxa"/>
      </w:tblPr>
      <w:tblGrid>
        <w:gridCol w:w="4621"/>
        <w:gridCol w:w="2065"/>
        <w:gridCol w:w="2268"/>
      </w:tblGrid>
      <w:tr>
        <w:trPr>
          <w:trHeight w:val="1" w:hRule="atLeast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doprava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57"/>
        <w:gridCol w:w="2273"/>
        <w:gridCol w:w="2260"/>
        <w:gridCol w:w="2264"/>
      </w:tblGrid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osobný automobil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komunika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zariadenie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optické prístroje a zariadenia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nehmotného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bol ovplyvnený týmito rozhodnutiami: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DHM, ktorého obstarávacia cena  je 1700 EUR a nižšia sa odpisuje jednorázovo pri uvedení do používania.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a danové odpisy sa rovnajú.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 v rámci platného zákona o účtovníctve.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metódy a zásady boli aplikované v rámci platného ZoÚ,  s nasledovnými osobitosťami: 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zmeny zásady</w:t>
            </w:r>
          </w:p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alebo metódy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zmeny</w:t>
            </w: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34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vplyvu na príslušnú zložku majetku, záväzkov, vlastného imania a výsledku hospodárenia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jednotky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25"/>
        <w:gridCol w:w="3007"/>
        <w:gridCol w:w="3022"/>
      </w:tblGrid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1 Informácie o sume a dôvodoch vzniku jednotlivých položiek nákladov alebo </w:t>
        <w:tab/>
        <w:t xml:space="preserve">výnosov,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54124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79123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32926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24414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21198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54709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8942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19688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8942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19688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11490</w:t>
            </w: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Informácia o tvorbe kapitálového fondu z príspevkov: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vytvorila/nevytvorila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1699"/>
        <w:gridCol w:w="1393"/>
        <w:gridCol w:w="1192"/>
        <w:gridCol w:w="1013"/>
        <w:gridCol w:w="1393"/>
        <w:gridCol w:w="1255"/>
        <w:gridCol w:w="1097"/>
      </w:tblGrid>
      <w:tr>
        <w:trPr>
          <w:trHeight w:val="828" w:hRule="auto"/>
          <w:jc w:val="left"/>
        </w:trPr>
        <w:tc>
          <w:tcPr>
            <w:tcW w:w="169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598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745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699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6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b) 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7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ť nemá účtovná jednotka obsahovú náplň.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27.5.2020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