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E4A" w:rsidRDefault="00BC5763" w:rsidP="00BC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540"/>
          <w:tab w:val="left" w:pos="4060"/>
          <w:tab w:val="left" w:pos="7220"/>
          <w:tab w:val="left" w:pos="7740"/>
        </w:tabs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page">
              <wp:posOffset>613410</wp:posOffset>
            </wp:positionH>
            <wp:positionV relativeFrom="page">
              <wp:posOffset>397510</wp:posOffset>
            </wp:positionV>
            <wp:extent cx="1593215" cy="2254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page">
              <wp:posOffset>5545455</wp:posOffset>
            </wp:positionH>
            <wp:positionV relativeFrom="page">
              <wp:posOffset>397510</wp:posOffset>
            </wp:positionV>
            <wp:extent cx="158115" cy="2254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page">
              <wp:posOffset>5833745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page">
              <wp:posOffset>5977255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page">
              <wp:posOffset>6121400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6265545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6409690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6553835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6697345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6841490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6985635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3205480</wp:posOffset>
            </wp:positionH>
            <wp:positionV relativeFrom="page">
              <wp:posOffset>397510</wp:posOffset>
            </wp:positionV>
            <wp:extent cx="158115" cy="2254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3493770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3637280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3781425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3925570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4069715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4213225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4357370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Poznámky Úč MÚJ 3 - 01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IČO</w:t>
      </w:r>
      <w:r>
        <w:rPr>
          <w:rFonts w:ascii="Arial" w:eastAsia="Arial" w:hAnsi="Arial" w:cs="Arial"/>
          <w:sz w:val="20"/>
          <w:szCs w:val="20"/>
        </w:rPr>
        <w:tab/>
      </w:r>
      <w:r w:rsidRPr="00BC5763">
        <w:rPr>
          <w:rFonts w:ascii="Arial" w:eastAsia="Arial" w:hAnsi="Arial" w:cs="Arial"/>
          <w:sz w:val="20"/>
          <w:szCs w:val="20"/>
          <w:bdr w:val="single" w:sz="4" w:space="0" w:color="auto"/>
        </w:rPr>
        <w:t>3  6  8  1  5  7  7  2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DIČ</w:t>
      </w:r>
      <w:r>
        <w:rPr>
          <w:rFonts w:ascii="Arial" w:eastAsia="Arial" w:hAnsi="Arial" w:cs="Arial"/>
          <w:sz w:val="20"/>
          <w:szCs w:val="20"/>
        </w:rPr>
        <w:tab/>
        <w:t>2  0  2  2  4  2  5  2  0  7</w:t>
      </w:r>
    </w:p>
    <w:p w:rsidR="00877E4A" w:rsidRDefault="00877E4A" w:rsidP="00BC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ectPr w:rsidR="00877E4A">
          <w:pgSz w:w="11920" w:h="16845"/>
          <w:pgMar w:top="673" w:right="970" w:bottom="929" w:left="1020" w:header="0" w:footer="0" w:gutter="0"/>
          <w:cols w:space="708" w:equalWidth="0">
            <w:col w:w="9920"/>
          </w:cols>
        </w:sect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320" w:lineRule="exact"/>
        <w:rPr>
          <w:sz w:val="24"/>
          <w:szCs w:val="24"/>
        </w:rPr>
      </w:pPr>
    </w:p>
    <w:p w:rsidR="00877E4A" w:rsidRDefault="00BC5763">
      <w:pPr>
        <w:ind w:left="6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6"/>
          <w:szCs w:val="36"/>
        </w:rPr>
        <w:t>Poznámky k účtovnej závierke za rok 201</w:t>
      </w:r>
      <w:r w:rsidR="00A03B1C">
        <w:rPr>
          <w:rFonts w:ascii="Arial" w:eastAsia="Arial" w:hAnsi="Arial" w:cs="Arial"/>
          <w:b/>
          <w:bCs/>
          <w:sz w:val="36"/>
          <w:szCs w:val="36"/>
        </w:rPr>
        <w:t>9</w:t>
      </w:r>
    </w:p>
    <w:p w:rsidR="00877E4A" w:rsidRDefault="00877E4A">
      <w:pPr>
        <w:spacing w:line="245" w:lineRule="exact"/>
        <w:rPr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7940"/>
      </w:tblGrid>
      <w:tr w:rsidR="00877E4A">
        <w:trPr>
          <w:trHeight w:val="301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Obchodné meno:</w:t>
            </w:r>
          </w:p>
        </w:tc>
        <w:tc>
          <w:tcPr>
            <w:tcW w:w="7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C&amp;F consorcium s.r.o.</w:t>
            </w:r>
          </w:p>
        </w:tc>
      </w:tr>
      <w:tr w:rsidR="00877E4A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</w:tr>
      <w:tr w:rsidR="00877E4A">
        <w:trPr>
          <w:trHeight w:val="28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Sídlo: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Gorkého 14,085 01Bardejov</w:t>
            </w:r>
          </w:p>
        </w:tc>
      </w:tr>
      <w:tr w:rsidR="00877E4A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</w:tr>
      <w:tr w:rsidR="00877E4A">
        <w:trPr>
          <w:trHeight w:val="28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Právna forma: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s.r.o.</w:t>
            </w:r>
          </w:p>
        </w:tc>
      </w:tr>
      <w:tr w:rsidR="00877E4A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</w:tr>
      <w:tr w:rsidR="00877E4A">
        <w:trPr>
          <w:trHeight w:val="264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Dátum vzniku: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08.08.2007</w:t>
            </w:r>
          </w:p>
        </w:tc>
      </w:tr>
      <w:tr w:rsidR="00877E4A">
        <w:trPr>
          <w:trHeight w:val="22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Hlavný predmet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spacing w:line="22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ostatné finančné služby</w:t>
            </w:r>
          </w:p>
        </w:tc>
      </w:tr>
      <w:tr w:rsidR="00877E4A">
        <w:trPr>
          <w:trHeight w:val="25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podnikania: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</w:tr>
      <w:tr w:rsidR="00877E4A">
        <w:trPr>
          <w:trHeight w:val="28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Štaturárny orgán: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Martin Jakubov</w:t>
            </w:r>
          </w:p>
        </w:tc>
      </w:tr>
      <w:tr w:rsidR="00877E4A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</w:tr>
    </w:tbl>
    <w:p w:rsidR="00877E4A" w:rsidRDefault="00877E4A">
      <w:pPr>
        <w:sectPr w:rsidR="00877E4A">
          <w:type w:val="continuous"/>
          <w:pgSz w:w="11920" w:h="16845"/>
          <w:pgMar w:top="673" w:right="970" w:bottom="929" w:left="1020" w:header="0" w:footer="0" w:gutter="0"/>
          <w:cols w:space="708" w:equalWidth="0">
            <w:col w:w="9920"/>
          </w:cols>
        </w:sectPr>
      </w:pPr>
    </w:p>
    <w:p w:rsidR="00877E4A" w:rsidRDefault="00877E4A">
      <w:pPr>
        <w:spacing w:line="1" w:lineRule="exact"/>
        <w:rPr>
          <w:sz w:val="20"/>
          <w:szCs w:val="20"/>
        </w:rPr>
      </w:pPr>
      <w:bookmarkStart w:id="1" w:name="page2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 w:rsidR="00877E4A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Poznámky Úč MÚJ 3 - 01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 w:rsidR="00877E4A" w:rsidRDefault="00BC576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str.2</w:t>
            </w:r>
          </w:p>
        </w:tc>
      </w:tr>
      <w:tr w:rsidR="00877E4A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</w:tr>
    </w:tbl>
    <w:p w:rsidR="00877E4A" w:rsidRDefault="00877E4A">
      <w:pPr>
        <w:spacing w:line="133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 I - (3)</w:t>
      </w:r>
    </w:p>
    <w:p w:rsidR="00877E4A" w:rsidRDefault="00877E4A">
      <w:pPr>
        <w:spacing w:line="56" w:lineRule="exact"/>
        <w:rPr>
          <w:sz w:val="20"/>
          <w:szCs w:val="20"/>
        </w:rPr>
      </w:pPr>
    </w:p>
    <w:p w:rsidR="00877E4A" w:rsidRDefault="00BC5763">
      <w:pPr>
        <w:spacing w:line="274" w:lineRule="auto"/>
        <w:ind w:left="60" w:right="3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39370</wp:posOffset>
            </wp:positionV>
            <wp:extent cx="6849745" cy="18923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E4A" w:rsidRDefault="00877E4A">
      <w:pPr>
        <w:spacing w:line="78" w:lineRule="exact"/>
        <w:rPr>
          <w:sz w:val="20"/>
          <w:szCs w:val="20"/>
        </w:rPr>
      </w:pPr>
    </w:p>
    <w:p w:rsidR="00877E4A" w:rsidRDefault="00BC5763">
      <w:pPr>
        <w:numPr>
          <w:ilvl w:val="0"/>
          <w:numId w:val="1"/>
        </w:numPr>
        <w:tabs>
          <w:tab w:val="left" w:pos="180"/>
        </w:tabs>
        <w:ind w:left="180" w:hanging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účtovná závierka za r.201</w:t>
      </w:r>
      <w:r w:rsidR="00A03B1C"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 xml:space="preserve"> bola schválená </w:t>
      </w:r>
      <w:r w:rsidR="00A03B1C">
        <w:rPr>
          <w:rFonts w:ascii="Arial" w:eastAsia="Arial" w:hAnsi="Arial" w:cs="Arial"/>
          <w:sz w:val="20"/>
          <w:szCs w:val="20"/>
        </w:rPr>
        <w:t>12.6.2019</w:t>
      </w:r>
    </w:p>
    <w:p w:rsidR="00877E4A" w:rsidRDefault="00877E4A">
      <w:pPr>
        <w:spacing w:line="51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ind w:left="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 I - (4)</w:t>
      </w:r>
    </w:p>
    <w:p w:rsidR="00877E4A" w:rsidRDefault="00877E4A">
      <w:pPr>
        <w:spacing w:line="55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ind w:left="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Právny dôvod na zostavenie účtovnej závierky.</w:t>
      </w:r>
    </w:p>
    <w:p w:rsidR="00877E4A" w:rsidRDefault="00877E4A">
      <w:pPr>
        <w:spacing w:line="53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numPr>
          <w:ilvl w:val="0"/>
          <w:numId w:val="1"/>
        </w:numPr>
        <w:tabs>
          <w:tab w:val="left" w:pos="180"/>
        </w:tabs>
        <w:ind w:left="180" w:hanging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účtovná jednotka zostavila riad</w:t>
      </w:r>
      <w:r w:rsidR="00A03B1C">
        <w:rPr>
          <w:rFonts w:ascii="Arial" w:eastAsia="Arial" w:hAnsi="Arial" w:cs="Arial"/>
          <w:sz w:val="20"/>
          <w:szCs w:val="20"/>
        </w:rPr>
        <w:t>nu účtovnú závierku k 31.12.2019</w:t>
      </w:r>
    </w:p>
    <w:p w:rsidR="00877E4A" w:rsidRDefault="00877E4A">
      <w:pPr>
        <w:spacing w:line="51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ind w:left="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 I - (5)</w:t>
      </w:r>
    </w:p>
    <w:p w:rsidR="00877E4A" w:rsidRDefault="00877E4A">
      <w:pPr>
        <w:spacing w:line="55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ind w:left="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Údaje o skupine, a to:</w:t>
      </w:r>
    </w:p>
    <w:p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-528320</wp:posOffset>
            </wp:positionV>
            <wp:extent cx="6849745" cy="18923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E4A" w:rsidRDefault="00877E4A">
      <w:pPr>
        <w:spacing w:line="208" w:lineRule="exact"/>
        <w:rPr>
          <w:sz w:val="20"/>
          <w:szCs w:val="20"/>
        </w:rPr>
      </w:pPr>
    </w:p>
    <w:p w:rsidR="00877E4A" w:rsidRDefault="00BC5763">
      <w:pPr>
        <w:numPr>
          <w:ilvl w:val="0"/>
          <w:numId w:val="2"/>
        </w:numPr>
        <w:tabs>
          <w:tab w:val="left" w:pos="293"/>
        </w:tabs>
        <w:spacing w:line="274" w:lineRule="auto"/>
        <w:ind w:left="6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obchodné meno a sídlo účtovnej jednotky, ktorá zostavuje konsolidovanú účtovnú závierku za najväčšiu skupinu, ktorej súčasťou je účtovná jednotka ako dcérska účtovná jednotka,</w:t>
      </w:r>
    </w:p>
    <w:p w:rsidR="00877E4A" w:rsidRDefault="00877E4A">
      <w:pPr>
        <w:spacing w:line="162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numPr>
          <w:ilvl w:val="0"/>
          <w:numId w:val="2"/>
        </w:numPr>
        <w:tabs>
          <w:tab w:val="left" w:pos="293"/>
        </w:tabs>
        <w:spacing w:line="256" w:lineRule="auto"/>
        <w:ind w:left="60" w:right="44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:rsidR="00877E4A" w:rsidRDefault="00877E4A">
      <w:pPr>
        <w:spacing w:line="180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numPr>
          <w:ilvl w:val="0"/>
          <w:numId w:val="2"/>
        </w:numPr>
        <w:tabs>
          <w:tab w:val="left" w:pos="280"/>
        </w:tabs>
        <w:ind w:left="280" w:hanging="2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adresa, kde sa môže vyžiadať kópia konsolidovaných účtovných závierok uvedených v písmenách a) a b),</w:t>
      </w:r>
    </w:p>
    <w:p w:rsidR="00877E4A" w:rsidRDefault="00877E4A">
      <w:pPr>
        <w:spacing w:line="228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numPr>
          <w:ilvl w:val="0"/>
          <w:numId w:val="2"/>
        </w:numPr>
        <w:tabs>
          <w:tab w:val="left" w:pos="293"/>
        </w:tabs>
        <w:spacing w:line="274" w:lineRule="auto"/>
        <w:ind w:left="60" w:right="116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</w:p>
    <w:p w:rsidR="00877E4A" w:rsidRDefault="00877E4A">
      <w:pPr>
        <w:spacing w:line="162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numPr>
          <w:ilvl w:val="1"/>
          <w:numId w:val="2"/>
        </w:numPr>
        <w:tabs>
          <w:tab w:val="left" w:pos="500"/>
        </w:tabs>
        <w:spacing w:line="239" w:lineRule="auto"/>
        <w:ind w:left="500" w:right="920" w:hanging="21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pri oslobodení podľa § 22 ods. 8 zákona obchodné meno a sídlo materskej účtovnej jednotky zostavujúcej konsolidovanú účtovnú závierku podľa osobitných predpisov,12)</w:t>
      </w:r>
    </w:p>
    <w:p w:rsidR="00877E4A" w:rsidRDefault="00BC5763">
      <w:pPr>
        <w:numPr>
          <w:ilvl w:val="1"/>
          <w:numId w:val="2"/>
        </w:numPr>
        <w:tabs>
          <w:tab w:val="left" w:pos="500"/>
        </w:tabs>
        <w:ind w:left="500" w:hanging="21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pri oslobodení podľa § 22 ods. 10 a 12 zákona obchodné meno a sídlo dcérskych účtovných jednotiek.</w:t>
      </w:r>
    </w:p>
    <w:p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22225</wp:posOffset>
            </wp:positionV>
            <wp:extent cx="6849745" cy="3238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E4A" w:rsidRDefault="00877E4A">
      <w:pPr>
        <w:spacing w:line="51" w:lineRule="exact"/>
        <w:rPr>
          <w:sz w:val="20"/>
          <w:szCs w:val="20"/>
        </w:rPr>
      </w:pPr>
    </w:p>
    <w:p w:rsidR="00877E4A" w:rsidRDefault="00BC5763">
      <w:pPr>
        <w:numPr>
          <w:ilvl w:val="0"/>
          <w:numId w:val="3"/>
        </w:numPr>
        <w:tabs>
          <w:tab w:val="left" w:pos="182"/>
        </w:tabs>
        <w:spacing w:line="257" w:lineRule="auto"/>
        <w:ind w:left="6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účtovná jednotka nezostavuje konsolidovanú účtovnú závierku, ani sa nezahrňa do konsolidovanej účtovnej závierky ine spoločnosti.</w:t>
      </w:r>
    </w:p>
    <w:p w:rsidR="00877E4A" w:rsidRDefault="00877E4A">
      <w:pPr>
        <w:spacing w:line="1" w:lineRule="exact"/>
        <w:rPr>
          <w:sz w:val="20"/>
          <w:szCs w:val="20"/>
        </w:rPr>
      </w:pPr>
    </w:p>
    <w:p w:rsidR="00877E4A" w:rsidRDefault="00BC5763">
      <w:pPr>
        <w:spacing w:line="251" w:lineRule="auto"/>
        <w:ind w:left="60" w:right="130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 I - (6) </w:t>
      </w:r>
      <w:r>
        <w:rPr>
          <w:rFonts w:ascii="Arial" w:eastAsia="Arial" w:hAnsi="Arial" w:cs="Arial"/>
          <w:sz w:val="20"/>
          <w:szCs w:val="20"/>
        </w:rPr>
        <w:t>Priemerný prepočítaný počet zamestnancov účtovnej jednotky počas účtovného obdobia, počet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</w:t>
      </w:r>
    </w:p>
    <w:p w:rsidR="00877E4A" w:rsidRDefault="00877E4A">
      <w:pPr>
        <w:spacing w:line="4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Tabuľka 1: Informácie k Čl. I odst. 6 o počte zamestnancov</w:t>
      </w:r>
    </w:p>
    <w:p w:rsidR="00877E4A" w:rsidRDefault="00877E4A">
      <w:pPr>
        <w:spacing w:line="1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3180"/>
        <w:gridCol w:w="3340"/>
        <w:gridCol w:w="30"/>
      </w:tblGrid>
      <w:tr w:rsidR="00877E4A">
        <w:trPr>
          <w:trHeight w:val="255"/>
        </w:trPr>
        <w:tc>
          <w:tcPr>
            <w:tcW w:w="42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15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523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26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3"/>
        </w:trPr>
        <w:tc>
          <w:tcPr>
            <w:tcW w:w="4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56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305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71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 zamestnancov ku dňu, ku ktorému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8"/>
        </w:trPr>
        <w:tc>
          <w:tcPr>
            <w:tcW w:w="4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 zostavuje účtovná závierka, z toho:</w:t>
            </w: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16"/>
        </w:trPr>
        <w:tc>
          <w:tcPr>
            <w:tcW w:w="4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0"/>
                <w:szCs w:val="10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0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32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57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4"/>
                <w:szCs w:val="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4"/>
                <w:szCs w:val="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</w:tbl>
    <w:p w:rsidR="00877E4A" w:rsidRDefault="00877E4A">
      <w:pPr>
        <w:spacing w:line="20" w:lineRule="exact"/>
        <w:rPr>
          <w:sz w:val="20"/>
          <w:szCs w:val="20"/>
        </w:rPr>
      </w:pPr>
    </w:p>
    <w:p w:rsidR="00877E4A" w:rsidRDefault="00BC5763">
      <w:pPr>
        <w:spacing w:line="239" w:lineRule="auto"/>
        <w:ind w:left="60" w:right="1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Čl.II - (2) </w:t>
      </w:r>
      <w:r>
        <w:rPr>
          <w:rFonts w:ascii="Arial" w:eastAsia="Arial" w:hAnsi="Arial" w:cs="Arial"/>
          <w:sz w:val="20"/>
          <w:szCs w:val="20"/>
        </w:rPr>
        <w:t>Informácia o aplikácií účtovných zásad a účtovných metód, ktoré sú dôležité na posúdenie majetku,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</w:t>
      </w:r>
    </w:p>
    <w:p w:rsidR="00877E4A" w:rsidRDefault="00877E4A">
      <w:pPr>
        <w:spacing w:line="3" w:lineRule="exact"/>
        <w:rPr>
          <w:sz w:val="20"/>
          <w:szCs w:val="20"/>
        </w:rPr>
      </w:pPr>
    </w:p>
    <w:p w:rsidR="00877E4A" w:rsidRDefault="00BC5763">
      <w:pPr>
        <w:spacing w:line="301" w:lineRule="auto"/>
        <w:ind w:left="60" w:right="186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a účtovných metód nie sú hodnoty za bezprostredne predchádzajúce účtovné obdobie v jednotlivých súčastiach účtovnej závierky porovnateľné, uvádza sa vysvetlenie o neporovnateľných hodnotách.</w:t>
      </w:r>
    </w:p>
    <w:p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-17145</wp:posOffset>
            </wp:positionV>
            <wp:extent cx="6849745" cy="18986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účtovná jednotka účtuje v sústave PÚ.</w:t>
      </w:r>
    </w:p>
    <w:p w:rsidR="00877E4A" w:rsidRDefault="00877E4A">
      <w:pPr>
        <w:sectPr w:rsidR="00877E4A">
          <w:pgSz w:w="11920" w:h="16845"/>
          <w:pgMar w:top="549" w:right="550" w:bottom="1440" w:left="560" w:header="0" w:footer="0" w:gutter="0"/>
          <w:cols w:space="708" w:equalWidth="0">
            <w:col w:w="10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 w:rsidR="00877E4A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bookmarkStart w:id="2" w:name="page3"/>
            <w:bookmarkEnd w:id="2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Poznámky Úč MÚJ 3 - 01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 w:rsidR="00877E4A" w:rsidRDefault="00BC576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str.3</w:t>
            </w:r>
          </w:p>
        </w:tc>
      </w:tr>
      <w:tr w:rsidR="00877E4A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</w:tr>
    </w:tbl>
    <w:p w:rsidR="00877E4A" w:rsidRDefault="00877E4A">
      <w:pPr>
        <w:spacing w:line="133" w:lineRule="exact"/>
        <w:rPr>
          <w:sz w:val="20"/>
          <w:szCs w:val="20"/>
        </w:rPr>
      </w:pPr>
    </w:p>
    <w:p w:rsidR="00877E4A" w:rsidRDefault="00BC5763">
      <w:pPr>
        <w:ind w:left="460" w:right="1160" w:hanging="38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Čl.II - (4) </w:t>
      </w:r>
      <w:r>
        <w:rPr>
          <w:rFonts w:ascii="Arial" w:eastAsia="Arial" w:hAnsi="Arial" w:cs="Arial"/>
          <w:sz w:val="20"/>
          <w:szCs w:val="20"/>
        </w:rPr>
        <w:t>Spôsob a určenie ocenenia majetku a záväzkov vrátane určenia rozhodujúcich účtovných odhadov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predpokladov, pričom sa zohľadňuje zásada významnosti. Uvádza sa najmä</w:t>
      </w:r>
    </w:p>
    <w:p w:rsidR="00877E4A" w:rsidRDefault="00BC5763">
      <w:pPr>
        <w:numPr>
          <w:ilvl w:val="0"/>
          <w:numId w:val="4"/>
        </w:numPr>
        <w:tabs>
          <w:tab w:val="left" w:pos="293"/>
        </w:tabs>
        <w:spacing w:line="239" w:lineRule="auto"/>
        <w:ind w:left="60" w:right="188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obstarávacia cena, vlastné náklady, menovitá hodnota, reálna hodnota, hodnota zistená metódou vlastného imania, aktivovanie úrokov tvoriacich súčasť ocenenia majetku a záväzkov,</w:t>
      </w:r>
    </w:p>
    <w:p w:rsidR="00877E4A" w:rsidRDefault="00BC5763">
      <w:pPr>
        <w:numPr>
          <w:ilvl w:val="0"/>
          <w:numId w:val="4"/>
        </w:numPr>
        <w:tabs>
          <w:tab w:val="left" w:pos="300"/>
        </w:tabs>
        <w:ind w:left="300" w:hanging="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odhadu zníženia hodnoty majetku a tvorba opravnej položky k majetku,</w:t>
      </w:r>
    </w:p>
    <w:p w:rsidR="00877E4A" w:rsidRDefault="00BC5763">
      <w:pPr>
        <w:numPr>
          <w:ilvl w:val="0"/>
          <w:numId w:val="4"/>
        </w:numPr>
        <w:tabs>
          <w:tab w:val="left" w:pos="280"/>
        </w:tabs>
        <w:ind w:left="280" w:hanging="2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ocenenia záväzkov, stanovenie odhadu ocenenia rezerv,</w:t>
      </w:r>
    </w:p>
    <w:p w:rsidR="00877E4A" w:rsidRDefault="00BC5763">
      <w:pPr>
        <w:numPr>
          <w:ilvl w:val="0"/>
          <w:numId w:val="4"/>
        </w:numPr>
        <w:tabs>
          <w:tab w:val="left" w:pos="293"/>
        </w:tabs>
        <w:spacing w:line="239" w:lineRule="auto"/>
        <w:ind w:left="60" w:right="84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ocenenia finančných nástrojov alebo majetku, ktorý nie je finančným nástrojom pri oceňovaní reálnou hodnotou, a to:</w:t>
      </w:r>
    </w:p>
    <w:p w:rsidR="00877E4A" w:rsidRDefault="00BC5763">
      <w:pPr>
        <w:numPr>
          <w:ilvl w:val="1"/>
          <w:numId w:val="4"/>
        </w:numPr>
        <w:tabs>
          <w:tab w:val="left" w:pos="560"/>
        </w:tabs>
        <w:spacing w:line="239" w:lineRule="auto"/>
        <w:ind w:left="560" w:right="20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ocenenia reálnou hodnotou, pričom sa uvádza aplikácia reálnej hodnoty podľa zákona; pri kvalifikovanom odhade sa uvádza stanovenie významných predpokladov slúžiacich ako základ modelov a postupov ocenenia,</w:t>
      </w:r>
    </w:p>
    <w:p w:rsidR="00877E4A" w:rsidRDefault="00BC5763">
      <w:pPr>
        <w:numPr>
          <w:ilvl w:val="1"/>
          <w:numId w:val="4"/>
        </w:numPr>
        <w:tabs>
          <w:tab w:val="left" w:pos="560"/>
        </w:tabs>
        <w:spacing w:line="239" w:lineRule="auto"/>
        <w:ind w:left="56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 každú kategóriu finančných nástrojov alebo majetku, ktorý nie je finančným nástrojom sa uvádza reálna hodnota a údaj o tom, v akej sume sa zmeny reálnej hodnoty zahrnuli do výkazu ziskov a strát a v akej sume sa zahrnuli do vlastného imania ako oceňovacie rozdiely,</w:t>
      </w:r>
    </w:p>
    <w:p w:rsidR="00877E4A" w:rsidRDefault="00BC5763">
      <w:pPr>
        <w:numPr>
          <w:ilvl w:val="1"/>
          <w:numId w:val="4"/>
        </w:numPr>
        <w:tabs>
          <w:tab w:val="left" w:pos="560"/>
        </w:tabs>
        <w:spacing w:line="239" w:lineRule="auto"/>
        <w:ind w:left="560" w:right="4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 každý druh derivátových finančných nástrojov informácie o rozsahu a podstate týchto nástrojov vrátane hlavnýc podmienok a okolností, ktoré môžu ovplyvniť sumu, časový priebeh a mieru istoty budúcich peňažných tokov,</w:t>
      </w:r>
    </w:p>
    <w:p w:rsidR="00877E4A" w:rsidRDefault="00BC5763">
      <w:pPr>
        <w:numPr>
          <w:ilvl w:val="0"/>
          <w:numId w:val="4"/>
        </w:numPr>
        <w:tabs>
          <w:tab w:val="left" w:pos="300"/>
        </w:tabs>
        <w:ind w:left="300" w:hanging="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ocenenia finančných nástrojov pri oceňovaní obstarávacou cenou alebo vlastnými nákladmi, a to:</w:t>
      </w:r>
    </w:p>
    <w:p w:rsidR="00877E4A" w:rsidRDefault="00BC5763">
      <w:pPr>
        <w:numPr>
          <w:ilvl w:val="1"/>
          <w:numId w:val="4"/>
        </w:numPr>
        <w:tabs>
          <w:tab w:val="left" w:pos="560"/>
        </w:tabs>
        <w:spacing w:line="239" w:lineRule="auto"/>
        <w:ind w:left="560" w:right="44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 každý druh derivátových finančných nástrojov sa uvádza reálna hodnota týchto finančných nástrojov, ak sa môže spoľahlivo určiť ako trhová cena a informácia o rozsahu a charaktere týchto nástrojov,</w:t>
      </w:r>
    </w:p>
    <w:p w:rsidR="00877E4A" w:rsidRDefault="00BC5763">
      <w:pPr>
        <w:numPr>
          <w:ilvl w:val="1"/>
          <w:numId w:val="4"/>
        </w:numPr>
        <w:tabs>
          <w:tab w:val="left" w:pos="560"/>
        </w:tabs>
        <w:ind w:left="56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pri dlhodobom finančnom majetku, ktorý sa vykazuje vo vyššej hodnote ako je jeho reálna hodnota, sa uvádza</w:t>
      </w:r>
    </w:p>
    <w:p w:rsidR="00877E4A" w:rsidRDefault="00BC5763">
      <w:pPr>
        <w:spacing w:line="239" w:lineRule="auto"/>
        <w:ind w:left="900" w:right="400" w:hanging="27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2a. účtovná hodnota a reálna hodnota za jednotlivé položky majetku alebo skupiny týchto jednotlivých položiek majetku,</w:t>
      </w:r>
    </w:p>
    <w:p w:rsidR="00877E4A" w:rsidRDefault="00BC5763">
      <w:pPr>
        <w:spacing w:line="239" w:lineRule="auto"/>
        <w:ind w:left="960" w:right="640" w:hanging="333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2b. dôvod pre nezníženie účtovnej hodnoty vrátane povahy dôkazov pre predpoklad, že sa účtovná hodnota opätovne dosiahne,</w:t>
      </w:r>
    </w:p>
    <w:p w:rsidR="00877E4A" w:rsidRDefault="00BC5763">
      <w:pPr>
        <w:numPr>
          <w:ilvl w:val="0"/>
          <w:numId w:val="5"/>
        </w:numPr>
        <w:tabs>
          <w:tab w:val="left" w:pos="238"/>
        </w:tabs>
        <w:spacing w:line="239" w:lineRule="auto"/>
        <w:ind w:left="60" w:right="60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tvorba odpisového plánu pre dlhodobý majetok, pričom sa uvádza doba odpisovania, sadzby odpisov a odpisové metódy pre účtovné odpisy,</w:t>
      </w:r>
    </w:p>
    <w:p w:rsidR="00877E4A" w:rsidRDefault="00BC5763">
      <w:pPr>
        <w:numPr>
          <w:ilvl w:val="0"/>
          <w:numId w:val="5"/>
        </w:numPr>
        <w:tabs>
          <w:tab w:val="left" w:pos="300"/>
        </w:tabs>
        <w:ind w:left="300" w:hanging="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informácia o poskytnutých dotáciách a pri dotáciách na obstaranie majetku sa uvedú zložky majetku a ich ocenenie.</w:t>
      </w:r>
    </w:p>
    <w:p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8255</wp:posOffset>
            </wp:positionV>
            <wp:extent cx="6849745" cy="46672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E4A" w:rsidRDefault="00877E4A">
      <w:pPr>
        <w:spacing w:line="29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'- dlhodobý hmotný majetok firma nevlastní.</w:t>
      </w:r>
    </w:p>
    <w:p w:rsidR="00877E4A" w:rsidRDefault="00BC5763">
      <w:pPr>
        <w:numPr>
          <w:ilvl w:val="0"/>
          <w:numId w:val="6"/>
        </w:numPr>
        <w:tabs>
          <w:tab w:val="left" w:pos="180"/>
        </w:tabs>
        <w:ind w:left="180" w:hanging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zásoby v r.2016 neboli obstaravané</w:t>
      </w:r>
    </w:p>
    <w:p w:rsidR="00877E4A" w:rsidRDefault="00BC5763">
      <w:pPr>
        <w:numPr>
          <w:ilvl w:val="0"/>
          <w:numId w:val="6"/>
        </w:numPr>
        <w:tabs>
          <w:tab w:val="left" w:pos="180"/>
        </w:tabs>
        <w:ind w:left="180" w:hanging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záväzky finančný majetok boli oceňované menovitou hodnotou.'</w:t>
      </w:r>
    </w:p>
    <w:p w:rsidR="00877E4A" w:rsidRDefault="00877E4A">
      <w:pPr>
        <w:spacing w:line="32" w:lineRule="exact"/>
        <w:rPr>
          <w:sz w:val="20"/>
          <w:szCs w:val="20"/>
        </w:rPr>
      </w:pPr>
    </w:p>
    <w:p w:rsidR="00877E4A" w:rsidRDefault="00BC5763">
      <w:pPr>
        <w:spacing w:line="236" w:lineRule="auto"/>
        <w:ind w:left="60" w:right="5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Čl.III - p) </w:t>
      </w:r>
      <w:r>
        <w:rPr>
          <w:rFonts w:ascii="Arial" w:eastAsia="Arial" w:hAnsi="Arial" w:cs="Arial"/>
          <w:sz w:val="20"/>
          <w:szCs w:val="20"/>
        </w:rPr>
        <w:t>najvýznamnejších položkách pohľadávok, pričom sa tiež uvádzajú opravné položky za účtovné obdobie, 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uvedením stavu na začiatku účtovného obdobia, tvorba, zúčtovanie opravných položiek a stav na konci účtovného obdobia a osobitne sa uvádza dôvod ich tvorby a zúčtovania,</w:t>
      </w:r>
    </w:p>
    <w:p w:rsidR="00877E4A" w:rsidRDefault="00877E4A">
      <w:pPr>
        <w:spacing w:line="2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18: Informácie k Čl. III odst. 1 písm. p) o vývoji OP k pohľadávkam</w:t>
      </w:r>
    </w:p>
    <w:p w:rsidR="00877E4A" w:rsidRDefault="00877E4A">
      <w:pPr>
        <w:spacing w:line="1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640"/>
        <w:gridCol w:w="1640"/>
        <w:gridCol w:w="1640"/>
        <w:gridCol w:w="1540"/>
        <w:gridCol w:w="1580"/>
        <w:gridCol w:w="30"/>
      </w:tblGrid>
      <w:tr w:rsidR="00877E4A">
        <w:trPr>
          <w:trHeight w:val="2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8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right="13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2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8"/>
                <w:szCs w:val="18"/>
              </w:rPr>
              <w:t>Stav OP na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Zúčtovanie OP z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8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Zúčtovanie OP z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8"/>
                <w:szCs w:val="18"/>
              </w:rPr>
              <w:t>dôvodu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Stav OP na konci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začiatku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dôvodu zániku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vyradenia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účtovného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8"/>
                <w:szCs w:val="18"/>
              </w:rPr>
              <w:t>účtovného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opodstatnenosti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majetku z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obdobia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obdobia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3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účtovníctva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1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b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7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d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e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f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36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A03B1C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6135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6135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28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0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voči dcérskej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10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účtovnej jednotke a materskej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40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účtovnej jednotke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1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Ostatné pohľadávky v rámci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2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kons. celku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2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voči spoločníkom,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2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členom a združeniu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7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3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8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A03B1C" w:rsidP="00A03B1C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6135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6135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35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</w:tbl>
    <w:p w:rsidR="00877E4A" w:rsidRDefault="00877E4A">
      <w:pPr>
        <w:sectPr w:rsidR="00877E4A">
          <w:pgSz w:w="11920" w:h="16845"/>
          <w:pgMar w:top="549" w:right="550" w:bottom="1440" w:left="560" w:header="0" w:footer="0" w:gutter="0"/>
          <w:cols w:space="708" w:equalWidth="0">
            <w:col w:w="10800"/>
          </w:cols>
        </w:sectPr>
      </w:pPr>
    </w:p>
    <w:p w:rsidR="00877E4A" w:rsidRDefault="00877E4A">
      <w:pPr>
        <w:spacing w:line="1" w:lineRule="exact"/>
        <w:rPr>
          <w:sz w:val="20"/>
          <w:szCs w:val="20"/>
        </w:rPr>
      </w:pPr>
      <w:bookmarkStart w:id="3" w:name="page4"/>
      <w:bookmarkEnd w:id="3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900"/>
        <w:gridCol w:w="700"/>
        <w:gridCol w:w="40"/>
        <w:gridCol w:w="180"/>
        <w:gridCol w:w="220"/>
        <w:gridCol w:w="240"/>
        <w:gridCol w:w="220"/>
        <w:gridCol w:w="220"/>
        <w:gridCol w:w="240"/>
        <w:gridCol w:w="220"/>
        <w:gridCol w:w="220"/>
        <w:gridCol w:w="460"/>
        <w:gridCol w:w="140"/>
        <w:gridCol w:w="1100"/>
        <w:gridCol w:w="180"/>
        <w:gridCol w:w="220"/>
        <w:gridCol w:w="220"/>
        <w:gridCol w:w="240"/>
        <w:gridCol w:w="40"/>
        <w:gridCol w:w="80"/>
        <w:gridCol w:w="100"/>
        <w:gridCol w:w="240"/>
        <w:gridCol w:w="220"/>
        <w:gridCol w:w="220"/>
        <w:gridCol w:w="240"/>
        <w:gridCol w:w="220"/>
        <w:gridCol w:w="220"/>
        <w:gridCol w:w="100"/>
        <w:gridCol w:w="640"/>
        <w:gridCol w:w="30"/>
      </w:tblGrid>
      <w:tr w:rsidR="00877E4A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Poznámky Úč MÚJ 3 - 01</w:t>
            </w:r>
          </w:p>
        </w:tc>
        <w:tc>
          <w:tcPr>
            <w:tcW w:w="9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IČO</w:t>
            </w:r>
          </w:p>
        </w:tc>
        <w:tc>
          <w:tcPr>
            <w:tcW w:w="2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56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str.4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61"/>
        </w:trPr>
        <w:tc>
          <w:tcPr>
            <w:tcW w:w="6520" w:type="dxa"/>
            <w:gridSpan w:val="14"/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Čl.III - q)</w:t>
            </w:r>
            <w:r>
              <w:rPr>
                <w:rFonts w:ascii="Arial" w:eastAsia="Arial" w:hAnsi="Arial" w:cs="Arial"/>
                <w:sz w:val="20"/>
                <w:szCs w:val="20"/>
              </w:rPr>
              <w:t>hodnote pohľadávok do lehoty splatnosti a po lehote splatnosti,</w:t>
            </w: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6"/>
        </w:trPr>
        <w:tc>
          <w:tcPr>
            <w:tcW w:w="7620" w:type="dxa"/>
            <w:gridSpan w:val="1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Tabuľka 19: Informácie k Čl. III odst.1 písm. q) o vekovej štruktúre pohľadávok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85"/>
        </w:trPr>
        <w:tc>
          <w:tcPr>
            <w:tcW w:w="3420" w:type="dxa"/>
            <w:gridSpan w:val="2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1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8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6"/>
            <w:vAlign w:val="bottom"/>
          </w:tcPr>
          <w:p w:rsidR="00877E4A" w:rsidRDefault="00BC5763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8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3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9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20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10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ind w:left="68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8"/>
                <w:szCs w:val="18"/>
              </w:rPr>
              <w:t>c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2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4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Pohľadávka voči dcérskej účtovnej jednotke a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materskej účtovnej jednotke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29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Ostatné pohľadávky v rámci konsolidovaného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celku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8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2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A03B1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6135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6135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4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Pohľadávka voči dcérskej účtovnej jednotke a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materskej účtovnej jednotke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29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Ostatné pohľadávky v rámci konsolidovaného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celku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8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492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492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ind w:right="100"/>
              <w:jc w:val="right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94"/>
        </w:trPr>
        <w:tc>
          <w:tcPr>
            <w:tcW w:w="6520" w:type="dxa"/>
            <w:gridSpan w:val="14"/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Čl.III - t)</w:t>
            </w:r>
            <w:r>
              <w:rPr>
                <w:rFonts w:ascii="Arial" w:eastAsia="Arial" w:hAnsi="Arial" w:cs="Arial"/>
                <w:sz w:val="20"/>
                <w:szCs w:val="20"/>
              </w:rPr>
              <w:t>zložkách krátkodobého finančného majetku,</w:t>
            </w: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6"/>
        </w:trPr>
        <w:tc>
          <w:tcPr>
            <w:tcW w:w="8520" w:type="dxa"/>
            <w:gridSpan w:val="20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Tabuľka 21: Informácie k Čl. III odst.1 písm t) o krátkodobom finančnom majetku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5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0" w:type="dxa"/>
            <w:vAlign w:val="bottom"/>
          </w:tcPr>
          <w:p w:rsidR="00877E4A" w:rsidRDefault="00877E4A"/>
        </w:tc>
        <w:tc>
          <w:tcPr>
            <w:tcW w:w="40" w:type="dxa"/>
            <w:vAlign w:val="bottom"/>
          </w:tcPr>
          <w:p w:rsidR="00877E4A" w:rsidRDefault="00877E4A"/>
        </w:tc>
        <w:tc>
          <w:tcPr>
            <w:tcW w:w="180" w:type="dxa"/>
            <w:vAlign w:val="bottom"/>
          </w:tcPr>
          <w:p w:rsidR="00877E4A" w:rsidRDefault="00877E4A"/>
        </w:tc>
        <w:tc>
          <w:tcPr>
            <w:tcW w:w="220" w:type="dxa"/>
            <w:vAlign w:val="bottom"/>
          </w:tcPr>
          <w:p w:rsidR="00877E4A" w:rsidRDefault="00877E4A"/>
        </w:tc>
        <w:tc>
          <w:tcPr>
            <w:tcW w:w="240" w:type="dxa"/>
            <w:vAlign w:val="bottom"/>
          </w:tcPr>
          <w:p w:rsidR="00877E4A" w:rsidRDefault="00877E4A"/>
        </w:tc>
        <w:tc>
          <w:tcPr>
            <w:tcW w:w="220" w:type="dxa"/>
            <w:vAlign w:val="bottom"/>
          </w:tcPr>
          <w:p w:rsidR="00877E4A" w:rsidRDefault="00877E4A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vAlign w:val="bottom"/>
          </w:tcPr>
          <w:p w:rsidR="00877E4A" w:rsidRDefault="00877E4A"/>
        </w:tc>
        <w:tc>
          <w:tcPr>
            <w:tcW w:w="2140" w:type="dxa"/>
            <w:gridSpan w:val="5"/>
            <w:vMerge w:val="restart"/>
            <w:vAlign w:val="bottom"/>
          </w:tcPr>
          <w:p w:rsidR="00877E4A" w:rsidRDefault="00BC576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18"/>
                <w:szCs w:val="18"/>
              </w:rPr>
              <w:t>Bežné účtovné obdobie</w:t>
            </w:r>
          </w:p>
        </w:tc>
        <w:tc>
          <w:tcPr>
            <w:tcW w:w="180" w:type="dxa"/>
            <w:vAlign w:val="bottom"/>
          </w:tcPr>
          <w:p w:rsidR="00877E4A" w:rsidRDefault="00877E4A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780" w:type="dxa"/>
            <w:gridSpan w:val="13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3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gridSpan w:val="5"/>
            <w:vMerge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8"/>
            <w:vMerge w:val="restart"/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520" w:type="dxa"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gridSpan w:val="8"/>
            <w:vMerge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9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5240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06"/>
        </w:trPr>
        <w:tc>
          <w:tcPr>
            <w:tcW w:w="52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spacing w:line="20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Vkladové účty v banke alebo v pobočke zahraničnej banky</w:t>
            </w: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termínované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Peniaze na ceste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0"/>
        </w:trPr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gridSpan w:val="9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07"/>
        </w:trPr>
        <w:tc>
          <w:tcPr>
            <w:tcW w:w="2520" w:type="dxa"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gridSpan w:val="9"/>
            <w:vAlign w:val="bottom"/>
          </w:tcPr>
          <w:p w:rsidR="00877E4A" w:rsidRDefault="00BC5763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Bezprostredne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10"/>
        </w:trPr>
        <w:tc>
          <w:tcPr>
            <w:tcW w:w="2520" w:type="dxa"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4000" w:type="dxa"/>
            <w:gridSpan w:val="13"/>
            <w:vAlign w:val="bottom"/>
          </w:tcPr>
          <w:p w:rsidR="00877E4A" w:rsidRDefault="00BC5763">
            <w:pPr>
              <w:ind w:right="14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Názov položky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780" w:type="dxa"/>
            <w:gridSpan w:val="13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3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predchádzajúce účtovné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4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7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obdobie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0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540" w:type="dxa"/>
            <w:gridSpan w:val="14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2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Zo štatutárnych a ostatných fondov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 nerozdeleného zisku minulých období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Úhrada straty spoločníkmi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A03B1C">
            <w:r>
              <w:t>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</w:tbl>
    <w:p w:rsidR="00877E4A" w:rsidRDefault="00877E4A">
      <w:pPr>
        <w:sectPr w:rsidR="00877E4A">
          <w:pgSz w:w="11920" w:h="16845"/>
          <w:pgMar w:top="549" w:right="550" w:bottom="1440" w:left="560" w:header="0" w:footer="0" w:gutter="0"/>
          <w:cols w:space="708" w:equalWidth="0">
            <w:col w:w="10800"/>
          </w:cols>
        </w:sectPr>
      </w:pPr>
    </w:p>
    <w:p w:rsidR="00877E4A" w:rsidRDefault="00877E4A">
      <w:pPr>
        <w:spacing w:line="1" w:lineRule="exact"/>
        <w:rPr>
          <w:sz w:val="20"/>
          <w:szCs w:val="20"/>
        </w:rPr>
      </w:pPr>
      <w:bookmarkStart w:id="4" w:name="page5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 w:rsidR="00877E4A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Poznámky Úč MÚJ 3 - 01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 w:rsidR="00877E4A" w:rsidRDefault="00BC576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str.5</w:t>
            </w:r>
          </w:p>
        </w:tc>
      </w:tr>
      <w:tr w:rsidR="00877E4A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</w:tr>
    </w:tbl>
    <w:p w:rsidR="00877E4A" w:rsidRDefault="00877E4A">
      <w:pPr>
        <w:spacing w:line="133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Čl.III - (2) - c)</w:t>
      </w:r>
      <w:r>
        <w:rPr>
          <w:rFonts w:ascii="Arial" w:eastAsia="Arial" w:hAnsi="Arial" w:cs="Arial"/>
          <w:sz w:val="20"/>
          <w:szCs w:val="20"/>
        </w:rPr>
        <w:t>výške záväzkov do lehoty splatnosti a po lehote splatnosti,</w:t>
      </w:r>
    </w:p>
    <w:p w:rsidR="00877E4A" w:rsidRDefault="00877E4A">
      <w:pPr>
        <w:spacing w:line="1" w:lineRule="exact"/>
        <w:rPr>
          <w:sz w:val="20"/>
          <w:szCs w:val="20"/>
        </w:rPr>
      </w:pPr>
    </w:p>
    <w:p w:rsidR="00877E4A" w:rsidRDefault="00BC5763">
      <w:pPr>
        <w:spacing w:line="233" w:lineRule="auto"/>
        <w:ind w:left="280" w:right="40" w:hanging="221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Čl.III - (2) - d)</w:t>
      </w:r>
      <w:r>
        <w:rPr>
          <w:rFonts w:ascii="Arial" w:eastAsia="Arial" w:hAnsi="Arial" w:cs="Arial"/>
          <w:sz w:val="20"/>
          <w:szCs w:val="20"/>
        </w:rPr>
        <w:t>štruktúre záväzkov podľa zostatkovej doby splatnosti v členení v nadväznosti na položky súvahy; uvádza sa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hodnota záväzkov so zostatkovou dobou splatnosti viac ako päť rokov,</w:t>
      </w:r>
    </w:p>
    <w:p w:rsidR="00877E4A" w:rsidRDefault="00877E4A">
      <w:pPr>
        <w:spacing w:line="1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26: Informácie k Čl. III odst. 2 písm. c) a d) o záväzkoch</w:t>
      </w:r>
    </w:p>
    <w:p w:rsidR="00877E4A" w:rsidRDefault="00877E4A">
      <w:pPr>
        <w:spacing w:line="2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2780"/>
        <w:gridCol w:w="2780"/>
        <w:gridCol w:w="30"/>
      </w:tblGrid>
      <w:tr w:rsidR="00877E4A">
        <w:trPr>
          <w:trHeight w:val="256"/>
        </w:trPr>
        <w:tc>
          <w:tcPr>
            <w:tcW w:w="52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3"/>
        </w:trPr>
        <w:tc>
          <w:tcPr>
            <w:tcW w:w="5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6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0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2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15097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15097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04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spacing w:line="204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so zostatkovou dobou splatnosti do jedného roka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5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vrátane</w:t>
            </w: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0"/>
        </w:trPr>
        <w:tc>
          <w:tcPr>
            <w:tcW w:w="52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15007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15097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</w:tbl>
    <w:p w:rsidR="00877E4A" w:rsidRDefault="00877E4A">
      <w:pPr>
        <w:spacing w:line="348" w:lineRule="exact"/>
        <w:rPr>
          <w:sz w:val="20"/>
          <w:szCs w:val="20"/>
        </w:rPr>
      </w:pPr>
    </w:p>
    <w:p w:rsidR="00877E4A" w:rsidRDefault="00BC5763">
      <w:pPr>
        <w:spacing w:line="259" w:lineRule="auto"/>
        <w:ind w:left="6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 xml:space="preserve">Čl. IV - (4) </w:t>
      </w:r>
      <w:r>
        <w:rPr>
          <w:rFonts w:ascii="Arial" w:eastAsia="Arial" w:hAnsi="Arial" w:cs="Arial"/>
          <w:sz w:val="19"/>
          <w:szCs w:val="19"/>
        </w:rPr>
        <w:t>V poznámkach sa uvádza členenie čistého obratu podľa § 2 ods. 14 zákona podľa jednotlivých typov výrobkov,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tovarov, služieb alebo iných činností účtovnej jednotky a hlavných geografických oblastí odbytu, ak sa tieto činnosti</w:t>
      </w:r>
    </w:p>
    <w:p w:rsidR="00877E4A" w:rsidRDefault="00BC5763">
      <w:pPr>
        <w:spacing w:line="254" w:lineRule="auto"/>
        <w:ind w:left="340" w:right="4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</w:t>
      </w: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47: Informácie k čl. IV odst. 4 o čistom obrate</w:t>
      </w:r>
    </w:p>
    <w:p w:rsidR="00877E4A" w:rsidRDefault="00877E4A">
      <w:pPr>
        <w:spacing w:line="1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2780"/>
        <w:gridCol w:w="2780"/>
        <w:gridCol w:w="30"/>
      </w:tblGrid>
      <w:tr w:rsidR="00877E4A">
        <w:trPr>
          <w:trHeight w:val="256"/>
        </w:trPr>
        <w:tc>
          <w:tcPr>
            <w:tcW w:w="52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3"/>
        </w:trPr>
        <w:tc>
          <w:tcPr>
            <w:tcW w:w="5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6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Tržby za vlastné výrobky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Tržby z predaja služieb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Tržby za tovar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Výnosy z nehnuteľností na predaj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bookmarkStart w:id="5" w:name="_GoBack"/>
            <w:bookmarkEnd w:id="5"/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</w:tbl>
    <w:p w:rsidR="00877E4A" w:rsidRDefault="00877E4A">
      <w:pPr>
        <w:spacing w:line="1" w:lineRule="exact"/>
        <w:rPr>
          <w:sz w:val="20"/>
          <w:szCs w:val="20"/>
        </w:rPr>
      </w:pPr>
    </w:p>
    <w:sectPr w:rsidR="00877E4A">
      <w:pgSz w:w="11920" w:h="16845"/>
      <w:pgMar w:top="549" w:right="550" w:bottom="1440" w:left="560" w:header="0" w:footer="0" w:gutter="0"/>
      <w:cols w:space="708" w:equalWidth="0">
        <w:col w:w="10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E1F29"/>
    <w:multiLevelType w:val="hybridMultilevel"/>
    <w:tmpl w:val="B8A06480"/>
    <w:lvl w:ilvl="0" w:tplc="F75C0E8E">
      <w:start w:val="1"/>
      <w:numFmt w:val="bullet"/>
      <w:lvlText w:val="-"/>
      <w:lvlJc w:val="left"/>
    </w:lvl>
    <w:lvl w:ilvl="1" w:tplc="BE0A1A0E">
      <w:numFmt w:val="decimal"/>
      <w:lvlText w:val=""/>
      <w:lvlJc w:val="left"/>
    </w:lvl>
    <w:lvl w:ilvl="2" w:tplc="DD9AEBD0">
      <w:numFmt w:val="decimal"/>
      <w:lvlText w:val=""/>
      <w:lvlJc w:val="left"/>
    </w:lvl>
    <w:lvl w:ilvl="3" w:tplc="2DAEB788">
      <w:numFmt w:val="decimal"/>
      <w:lvlText w:val=""/>
      <w:lvlJc w:val="left"/>
    </w:lvl>
    <w:lvl w:ilvl="4" w:tplc="8D08CC74">
      <w:numFmt w:val="decimal"/>
      <w:lvlText w:val=""/>
      <w:lvlJc w:val="left"/>
    </w:lvl>
    <w:lvl w:ilvl="5" w:tplc="00D685C4">
      <w:numFmt w:val="decimal"/>
      <w:lvlText w:val=""/>
      <w:lvlJc w:val="left"/>
    </w:lvl>
    <w:lvl w:ilvl="6" w:tplc="54861368">
      <w:numFmt w:val="decimal"/>
      <w:lvlText w:val=""/>
      <w:lvlJc w:val="left"/>
    </w:lvl>
    <w:lvl w:ilvl="7" w:tplc="D15425CA">
      <w:numFmt w:val="decimal"/>
      <w:lvlText w:val=""/>
      <w:lvlJc w:val="left"/>
    </w:lvl>
    <w:lvl w:ilvl="8" w:tplc="242876FE">
      <w:numFmt w:val="decimal"/>
      <w:lvlText w:val=""/>
      <w:lvlJc w:val="left"/>
    </w:lvl>
  </w:abstractNum>
  <w:abstractNum w:abstractNumId="1">
    <w:nsid w:val="2AE8944A"/>
    <w:multiLevelType w:val="hybridMultilevel"/>
    <w:tmpl w:val="D062C4CE"/>
    <w:lvl w:ilvl="0" w:tplc="AA609BAC">
      <w:start w:val="1"/>
      <w:numFmt w:val="bullet"/>
      <w:lvlText w:val="-"/>
      <w:lvlJc w:val="left"/>
    </w:lvl>
    <w:lvl w:ilvl="1" w:tplc="887C8B6A">
      <w:numFmt w:val="decimal"/>
      <w:lvlText w:val=""/>
      <w:lvlJc w:val="left"/>
    </w:lvl>
    <w:lvl w:ilvl="2" w:tplc="0A34BEFC">
      <w:numFmt w:val="decimal"/>
      <w:lvlText w:val=""/>
      <w:lvlJc w:val="left"/>
    </w:lvl>
    <w:lvl w:ilvl="3" w:tplc="3F9EDE18">
      <w:numFmt w:val="decimal"/>
      <w:lvlText w:val=""/>
      <w:lvlJc w:val="left"/>
    </w:lvl>
    <w:lvl w:ilvl="4" w:tplc="CBB0B710">
      <w:numFmt w:val="decimal"/>
      <w:lvlText w:val=""/>
      <w:lvlJc w:val="left"/>
    </w:lvl>
    <w:lvl w:ilvl="5" w:tplc="7BE0C55E">
      <w:numFmt w:val="decimal"/>
      <w:lvlText w:val=""/>
      <w:lvlJc w:val="left"/>
    </w:lvl>
    <w:lvl w:ilvl="6" w:tplc="37704538">
      <w:numFmt w:val="decimal"/>
      <w:lvlText w:val=""/>
      <w:lvlJc w:val="left"/>
    </w:lvl>
    <w:lvl w:ilvl="7" w:tplc="03C030E4">
      <w:numFmt w:val="decimal"/>
      <w:lvlText w:val=""/>
      <w:lvlJc w:val="left"/>
    </w:lvl>
    <w:lvl w:ilvl="8" w:tplc="14FA2142">
      <w:numFmt w:val="decimal"/>
      <w:lvlText w:val=""/>
      <w:lvlJc w:val="left"/>
    </w:lvl>
  </w:abstractNum>
  <w:abstractNum w:abstractNumId="2">
    <w:nsid w:val="3D1B58BA"/>
    <w:multiLevelType w:val="hybridMultilevel"/>
    <w:tmpl w:val="30E40F90"/>
    <w:lvl w:ilvl="0" w:tplc="607AACA4">
      <w:start w:val="6"/>
      <w:numFmt w:val="lowerLetter"/>
      <w:lvlText w:val="%1)"/>
      <w:lvlJc w:val="left"/>
    </w:lvl>
    <w:lvl w:ilvl="1" w:tplc="7C3ED70E">
      <w:numFmt w:val="decimal"/>
      <w:lvlText w:val=""/>
      <w:lvlJc w:val="left"/>
    </w:lvl>
    <w:lvl w:ilvl="2" w:tplc="DA5A5A58">
      <w:numFmt w:val="decimal"/>
      <w:lvlText w:val=""/>
      <w:lvlJc w:val="left"/>
    </w:lvl>
    <w:lvl w:ilvl="3" w:tplc="3CD8AA3E">
      <w:numFmt w:val="decimal"/>
      <w:lvlText w:val=""/>
      <w:lvlJc w:val="left"/>
    </w:lvl>
    <w:lvl w:ilvl="4" w:tplc="77FC79D0">
      <w:numFmt w:val="decimal"/>
      <w:lvlText w:val=""/>
      <w:lvlJc w:val="left"/>
    </w:lvl>
    <w:lvl w:ilvl="5" w:tplc="B73C2806">
      <w:numFmt w:val="decimal"/>
      <w:lvlText w:val=""/>
      <w:lvlJc w:val="left"/>
    </w:lvl>
    <w:lvl w:ilvl="6" w:tplc="BFE42688">
      <w:numFmt w:val="decimal"/>
      <w:lvlText w:val=""/>
      <w:lvlJc w:val="left"/>
    </w:lvl>
    <w:lvl w:ilvl="7" w:tplc="B07ABC3E">
      <w:numFmt w:val="decimal"/>
      <w:lvlText w:val=""/>
      <w:lvlJc w:val="left"/>
    </w:lvl>
    <w:lvl w:ilvl="8" w:tplc="298AF03A">
      <w:numFmt w:val="decimal"/>
      <w:lvlText w:val=""/>
      <w:lvlJc w:val="left"/>
    </w:lvl>
  </w:abstractNum>
  <w:abstractNum w:abstractNumId="3">
    <w:nsid w:val="46E87CCD"/>
    <w:multiLevelType w:val="hybridMultilevel"/>
    <w:tmpl w:val="5480168E"/>
    <w:lvl w:ilvl="0" w:tplc="B13A7F46">
      <w:start w:val="1"/>
      <w:numFmt w:val="lowerLetter"/>
      <w:lvlText w:val="%1)"/>
      <w:lvlJc w:val="left"/>
    </w:lvl>
    <w:lvl w:ilvl="1" w:tplc="0A825920">
      <w:start w:val="1"/>
      <w:numFmt w:val="decimal"/>
      <w:lvlText w:val="%2."/>
      <w:lvlJc w:val="left"/>
    </w:lvl>
    <w:lvl w:ilvl="2" w:tplc="B1ACA9BC">
      <w:numFmt w:val="decimal"/>
      <w:lvlText w:val=""/>
      <w:lvlJc w:val="left"/>
    </w:lvl>
    <w:lvl w:ilvl="3" w:tplc="4516E668">
      <w:numFmt w:val="decimal"/>
      <w:lvlText w:val=""/>
      <w:lvlJc w:val="left"/>
    </w:lvl>
    <w:lvl w:ilvl="4" w:tplc="B418A1A0">
      <w:numFmt w:val="decimal"/>
      <w:lvlText w:val=""/>
      <w:lvlJc w:val="left"/>
    </w:lvl>
    <w:lvl w:ilvl="5" w:tplc="FDF8BCA4">
      <w:numFmt w:val="decimal"/>
      <w:lvlText w:val=""/>
      <w:lvlJc w:val="left"/>
    </w:lvl>
    <w:lvl w:ilvl="6" w:tplc="60CCFFB2">
      <w:numFmt w:val="decimal"/>
      <w:lvlText w:val=""/>
      <w:lvlJc w:val="left"/>
    </w:lvl>
    <w:lvl w:ilvl="7" w:tplc="1B587C38">
      <w:numFmt w:val="decimal"/>
      <w:lvlText w:val=""/>
      <w:lvlJc w:val="left"/>
    </w:lvl>
    <w:lvl w:ilvl="8" w:tplc="D4F411E0">
      <w:numFmt w:val="decimal"/>
      <w:lvlText w:val=""/>
      <w:lvlJc w:val="left"/>
    </w:lvl>
  </w:abstractNum>
  <w:abstractNum w:abstractNumId="4">
    <w:nsid w:val="507ED7AB"/>
    <w:multiLevelType w:val="hybridMultilevel"/>
    <w:tmpl w:val="7504BE92"/>
    <w:lvl w:ilvl="0" w:tplc="6884E8AA">
      <w:start w:val="1"/>
      <w:numFmt w:val="bullet"/>
      <w:lvlText w:val="-"/>
      <w:lvlJc w:val="left"/>
    </w:lvl>
    <w:lvl w:ilvl="1" w:tplc="48E83F90">
      <w:numFmt w:val="decimal"/>
      <w:lvlText w:val=""/>
      <w:lvlJc w:val="left"/>
    </w:lvl>
    <w:lvl w:ilvl="2" w:tplc="EF145864">
      <w:numFmt w:val="decimal"/>
      <w:lvlText w:val=""/>
      <w:lvlJc w:val="left"/>
    </w:lvl>
    <w:lvl w:ilvl="3" w:tplc="73143E40">
      <w:numFmt w:val="decimal"/>
      <w:lvlText w:val=""/>
      <w:lvlJc w:val="left"/>
    </w:lvl>
    <w:lvl w:ilvl="4" w:tplc="94948414">
      <w:numFmt w:val="decimal"/>
      <w:lvlText w:val=""/>
      <w:lvlJc w:val="left"/>
    </w:lvl>
    <w:lvl w:ilvl="5" w:tplc="5F58172A">
      <w:numFmt w:val="decimal"/>
      <w:lvlText w:val=""/>
      <w:lvlJc w:val="left"/>
    </w:lvl>
    <w:lvl w:ilvl="6" w:tplc="234445BA">
      <w:numFmt w:val="decimal"/>
      <w:lvlText w:val=""/>
      <w:lvlJc w:val="left"/>
    </w:lvl>
    <w:lvl w:ilvl="7" w:tplc="5344AC62">
      <w:numFmt w:val="decimal"/>
      <w:lvlText w:val=""/>
      <w:lvlJc w:val="left"/>
    </w:lvl>
    <w:lvl w:ilvl="8" w:tplc="96EA24A2">
      <w:numFmt w:val="decimal"/>
      <w:lvlText w:val=""/>
      <w:lvlJc w:val="left"/>
    </w:lvl>
  </w:abstractNum>
  <w:abstractNum w:abstractNumId="5">
    <w:nsid w:val="625558EC"/>
    <w:multiLevelType w:val="hybridMultilevel"/>
    <w:tmpl w:val="561266E8"/>
    <w:lvl w:ilvl="0" w:tplc="528E96D6">
      <w:start w:val="1"/>
      <w:numFmt w:val="lowerLetter"/>
      <w:lvlText w:val="%1)"/>
      <w:lvlJc w:val="left"/>
    </w:lvl>
    <w:lvl w:ilvl="1" w:tplc="37983B18">
      <w:start w:val="1"/>
      <w:numFmt w:val="decimal"/>
      <w:lvlText w:val="%2."/>
      <w:lvlJc w:val="left"/>
    </w:lvl>
    <w:lvl w:ilvl="2" w:tplc="6D4C862A">
      <w:numFmt w:val="decimal"/>
      <w:lvlText w:val=""/>
      <w:lvlJc w:val="left"/>
    </w:lvl>
    <w:lvl w:ilvl="3" w:tplc="5E4E4DA0">
      <w:numFmt w:val="decimal"/>
      <w:lvlText w:val=""/>
      <w:lvlJc w:val="left"/>
    </w:lvl>
    <w:lvl w:ilvl="4" w:tplc="80B89A9E">
      <w:numFmt w:val="decimal"/>
      <w:lvlText w:val=""/>
      <w:lvlJc w:val="left"/>
    </w:lvl>
    <w:lvl w:ilvl="5" w:tplc="508C9A50">
      <w:numFmt w:val="decimal"/>
      <w:lvlText w:val=""/>
      <w:lvlJc w:val="left"/>
    </w:lvl>
    <w:lvl w:ilvl="6" w:tplc="7F6CD4F8">
      <w:numFmt w:val="decimal"/>
      <w:lvlText w:val=""/>
      <w:lvlJc w:val="left"/>
    </w:lvl>
    <w:lvl w:ilvl="7" w:tplc="C1661724">
      <w:numFmt w:val="decimal"/>
      <w:lvlText w:val=""/>
      <w:lvlJc w:val="left"/>
    </w:lvl>
    <w:lvl w:ilvl="8" w:tplc="07385DEC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E4A"/>
    <w:rsid w:val="006367BE"/>
    <w:rsid w:val="00877E4A"/>
    <w:rsid w:val="00A03B1C"/>
    <w:rsid w:val="00BC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1739</Words>
  <Characters>9913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STAMAT</cp:lastModifiedBy>
  <cp:revision>2</cp:revision>
  <dcterms:created xsi:type="dcterms:W3CDTF">2020-06-12T08:32:00Z</dcterms:created>
  <dcterms:modified xsi:type="dcterms:W3CDTF">2020-06-12T08:32:00Z</dcterms:modified>
</cp:coreProperties>
</file>