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87364" w:rsidRDefault="00270653">
      <w:pPr>
        <w:spacing w:after="120"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>POZNÁMKY K ÚČTOVNEJ ZÁVIERKE 201</w:t>
      </w:r>
      <w:r w:rsidR="00521956">
        <w:rPr>
          <w:rFonts w:ascii="Calibri" w:eastAsia="Calibri" w:hAnsi="Calibri" w:cs="Calibri"/>
          <w:b/>
          <w:sz w:val="24"/>
          <w:szCs w:val="24"/>
        </w:rPr>
        <w:t>9</w:t>
      </w: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sz w:val="24"/>
          <w:szCs w:val="24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 xml:space="preserve">pre </w:t>
      </w:r>
      <w:r w:rsidR="006A7AB8">
        <w:rPr>
          <w:rFonts w:ascii="Calibri" w:eastAsia="Calibri" w:hAnsi="Calibri" w:cs="Calibri"/>
          <w:b/>
          <w:sz w:val="24"/>
          <w:szCs w:val="24"/>
        </w:rPr>
        <w:t>mikro</w:t>
      </w:r>
      <w:r>
        <w:rPr>
          <w:rFonts w:ascii="Calibri" w:eastAsia="Calibri" w:hAnsi="Calibri" w:cs="Calibri"/>
          <w:b/>
          <w:sz w:val="24"/>
          <w:szCs w:val="24"/>
        </w:rPr>
        <w:t xml:space="preserve"> účtovné jednotky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B87364">
      <w:pPr>
        <w:spacing w:line="240" w:lineRule="auto"/>
      </w:pP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 – VŠEOBECNÉ INFORMÁCIE</w:t>
      </w:r>
    </w:p>
    <w:p w:rsidR="00B87364" w:rsidRDefault="00B87364">
      <w:pPr>
        <w:spacing w:line="240" w:lineRule="auto"/>
      </w:pPr>
    </w:p>
    <w:p w:rsidR="00B87364" w:rsidRDefault="0027065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1) Základné informácie o účtovnej jednotke:</w:t>
      </w:r>
    </w:p>
    <w:p w:rsidR="00B87364" w:rsidRDefault="00B87364">
      <w:pPr>
        <w:spacing w:line="240" w:lineRule="auto"/>
      </w:pPr>
    </w:p>
    <w:tbl>
      <w:tblPr>
        <w:tblStyle w:val="a"/>
        <w:tblW w:w="971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835"/>
        <w:gridCol w:w="6879"/>
      </w:tblGrid>
      <w:tr w:rsidR="00B87364">
        <w:trPr>
          <w:trHeight w:val="34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Obchodné meno: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STOMA PRAKTIK, s.r.o.</w:t>
            </w:r>
          </w:p>
        </w:tc>
      </w:tr>
      <w:tr w:rsidR="00B87364">
        <w:trPr>
          <w:trHeight w:val="3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Sídlo: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 01 Čadca, ul. SNP 739/10</w:t>
            </w:r>
          </w:p>
        </w:tc>
      </w:tr>
      <w:tr w:rsidR="00B87364">
        <w:trPr>
          <w:trHeight w:val="1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Právna forma: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Spoločnosť s ručením obmedzeným</w:t>
            </w:r>
          </w:p>
        </w:tc>
      </w:tr>
      <w:tr w:rsidR="00B87364">
        <w:trPr>
          <w:trHeight w:val="22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Dátum vzniku: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Zápis do obchodného registra: 01.01.2007</w:t>
            </w:r>
          </w:p>
        </w:tc>
      </w:tr>
      <w:tr w:rsidR="00B87364">
        <w:trPr>
          <w:trHeight w:val="26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ind w:right="1027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Hlavný predmet podnikania: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B87364">
            <w:pPr>
              <w:spacing w:line="240" w:lineRule="auto"/>
              <w:jc w:val="both"/>
            </w:pPr>
          </w:p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Zubná lekárska prax</w:t>
            </w:r>
          </w:p>
        </w:tc>
      </w:tr>
      <w:tr w:rsidR="00B87364">
        <w:trPr>
          <w:trHeight w:val="52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Subjekt verejného záujmu: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Spoločnosť</w:t>
            </w:r>
            <w:r w:rsidR="00752F7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STOMA PRAKTIK,</w:t>
            </w:r>
            <w:r w:rsidR="006A7AB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s.r.o. nie je subjektom verejného záujmu (§ 2/14 ZoU).</w:t>
            </w:r>
          </w:p>
        </w:tc>
      </w:tr>
      <w:tr w:rsidR="00B87364">
        <w:trPr>
          <w:trHeight w:val="30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Účtovné obdobie: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87364" w:rsidRDefault="00270653" w:rsidP="00521956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Kalendárny rok 201</w:t>
            </w:r>
            <w:r w:rsidR="00521956">
              <w:rPr>
                <w:rFonts w:ascii="Calibri" w:eastAsia="Calibri" w:hAnsi="Calibri" w:cs="Calibri"/>
                <w:sz w:val="24"/>
                <w:szCs w:val="24"/>
              </w:rPr>
              <w:t>9</w:t>
            </w:r>
          </w:p>
        </w:tc>
      </w:tr>
    </w:tbl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UJ bola v účtovnom období roku 201</w:t>
      </w:r>
      <w:r w:rsidR="00521956">
        <w:rPr>
          <w:rFonts w:ascii="Calibri" w:eastAsia="Calibri" w:hAnsi="Calibri" w:cs="Calibri"/>
          <w:sz w:val="24"/>
          <w:szCs w:val="24"/>
        </w:rPr>
        <w:t>9</w:t>
      </w:r>
      <w:r>
        <w:rPr>
          <w:rFonts w:ascii="Calibri" w:eastAsia="Calibri" w:hAnsi="Calibri" w:cs="Calibri"/>
          <w:sz w:val="24"/>
          <w:szCs w:val="24"/>
        </w:rPr>
        <w:t xml:space="preserve"> – </w:t>
      </w:r>
      <w:r w:rsidR="006A7AB8">
        <w:rPr>
          <w:rFonts w:ascii="Calibri" w:eastAsia="Calibri" w:hAnsi="Calibri" w:cs="Calibri"/>
          <w:sz w:val="24"/>
          <w:szCs w:val="24"/>
        </w:rPr>
        <w:t>mikro</w:t>
      </w:r>
      <w:r>
        <w:rPr>
          <w:rFonts w:ascii="Calibri" w:eastAsia="Calibri" w:hAnsi="Calibri" w:cs="Calibri"/>
          <w:sz w:val="24"/>
          <w:szCs w:val="24"/>
        </w:rPr>
        <w:t xml:space="preserve"> účtovná jednotka, preto zostavuje účtovnú závierku podľa metodiky pre túto veľkostnú skupinu (Opatrenie č.MF/23378/2014-74).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</w:pPr>
    </w:p>
    <w:p w:rsidR="006A7AB8" w:rsidRDefault="00270653" w:rsidP="006A7AB8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2) Dátum schválenia účtovnej závierky za bezprostredne predchádzajúce účtovné obdobie príslušným orgánom účtovnej jednotky:</w:t>
      </w:r>
      <w:r w:rsidR="00421F73">
        <w:rPr>
          <w:rFonts w:ascii="Calibri" w:eastAsia="Calibri" w:hAnsi="Calibri" w:cs="Calibri"/>
          <w:sz w:val="24"/>
          <w:szCs w:val="24"/>
        </w:rPr>
        <w:t xml:space="preserve"> </w:t>
      </w:r>
      <w:r w:rsidR="002C3272">
        <w:rPr>
          <w:rFonts w:ascii="Calibri" w:eastAsia="Calibri" w:hAnsi="Calibri" w:cs="Calibri"/>
          <w:sz w:val="24"/>
          <w:szCs w:val="24"/>
        </w:rPr>
        <w:t>27</w:t>
      </w:r>
      <w:r w:rsidR="00421F73">
        <w:rPr>
          <w:rFonts w:ascii="Calibri" w:eastAsia="Calibri" w:hAnsi="Calibri" w:cs="Calibri"/>
          <w:sz w:val="24"/>
          <w:szCs w:val="24"/>
        </w:rPr>
        <w:t>.03.201</w:t>
      </w:r>
      <w:r w:rsidR="00521956">
        <w:rPr>
          <w:rFonts w:ascii="Calibri" w:eastAsia="Calibri" w:hAnsi="Calibri" w:cs="Calibri"/>
          <w:sz w:val="24"/>
          <w:szCs w:val="24"/>
        </w:rPr>
        <w:t>9</w:t>
      </w:r>
    </w:p>
    <w:p w:rsidR="00B87364" w:rsidRDefault="00270653" w:rsidP="006A7AB8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widowControl w:val="0"/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3) Právny dôvod na zostavenie účtovnej závierky: Účtovná závierka Spoločnosti k 31.12.201</w:t>
      </w:r>
      <w:r w:rsidR="00521956">
        <w:rPr>
          <w:rFonts w:ascii="Calibri" w:eastAsia="Calibri" w:hAnsi="Calibri" w:cs="Calibri"/>
          <w:sz w:val="24"/>
          <w:szCs w:val="24"/>
        </w:rPr>
        <w:t>9</w:t>
      </w:r>
      <w:r>
        <w:rPr>
          <w:rFonts w:ascii="Calibri" w:eastAsia="Calibri" w:hAnsi="Calibri" w:cs="Calibri"/>
          <w:sz w:val="24"/>
          <w:szCs w:val="24"/>
        </w:rPr>
        <w:t xml:space="preserve"> je zostavená ako riadna účtovná závierka podľa §17 ods. 6 Zákona č. 431/2002 Z.z. o účtovníctve za účtovné obdobie od 01. januára 201</w:t>
      </w:r>
      <w:r w:rsidR="00521956">
        <w:rPr>
          <w:rFonts w:ascii="Calibri" w:eastAsia="Calibri" w:hAnsi="Calibri" w:cs="Calibri"/>
          <w:sz w:val="24"/>
          <w:szCs w:val="24"/>
        </w:rPr>
        <w:t>9</w:t>
      </w:r>
      <w:r>
        <w:rPr>
          <w:rFonts w:ascii="Calibri" w:eastAsia="Calibri" w:hAnsi="Calibri" w:cs="Calibri"/>
          <w:sz w:val="24"/>
          <w:szCs w:val="24"/>
        </w:rPr>
        <w:t xml:space="preserve"> do 31. decembra 201</w:t>
      </w:r>
      <w:r w:rsidR="00521956">
        <w:rPr>
          <w:rFonts w:ascii="Calibri" w:eastAsia="Calibri" w:hAnsi="Calibri" w:cs="Calibri"/>
          <w:sz w:val="24"/>
          <w:szCs w:val="24"/>
        </w:rPr>
        <w:t>9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4) ÚJ nie je v skupine účtovných jednotiek</w:t>
      </w: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5) Priemerný prepočítaný počet zamestnancov účtovnej jednotky:</w:t>
      </w:r>
    </w:p>
    <w:tbl>
      <w:tblPr>
        <w:tblStyle w:val="a0"/>
        <w:tblW w:w="974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57"/>
        <w:gridCol w:w="2523"/>
        <w:gridCol w:w="2367"/>
      </w:tblGrid>
      <w:tr w:rsidR="00B87364">
        <w:trPr>
          <w:trHeight w:val="520"/>
        </w:trPr>
        <w:tc>
          <w:tcPr>
            <w:tcW w:w="4857" w:type="dxa"/>
            <w:vAlign w:val="center"/>
          </w:tcPr>
          <w:p w:rsidR="00B87364" w:rsidRDefault="00270653">
            <w:pPr>
              <w:spacing w:line="240" w:lineRule="auto"/>
              <w:ind w:right="459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Názov položky</w:t>
            </w:r>
          </w:p>
        </w:tc>
        <w:tc>
          <w:tcPr>
            <w:tcW w:w="252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67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160"/>
        </w:trPr>
        <w:tc>
          <w:tcPr>
            <w:tcW w:w="4857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Priemerný prepočítaný počet počas účtovného obdobia</w:t>
            </w:r>
          </w:p>
        </w:tc>
        <w:tc>
          <w:tcPr>
            <w:tcW w:w="2523" w:type="dxa"/>
          </w:tcPr>
          <w:p w:rsidR="00B87364" w:rsidRDefault="002C3272" w:rsidP="002C3272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2367" w:type="dxa"/>
          </w:tcPr>
          <w:p w:rsidR="00B87364" w:rsidRDefault="00521956" w:rsidP="00521956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</w:p>
        </w:tc>
      </w:tr>
    </w:tbl>
    <w:p w:rsidR="00B87364" w:rsidRDefault="00B87364">
      <w:pPr>
        <w:spacing w:line="240" w:lineRule="auto"/>
        <w:ind w:left="928"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II – INFORMÁCIE O ORGÁNOCH SPOLOČNOSTI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b/>
          <w:sz w:val="24"/>
          <w:szCs w:val="24"/>
        </w:rPr>
        <w:t>Informácie o orgánoch účtovnej jednotky</w:t>
      </w:r>
      <w:r>
        <w:rPr>
          <w:rFonts w:ascii="Calibri" w:eastAsia="Calibri" w:hAnsi="Calibri" w:cs="Calibri"/>
          <w:sz w:val="24"/>
          <w:szCs w:val="24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</w:t>
      </w:r>
    </w:p>
    <w:tbl>
      <w:tblPr>
        <w:tblStyle w:val="a1"/>
        <w:tblW w:w="98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9"/>
        <w:gridCol w:w="2488"/>
        <w:gridCol w:w="2360"/>
      </w:tblGrid>
      <w:tr w:rsidR="00B87364">
        <w:trPr>
          <w:trHeight w:val="8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Orgány účtovnej jednotky</w:t>
            </w:r>
          </w:p>
        </w:tc>
        <w:tc>
          <w:tcPr>
            <w:tcW w:w="2488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24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Štatutárny orgán/Spoločník</w:t>
            </w:r>
          </w:p>
        </w:tc>
        <w:tc>
          <w:tcPr>
            <w:tcW w:w="2488" w:type="dxa"/>
            <w:vAlign w:val="center"/>
          </w:tcPr>
          <w:p w:rsidR="00B87364" w:rsidRDefault="00270653" w:rsidP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MUDr.Bartschová Emília</w:t>
            </w:r>
          </w:p>
        </w:tc>
        <w:tc>
          <w:tcPr>
            <w:tcW w:w="2360" w:type="dxa"/>
            <w:vAlign w:val="center"/>
          </w:tcPr>
          <w:p w:rsidR="00B87364" w:rsidRDefault="000F7B2F" w:rsidP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MUDr.</w:t>
            </w:r>
            <w:r w:rsidR="00270653">
              <w:rPr>
                <w:rFonts w:ascii="Calibri" w:eastAsia="Calibri" w:hAnsi="Calibri" w:cs="Calibri"/>
                <w:sz w:val="24"/>
                <w:szCs w:val="24"/>
              </w:rPr>
              <w:t>Bartschová Emília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B87364">
        <w:trPr>
          <w:trHeight w:val="24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3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pôžička celkovo</w:t>
            </w:r>
          </w:p>
        </w:tc>
        <w:tc>
          <w:tcPr>
            <w:tcW w:w="2488" w:type="dxa"/>
            <w:vAlign w:val="center"/>
          </w:tcPr>
          <w:p w:rsidR="00B87364" w:rsidRDefault="00270653" w:rsidP="00270653">
            <w:pPr>
              <w:spacing w:line="240" w:lineRule="auto"/>
            </w:pPr>
            <w:r>
              <w:t>MUDr.Bartsch Pavol</w:t>
            </w: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</w:pPr>
            <w:r>
              <w:t>MUDr.Bartsch Pavol</w:t>
            </w:r>
          </w:p>
        </w:tc>
      </w:tr>
      <w:tr w:rsidR="00B87364">
        <w:trPr>
          <w:trHeight w:val="14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druh príjmu (výhody):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Spoločník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pôžička celkovo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druh príjmu (výhody):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B87364">
            <w:pPr>
              <w:spacing w:line="240" w:lineRule="auto"/>
              <w:ind w:left="720"/>
            </w:pP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</w:tbl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ind w:right="-141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III – INFORMÁCIE O PRIJATÝCH POSTUPOCH</w:t>
      </w:r>
    </w:p>
    <w:p w:rsidR="00B87364" w:rsidRDefault="00B87364">
      <w:pPr>
        <w:spacing w:line="240" w:lineRule="auto"/>
        <w:ind w:right="-141"/>
        <w:jc w:val="both"/>
      </w:pP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1) Účtovná závierka je zostavená za splnenia predpokladu, že ÚJ bude nepretržite pokračovať vo svojej činnosti minimálne 12 mesiacov po závierkovom dni v zmysle § 7 ods. 4 zákona o účtovníctve.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2) Účtovné metódy vychádzajúce z interných smerníc spoločnosti a všeobecné účtovné zásady boli účtovnou jednotkou konzistentne aplikované</w:t>
      </w:r>
    </w:p>
    <w:p w:rsidR="00B87364" w:rsidRDefault="00B87364">
      <w:pPr>
        <w:spacing w:line="240" w:lineRule="auto"/>
        <w:ind w:right="-141"/>
        <w:jc w:val="both"/>
      </w:pP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3) ÚJ neeviduje žiadne transakcie, ktoré sa neuvádzajú v súvahe.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270653">
      <w:pPr>
        <w:spacing w:after="120"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4) Spôsob a určenie oceňovania majetku a záväzkov (vrátane rozhodujúcich odhadov):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a) Spôsob oceňovania majetku a záväzkov (§ 25 ZoU):</w:t>
      </w:r>
    </w:p>
    <w:p w:rsidR="00B87364" w:rsidRDefault="00B87364">
      <w:pPr>
        <w:widowControl w:val="0"/>
        <w:tabs>
          <w:tab w:val="left" w:pos="808"/>
        </w:tabs>
        <w:spacing w:line="240" w:lineRule="auto"/>
        <w:jc w:val="both"/>
      </w:pPr>
    </w:p>
    <w:tbl>
      <w:tblPr>
        <w:tblStyle w:val="a2"/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5300"/>
        <w:gridCol w:w="3600"/>
      </w:tblGrid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Spôsob oceňovania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externe kúpený: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interne vytvorený: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obstaraný inak 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hmotný majetok interne vytvorený: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obstaraný inak 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obstarané kúpou: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vytvorené vlastnou činnosťou: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obstarané inak 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ZV a zákazková výstavba nehnuteľnosti určenej na predaj: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pohľadávky: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Kúpené pohľadávky: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Krátkodobý finančný majetok: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Deriváty: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18.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Majetok a záväzky zabezpečené derivátmi: 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19.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Prenajatý majetok a majetok obstaraný na základe zmluvy o kúpe prenajatej veci: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20.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Splatná daň z príjmov a odložená daň z príjmov: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</w:tbl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b) Trvalé zníženie hodnoty majetku nebolo účtované. 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c) Záväzky účtovná jednotka ocenila menovitou hodnotou záväzkov. 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d) Účtovná jednotka nepoužila dobrovoľné oceňovanie obchodných podielov metódou vlastného imania (§ 27/9 ZoU).</w:t>
      </w:r>
    </w:p>
    <w:p w:rsidR="00B87364" w:rsidRDefault="00B87364">
      <w:pPr>
        <w:keepNext/>
        <w:tabs>
          <w:tab w:val="left" w:pos="1005"/>
        </w:tabs>
        <w:spacing w:after="120" w:line="240" w:lineRule="auto"/>
        <w:jc w:val="both"/>
      </w:pPr>
    </w:p>
    <w:p w:rsidR="00B87364" w:rsidRDefault="00270653">
      <w:pPr>
        <w:keepNext/>
        <w:tabs>
          <w:tab w:val="left" w:pos="1005"/>
        </w:tabs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f) Tvorba odpisového plánu pre dlhodobý majetok, pričom sa uvádza doba odpisovania, sadzby odpisov a odpisové metódy pre účtovné odpisy:</w:t>
      </w:r>
    </w:p>
    <w:tbl>
      <w:tblPr>
        <w:tblStyle w:val="a3"/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8"/>
        <w:gridCol w:w="1013"/>
        <w:gridCol w:w="2107"/>
        <w:gridCol w:w="2268"/>
      </w:tblGrid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Dlhodobý hmotný a nehmotný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odpisovaný majetok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číslo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účtu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doba odpisovania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(počet rokov)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odpisová sadzba 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(%)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Software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013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Ostatný DNM 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019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Stavby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021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Počítače s príslušenstvom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022.A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Dopravné prostriedky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Ostatné stroje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022.A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Ostatný dlhodobý hmotný majetok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</w:tbl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spacing w:after="120" w:line="240" w:lineRule="auto"/>
      </w:pPr>
      <w:r>
        <w:rPr>
          <w:rFonts w:ascii="Calibri" w:eastAsia="Calibri" w:hAnsi="Calibri" w:cs="Calibri"/>
          <w:sz w:val="24"/>
          <w:szCs w:val="24"/>
        </w:rPr>
        <w:t xml:space="preserve">Komentár k odpisovému plánu: 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UJ používa účtovné odpisy nezávisle na daňových odpisoch. Majetok sa začína odpisovať v mesiaci, kedy bol zaradený do užívania. Účtovné odpisy vychádzajú z predpokladanej doby používania majetku. Dlhodobý nehmotný majetok sa odpisuje počas 4 rokov od jeho obstarania.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UJ používa rovnomerné odpisovanie dlhodobého hmotného majetku a dlhodobého nehmotného majetku. Podrobný účtovný odpisový plán po položkách sa vedie v podsystéme Majetok (taktiež daňové odpisy podľa zákona o dani z príjmov).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UJ odpisuje jednotlivé veci alebo relevantné súbory hnuteľných vecí (napr. počítačová sieť, nábytková zostava). UJ nepoužíva komponentné odpisovanie (odpisovanie častí majetku - komponentov).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UJ nepoužila jednorazový odpis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dlhodobého majetku z dôvodu jednorazového trvalého zníženia hodnoty majetku (§ 21/5 PU).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kategóriu drobného dlhodobého nehmotného majetku - položky pod 2 400 eur jednotkovej ceny so životnosťou nad jeden rok (§ 13/2 PU).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kategóriu drobného dlhodobého hmotného majetku - položky pod 1 700 eur jednotkovej ceny so životnosťou nad jeden rok (§ 13/6 PU).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dobrovoľné účtovanie podlimitného technického zhodnotenia do odpisovaného dlhodobého majetku – technické zhodnotenie pod 1 700 eur za účtovné obdobie (§ 21/3 PU; § 29/2 ZDP).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hanging="36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dobrovoľnú kapitalizáciu úrokov do obstarávacej ceny odpisovaného dlhodobého hmotného majetku alebo dlhodobého nehmotného majetku (§ 34/1 PU; § 35/2/h PU).</w:t>
      </w:r>
    </w:p>
    <w:p w:rsidR="00B87364" w:rsidRDefault="00B87364">
      <w:pPr>
        <w:spacing w:after="120" w:line="240" w:lineRule="auto"/>
        <w:jc w:val="both"/>
      </w:pPr>
    </w:p>
    <w:p w:rsidR="00421F73" w:rsidRDefault="00270653" w:rsidP="00421F7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 xml:space="preserve">g) </w:t>
      </w:r>
      <w:r w:rsidR="00421F73">
        <w:rPr>
          <w:rFonts w:ascii="Calibri" w:eastAsia="Calibri" w:hAnsi="Calibri" w:cs="Calibri"/>
          <w:sz w:val="24"/>
          <w:szCs w:val="24"/>
        </w:rPr>
        <w:t>ÚJ neboli v zdaňovacom období roku 201</w:t>
      </w:r>
      <w:r w:rsidR="00521956">
        <w:rPr>
          <w:rFonts w:ascii="Calibri" w:eastAsia="Calibri" w:hAnsi="Calibri" w:cs="Calibri"/>
          <w:sz w:val="24"/>
          <w:szCs w:val="24"/>
        </w:rPr>
        <w:t>9</w:t>
      </w:r>
      <w:r w:rsidR="00421F73">
        <w:rPr>
          <w:rFonts w:ascii="Calibri" w:eastAsia="Calibri" w:hAnsi="Calibri" w:cs="Calibri"/>
          <w:sz w:val="24"/>
          <w:szCs w:val="24"/>
        </w:rPr>
        <w:t xml:space="preserve"> poskytnuté žiadne dotácie</w:t>
      </w:r>
    </w:p>
    <w:p w:rsidR="00421F73" w:rsidRDefault="00421F73" w:rsidP="00421F73">
      <w:pPr>
        <w:keepNext/>
        <w:spacing w:after="120" w:line="240" w:lineRule="auto"/>
        <w:jc w:val="both"/>
      </w:pPr>
    </w:p>
    <w:p w:rsidR="00270653" w:rsidRDefault="00270653">
      <w:pPr>
        <w:spacing w:line="240" w:lineRule="auto"/>
      </w:pPr>
    </w:p>
    <w:p w:rsidR="00B87364" w:rsidRDefault="00B87364">
      <w:pPr>
        <w:keepNext/>
        <w:spacing w:after="120" w:line="240" w:lineRule="auto"/>
        <w:jc w:val="both"/>
      </w:pPr>
    </w:p>
    <w:p w:rsidR="00B87364" w:rsidRDefault="0027065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5) ÚJ v zdaňovacom období roku 201</w:t>
      </w:r>
      <w:r w:rsidR="00521956">
        <w:rPr>
          <w:rFonts w:ascii="Calibri" w:eastAsia="Calibri" w:hAnsi="Calibri" w:cs="Calibri"/>
          <w:sz w:val="24"/>
          <w:szCs w:val="24"/>
        </w:rPr>
        <w:t>9</w:t>
      </w:r>
      <w:bookmarkStart w:id="0" w:name="_GoBack"/>
      <w:bookmarkEnd w:id="0"/>
      <w:r>
        <w:rPr>
          <w:rFonts w:ascii="Calibri" w:eastAsia="Calibri" w:hAnsi="Calibri" w:cs="Calibri"/>
          <w:sz w:val="24"/>
          <w:szCs w:val="24"/>
        </w:rPr>
        <w:t xml:space="preserve"> nevykonala žiadne opravy významných chýb.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IV – INFORMÁCIE, KTORÉ VYSVETĽUJÚ A DOPĹŇAJÚ SÚVAHU A VÝKAZ ZISKOV A STRÁT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1) ÚJ neeviduje žiadne položky nehmotného majetku.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2) ÚJ neeviduje žiadne položky významných derivátov, majetku a záväzkoch zabezpečených derivátmi.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3a) ÚJ neeviduje žiadne položky zabezpečených záväzkov so zostatkovou dobou splatnosti dlhšou 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 xml:space="preserve"> ako 5 rokov:  </w:t>
      </w:r>
    </w:p>
    <w:p w:rsidR="00B87364" w:rsidRDefault="00B87364">
      <w:pPr>
        <w:spacing w:after="120" w:line="240" w:lineRule="auto"/>
        <w:ind w:right="-141"/>
        <w:jc w:val="both"/>
      </w:pPr>
    </w:p>
    <w:tbl>
      <w:tblPr>
        <w:tblStyle w:val="a4"/>
        <w:tblW w:w="971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376"/>
      </w:tblGrid>
      <w:tr w:rsidR="00B87364">
        <w:trPr>
          <w:trHeight w:val="680"/>
          <w:jc w:val="center"/>
        </w:trPr>
        <w:tc>
          <w:tcPr>
            <w:tcW w:w="4785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Názov položky</w:t>
            </w:r>
          </w:p>
        </w:tc>
        <w:tc>
          <w:tcPr>
            <w:tcW w:w="255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76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200"/>
          <w:jc w:val="center"/>
        </w:trPr>
        <w:tc>
          <w:tcPr>
            <w:tcW w:w="4785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Záväzky so zostatkovou dobou splatnosti nad 5 rokov</w:t>
            </w:r>
          </w:p>
        </w:tc>
        <w:tc>
          <w:tcPr>
            <w:tcW w:w="255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376" w:type="dxa"/>
            <w:vAlign w:val="center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</w:tbl>
    <w:p w:rsidR="00B87364" w:rsidRDefault="00B87364">
      <w:pPr>
        <w:spacing w:before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3b) ÚJ neeviduje žiadne položky zabezpečených záväzkov.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4) ÚJ neeviduje žiadne vlastné akcie.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5) ÚJ neeviduje žiadne položky nákladov alebo výnosov, ktoré majú výnimočný rozsah alebo výskyt.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V – INFORMÁCIE O INÝCH AKTÍVACH A INÝCH PASÍVACH</w:t>
      </w:r>
    </w:p>
    <w:p w:rsidR="00B87364" w:rsidRDefault="00B87364">
      <w:pPr>
        <w:spacing w:after="120" w:line="240" w:lineRule="auto"/>
        <w:ind w:right="-471"/>
        <w:jc w:val="center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1a) ÚJ neeviduje žiadne položky podmieneného majetku.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1b) ÚJ neeviduje žiadne položky podmienených záväzkov.</w:t>
      </w:r>
    </w:p>
    <w:p w:rsidR="00B87364" w:rsidRDefault="00B87364">
      <w:pPr>
        <w:spacing w:after="120"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2) ÚJ neeviduje žiadne ostatné finančné povinnosti, ktoré a nevykazujú v účtovných výkazoch.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3 V účtovníctve ÚJ sa nenachádzajú žiadne položky evidované na podsúvahových účtoch.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VI – UDALOSTI, KTORÉ NASTALI PO ZÁVIERKOVOM DNI</w:t>
      </w: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(Následné udalosti)</w:t>
      </w: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ÚJ neeviduje žiadne udalosti, ktoré nastali po závierkovom dni.</w:t>
      </w:r>
    </w:p>
    <w:p w:rsidR="00B87364" w:rsidRDefault="00B87364">
      <w:pPr>
        <w:spacing w:line="240" w:lineRule="auto"/>
        <w:ind w:right="-468"/>
        <w:jc w:val="center"/>
      </w:pP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VII – OSTATNÉ INFORMÁCIE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1) ÚJ nemá žiadne právo poskytovať služby vo verejnom záujme.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2) ÚJ nemá žiadnu priemyselnú výrobu. (§ 23d/6 ZoU)</w:t>
      </w: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lastRenderedPageBreak/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3) ÚJ nemá žiadne finančné vzťahy s orgánmi verejnej moci. (§ 23d/6 ZoU)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B87364">
      <w:pPr>
        <w:spacing w:after="120" w:line="240" w:lineRule="auto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sectPr w:rsidR="00B87364" w:rsidSect="00C80E22">
      <w:headerReference w:type="default" r:id="rId7"/>
      <w:footerReference w:type="default" r:id="rId8"/>
      <w:pgSz w:w="11907" w:h="16840"/>
      <w:pgMar w:top="1417" w:right="992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62E" w:rsidRDefault="0037362E">
      <w:pPr>
        <w:spacing w:line="240" w:lineRule="auto"/>
      </w:pPr>
      <w:r>
        <w:separator/>
      </w:r>
    </w:p>
  </w:endnote>
  <w:endnote w:type="continuationSeparator" w:id="0">
    <w:p w:rsidR="0037362E" w:rsidRDefault="003736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364" w:rsidRDefault="00C80E22">
    <w:pPr>
      <w:tabs>
        <w:tab w:val="center" w:pos="4536"/>
        <w:tab w:val="right" w:pos="9072"/>
      </w:tabs>
      <w:spacing w:line="240" w:lineRule="auto"/>
      <w:jc w:val="right"/>
    </w:pPr>
    <w:r>
      <w:fldChar w:fldCharType="begin"/>
    </w:r>
    <w:r w:rsidR="00270653">
      <w:instrText>PAGE</w:instrText>
    </w:r>
    <w:r>
      <w:fldChar w:fldCharType="separate"/>
    </w:r>
    <w:r w:rsidR="00521956">
      <w:rPr>
        <w:noProof/>
      </w:rPr>
      <w:t>1</w:t>
    </w:r>
    <w:r>
      <w:fldChar w:fldCharType="end"/>
    </w:r>
  </w:p>
  <w:p w:rsidR="00B87364" w:rsidRDefault="00B87364">
    <w:pPr>
      <w:tabs>
        <w:tab w:val="center" w:pos="4536"/>
        <w:tab w:val="right" w:pos="9072"/>
      </w:tabs>
      <w:spacing w:after="567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62E" w:rsidRDefault="0037362E">
      <w:pPr>
        <w:spacing w:line="240" w:lineRule="auto"/>
      </w:pPr>
      <w:r>
        <w:separator/>
      </w:r>
    </w:p>
  </w:footnote>
  <w:footnote w:type="continuationSeparator" w:id="0">
    <w:p w:rsidR="0037362E" w:rsidRDefault="003736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364" w:rsidRDefault="00270653">
    <w:pPr>
      <w:widowControl w:val="0"/>
      <w:tabs>
        <w:tab w:val="left" w:pos="2990"/>
        <w:tab w:val="left" w:pos="6348"/>
      </w:tabs>
      <w:spacing w:before="567" w:line="240" w:lineRule="auto"/>
      <w:ind w:left="-397"/>
      <w:jc w:val="center"/>
    </w:pPr>
    <w:r>
      <w:t xml:space="preserve"> Poznámky Úč POD 3 – 01          </w:t>
    </w:r>
    <w:r>
      <w:rPr>
        <w:color w:val="707070"/>
        <w:sz w:val="18"/>
        <w:szCs w:val="18"/>
        <w:highlight w:val="white"/>
      </w:rPr>
      <w:tab/>
    </w:r>
    <w:r>
      <w:t xml:space="preserve">                 IČO: </w:t>
    </w:r>
    <w:r w:rsidR="003459F0">
      <w:t>36</w:t>
    </w:r>
    <w:r>
      <w:t xml:space="preserve">689564         DIČ: 2022276355  </w:t>
    </w:r>
  </w:p>
  <w:p w:rsidR="00B87364" w:rsidRDefault="00B87364">
    <w:pPr>
      <w:tabs>
        <w:tab w:val="center" w:pos="4703"/>
        <w:tab w:val="right" w:pos="9406"/>
      </w:tabs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64C91"/>
    <w:multiLevelType w:val="multilevel"/>
    <w:tmpl w:val="1EECCF62"/>
    <w:lvl w:ilvl="0"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" w15:restartNumberingAfterBreak="0">
    <w:nsid w:val="286D243E"/>
    <w:multiLevelType w:val="multilevel"/>
    <w:tmpl w:val="5072A10A"/>
    <w:lvl w:ilvl="0">
      <w:start w:val="6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CAE6D9F"/>
    <w:multiLevelType w:val="multilevel"/>
    <w:tmpl w:val="6D68A1C2"/>
    <w:lvl w:ilvl="0">
      <w:start w:val="1"/>
      <w:numFmt w:val="bullet"/>
      <w:lvlText w:val="➢"/>
      <w:lvlJc w:val="left"/>
      <w:pPr>
        <w:ind w:left="36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364"/>
    <w:rsid w:val="000F7B2F"/>
    <w:rsid w:val="001044E0"/>
    <w:rsid w:val="00270653"/>
    <w:rsid w:val="002C3272"/>
    <w:rsid w:val="003459F0"/>
    <w:rsid w:val="0037362E"/>
    <w:rsid w:val="00421F73"/>
    <w:rsid w:val="004C3B25"/>
    <w:rsid w:val="00521956"/>
    <w:rsid w:val="00607814"/>
    <w:rsid w:val="00690DEC"/>
    <w:rsid w:val="006A7AB8"/>
    <w:rsid w:val="00752F78"/>
    <w:rsid w:val="00B55F74"/>
    <w:rsid w:val="00B87364"/>
    <w:rsid w:val="00C80E22"/>
    <w:rsid w:val="00EB41F8"/>
    <w:rsid w:val="00EC2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15F64"/>
  <w15:docId w15:val="{9406B103-E309-4150-831C-038327CC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sk-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contextualSpacing/>
      <w:outlineLvl w:val="4"/>
    </w:pPr>
    <w:rPr>
      <w:b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459F0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59F0"/>
  </w:style>
  <w:style w:type="paragraph" w:styleId="Pta">
    <w:name w:val="footer"/>
    <w:basedOn w:val="Normlny"/>
    <w:link w:val="PtaChar"/>
    <w:uiPriority w:val="99"/>
    <w:unhideWhenUsed/>
    <w:rsid w:val="003459F0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5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Katka</dc:creator>
  <cp:lastModifiedBy>kata.mihalikova@gmail.com</cp:lastModifiedBy>
  <cp:revision>2</cp:revision>
  <dcterms:created xsi:type="dcterms:W3CDTF">2020-06-19T11:50:00Z</dcterms:created>
  <dcterms:modified xsi:type="dcterms:W3CDTF">2020-06-19T11:50:00Z</dcterms:modified>
</cp:coreProperties>
</file>