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5.xml" ContentType="application/vnd.openxmlformats-officedocument.wordprocessingml.footer+xml"/>
  <Override PartName="/word/header3.xml" ContentType="application/vnd.openxmlformats-officedocument.wordprocessingml.header+xml"/>
  <Override PartName="/word/footer6.xml" ContentType="application/vnd.openxmlformats-officedocument.wordprocessingml.footer+xml"/>
  <Override PartName="/word/header4.xml" ContentType="application/vnd.openxmlformats-officedocument.wordprocessingml.header+xml"/>
  <Override PartName="/word/footer7.xml" ContentType="application/vnd.openxmlformats-officedocument.wordprocessingml.footer+xml"/>
  <Override PartName="/word/header5.xml" ContentType="application/vnd.openxmlformats-officedocument.wordprocessingml.header+xml"/>
  <Override PartName="/word/footer8.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lineRule="exact" w:line="195" w:before="69" w:after="0"/>
        <w:rPr>
          <w:sz w:val="16"/>
        </w:rPr>
      </w:pPr>
      <w:r>
        <w:rPr>
          <w:rFonts w:ascii="Times New Roman" w:hAnsi="Times New Roman"/>
          <w:sz w:val="20"/>
        </w:rPr>
        <w:t xml:space="preserve">    </w:t>
      </w:r>
      <w:r>
        <w:rPr>
          <w:sz w:val="16"/>
        </w:rPr>
        <w:t>Obchodné meno</w:t>
      </w:r>
    </w:p>
    <w:p>
      <w:pPr>
        <w:pStyle w:val="Normal"/>
        <w:spacing w:lineRule="exact" w:line="195"/>
        <w:ind w:left="216" w:hanging="0"/>
        <w:rPr>
          <w:sz w:val="16"/>
        </w:rPr>
      </w:pPr>
      <w:r>
        <w:rPr>
          <w:sz w:val="16"/>
        </w:rPr>
        <w:t>POĽNOHOSPODÁRSKE DRUŽSTVO INOVEC TRENČIANSKE STANKOVCE</w:t>
      </w:r>
    </w:p>
    <w:p>
      <w:pPr>
        <w:pStyle w:val="Normal"/>
        <w:spacing w:lineRule="exact" w:line="195" w:before="1" w:after="0"/>
        <w:ind w:left="216" w:hanging="0"/>
        <w:rPr>
          <w:sz w:val="16"/>
        </w:rPr>
      </w:pPr>
      <w:r>
        <w:rPr>
          <w:sz w:val="16"/>
        </w:rPr>
        <w:t>Sídlo</w:t>
      </w:r>
    </w:p>
    <w:p>
      <w:pPr>
        <w:pStyle w:val="Normal"/>
        <w:ind w:left="216" w:right="5937" w:hanging="0"/>
        <w:rPr>
          <w:sz w:val="16"/>
        </w:rPr>
      </w:pPr>
      <w:r>
        <w:rPr>
          <w:sz w:val="16"/>
        </w:rPr>
        <w:t>913 11 Trenčianske Stankovce, Veľké Stankovce 891 IČO:</w:t>
      </w:r>
    </w:p>
    <w:p>
      <w:pPr>
        <w:pStyle w:val="Normal"/>
        <w:spacing w:lineRule="exact" w:line="195"/>
        <w:ind w:left="216" w:hanging="0"/>
        <w:rPr>
          <w:sz w:val="16"/>
        </w:rPr>
      </w:pPr>
      <w:r>
        <w:rPr>
          <w:sz w:val="16"/>
        </w:rPr>
        <w:t>00222453</w:t>
      </w:r>
    </w:p>
    <w:p>
      <w:pPr>
        <w:pStyle w:val="Normal"/>
        <w:spacing w:lineRule="exact" w:line="195"/>
        <w:ind w:left="216" w:hanging="0"/>
        <w:rPr>
          <w:sz w:val="16"/>
        </w:rPr>
      </w:pPr>
      <w:r>
        <w:rPr>
          <w:sz w:val="16"/>
        </w:rPr>
        <w:t>DIČ:</w:t>
      </w:r>
    </w:p>
    <w:p>
      <w:pPr>
        <w:pStyle w:val="Normal"/>
        <w:spacing w:before="2" w:after="0"/>
        <w:ind w:left="216" w:hanging="0"/>
        <w:rPr>
          <w:sz w:val="16"/>
        </w:rPr>
      </w:pPr>
      <w:r>
        <w:rPr>
          <w:sz w:val="16"/>
        </w:rPr>
        <w:t>2020383266</w:t>
      </w:r>
    </w:p>
    <w:p>
      <w:pPr>
        <w:pStyle w:val="Telotextu"/>
        <w:rPr>
          <w:sz w:val="16"/>
        </w:rPr>
      </w:pPr>
      <w:r>
        <w:rPr>
          <w:sz w:val="16"/>
        </w:rPr>
      </w:r>
    </w:p>
    <w:p>
      <w:pPr>
        <w:pStyle w:val="Telotextu"/>
        <w:rPr>
          <w:sz w:val="16"/>
        </w:rPr>
      </w:pPr>
      <w:r>
        <w:rPr>
          <w:sz w:val="16"/>
        </w:rPr>
      </w:r>
    </w:p>
    <w:p>
      <w:pPr>
        <w:pStyle w:val="Telotextu"/>
        <w:rPr>
          <w:sz w:val="16"/>
        </w:rPr>
      </w:pPr>
      <w:r>
        <w:rPr>
          <w:sz w:val="16"/>
        </w:rPr>
      </w:r>
    </w:p>
    <w:p>
      <w:pPr>
        <w:pStyle w:val="Telotextu"/>
        <w:rPr>
          <w:sz w:val="16"/>
        </w:rPr>
      </w:pPr>
      <w:r>
        <w:rPr>
          <w:sz w:val="16"/>
        </w:rPr>
      </w:r>
    </w:p>
    <w:p>
      <w:pPr>
        <w:pStyle w:val="Telotextu"/>
        <w:rPr>
          <w:sz w:val="16"/>
        </w:rPr>
      </w:pPr>
      <w:r>
        <w:rPr>
          <w:sz w:val="16"/>
        </w:rPr>
      </w:r>
    </w:p>
    <w:p>
      <w:pPr>
        <w:pStyle w:val="Telotextu"/>
        <w:rPr>
          <w:sz w:val="16"/>
        </w:rPr>
      </w:pPr>
      <w:r>
        <w:rPr>
          <w:sz w:val="16"/>
        </w:rPr>
      </w:r>
    </w:p>
    <w:p>
      <w:pPr>
        <w:pStyle w:val="Telotextu"/>
        <w:rPr>
          <w:sz w:val="16"/>
        </w:rPr>
      </w:pPr>
      <w:r>
        <w:rPr>
          <w:sz w:val="16"/>
        </w:rPr>
      </w:r>
    </w:p>
    <w:p>
      <w:pPr>
        <w:pStyle w:val="Telotextu"/>
        <w:rPr>
          <w:sz w:val="16"/>
        </w:rPr>
      </w:pPr>
      <w:r>
        <w:rPr>
          <w:sz w:val="16"/>
        </w:rPr>
      </w:r>
    </w:p>
    <w:p>
      <w:pPr>
        <w:pStyle w:val="Telotextu"/>
        <w:rPr>
          <w:sz w:val="16"/>
        </w:rPr>
      </w:pPr>
      <w:r>
        <w:rPr>
          <w:sz w:val="16"/>
        </w:rPr>
      </w:r>
    </w:p>
    <w:p>
      <w:pPr>
        <w:pStyle w:val="Telotextu"/>
        <w:rPr>
          <w:sz w:val="16"/>
        </w:rPr>
      </w:pPr>
      <w:r>
        <w:rPr>
          <w:sz w:val="16"/>
        </w:rPr>
      </w:r>
    </w:p>
    <w:p>
      <w:pPr>
        <w:pStyle w:val="Telotextu"/>
        <w:rPr>
          <w:sz w:val="16"/>
        </w:rPr>
      </w:pPr>
      <w:r>
        <w:rPr>
          <w:sz w:val="16"/>
        </w:rPr>
      </w:r>
    </w:p>
    <w:p>
      <w:pPr>
        <w:pStyle w:val="Telotextu"/>
        <w:rPr>
          <w:sz w:val="16"/>
        </w:rPr>
      </w:pPr>
      <w:r>
        <w:rPr>
          <w:sz w:val="16"/>
        </w:rPr>
      </w:r>
    </w:p>
    <w:p>
      <w:pPr>
        <w:pStyle w:val="Telotextu"/>
        <w:rPr>
          <w:sz w:val="16"/>
        </w:rPr>
      </w:pPr>
      <w:r>
        <w:rPr>
          <w:sz w:val="16"/>
        </w:rPr>
      </w:r>
    </w:p>
    <w:p>
      <w:pPr>
        <w:pStyle w:val="Telotextu"/>
        <w:rPr>
          <w:sz w:val="16"/>
        </w:rPr>
      </w:pPr>
      <w:r>
        <w:rPr>
          <w:sz w:val="16"/>
        </w:rPr>
      </w:r>
    </w:p>
    <w:p>
      <w:pPr>
        <w:pStyle w:val="Telotextu"/>
        <w:rPr>
          <w:sz w:val="16"/>
        </w:rPr>
      </w:pPr>
      <w:r>
        <w:rPr>
          <w:sz w:val="16"/>
        </w:rPr>
      </w:r>
    </w:p>
    <w:p>
      <w:pPr>
        <w:pStyle w:val="Telotextu"/>
        <w:rPr>
          <w:sz w:val="16"/>
        </w:rPr>
      </w:pPr>
      <w:r>
        <w:rPr>
          <w:sz w:val="16"/>
        </w:rPr>
      </w:r>
    </w:p>
    <w:p>
      <w:pPr>
        <w:pStyle w:val="Telotextu"/>
        <w:spacing w:before="1" w:after="0"/>
        <w:rPr/>
      </w:pPr>
      <w:r>
        <w:rPr/>
      </w:r>
    </w:p>
    <w:p>
      <w:pPr>
        <w:pStyle w:val="Nzov"/>
        <w:rPr/>
      </w:pPr>
      <w:r>
        <w:rPr/>
        <w:t>Výročná správa za rok 2019</w:t>
      </w:r>
    </w:p>
    <w:p>
      <w:pPr>
        <w:pStyle w:val="Telotextu"/>
        <w:rPr>
          <w:b/>
          <w:b/>
          <w:sz w:val="20"/>
        </w:rPr>
      </w:pPr>
      <w:r>
        <w:rPr>
          <w:b/>
          <w:sz w:val="20"/>
        </w:rPr>
      </w:r>
    </w:p>
    <w:p>
      <w:pPr>
        <w:pStyle w:val="Telotextu"/>
        <w:rPr>
          <w:b/>
          <w:b/>
          <w:sz w:val="20"/>
        </w:rPr>
      </w:pPr>
      <w:r>
        <w:rPr>
          <w:b/>
          <w:sz w:val="20"/>
        </w:rPr>
      </w:r>
    </w:p>
    <w:p>
      <w:pPr>
        <w:pStyle w:val="Telotextu"/>
        <w:rPr>
          <w:b/>
          <w:b/>
          <w:sz w:val="20"/>
        </w:rPr>
      </w:pPr>
      <w:r>
        <w:rPr>
          <w:b/>
          <w:sz w:val="20"/>
        </w:rPr>
      </w:r>
    </w:p>
    <w:p>
      <w:pPr>
        <w:pStyle w:val="Telotextu"/>
        <w:rPr>
          <w:b/>
          <w:b/>
          <w:sz w:val="20"/>
        </w:rPr>
      </w:pPr>
      <w:r>
        <w:rPr>
          <w:b/>
          <w:sz w:val="20"/>
        </w:rPr>
      </w:r>
    </w:p>
    <w:p>
      <w:pPr>
        <w:pStyle w:val="Telotextu"/>
        <w:rPr>
          <w:b/>
          <w:b/>
          <w:sz w:val="20"/>
        </w:rPr>
      </w:pPr>
      <w:r>
        <w:rPr>
          <w:b/>
          <w:sz w:val="20"/>
        </w:rPr>
      </w:r>
    </w:p>
    <w:p>
      <w:pPr>
        <w:pStyle w:val="Telotextu"/>
        <w:rPr>
          <w:b/>
          <w:b/>
          <w:sz w:val="20"/>
        </w:rPr>
      </w:pPr>
      <w:r>
        <w:rPr>
          <w:b/>
          <w:sz w:val="20"/>
        </w:rPr>
      </w:r>
    </w:p>
    <w:p>
      <w:pPr>
        <w:pStyle w:val="Telotextu"/>
        <w:rPr>
          <w:b/>
          <w:b/>
          <w:sz w:val="20"/>
        </w:rPr>
      </w:pPr>
      <w:r>
        <w:rPr>
          <w:b/>
          <w:sz w:val="20"/>
        </w:rPr>
      </w:r>
    </w:p>
    <w:p>
      <w:pPr>
        <w:pStyle w:val="Telotextu"/>
        <w:rPr>
          <w:b/>
          <w:b/>
          <w:sz w:val="20"/>
        </w:rPr>
      </w:pPr>
      <w:r>
        <w:rPr>
          <w:b/>
          <w:sz w:val="20"/>
        </w:rPr>
      </w:r>
    </w:p>
    <w:p>
      <w:pPr>
        <w:pStyle w:val="Telotextu"/>
        <w:rPr>
          <w:b/>
          <w:b/>
          <w:sz w:val="20"/>
        </w:rPr>
      </w:pPr>
      <w:r>
        <w:rPr>
          <w:b/>
          <w:sz w:val="20"/>
        </w:rPr>
      </w:r>
    </w:p>
    <w:p>
      <w:pPr>
        <w:pStyle w:val="Telotextu"/>
        <w:rPr>
          <w:b/>
          <w:b/>
          <w:sz w:val="20"/>
        </w:rPr>
      </w:pPr>
      <w:r>
        <w:rPr>
          <w:b/>
          <w:sz w:val="20"/>
        </w:rPr>
      </w:r>
    </w:p>
    <w:p>
      <w:pPr>
        <w:pStyle w:val="Telotextu"/>
        <w:rPr>
          <w:b/>
          <w:b/>
          <w:sz w:val="20"/>
        </w:rPr>
      </w:pPr>
      <w:r>
        <w:rPr>
          <w:b/>
          <w:sz w:val="20"/>
        </w:rPr>
      </w:r>
    </w:p>
    <w:p>
      <w:pPr>
        <w:pStyle w:val="Telotextu"/>
        <w:rPr>
          <w:b/>
          <w:b/>
          <w:sz w:val="20"/>
        </w:rPr>
      </w:pPr>
      <w:r>
        <w:rPr>
          <w:b/>
          <w:sz w:val="20"/>
        </w:rPr>
      </w:r>
    </w:p>
    <w:p>
      <w:pPr>
        <w:pStyle w:val="Telotextu"/>
        <w:rPr>
          <w:b/>
          <w:b/>
          <w:sz w:val="20"/>
        </w:rPr>
      </w:pPr>
      <w:r>
        <w:rPr>
          <w:b/>
          <w:sz w:val="20"/>
        </w:rPr>
      </w:r>
    </w:p>
    <w:p>
      <w:pPr>
        <w:pStyle w:val="Telotextu"/>
        <w:rPr>
          <w:b/>
          <w:b/>
          <w:sz w:val="20"/>
        </w:rPr>
      </w:pPr>
      <w:r>
        <w:rPr>
          <w:b/>
          <w:sz w:val="20"/>
        </w:rPr>
      </w:r>
    </w:p>
    <w:p>
      <w:pPr>
        <w:pStyle w:val="Telotextu"/>
        <w:rPr>
          <w:b/>
          <w:b/>
          <w:sz w:val="20"/>
        </w:rPr>
      </w:pPr>
      <w:r>
        <w:rPr>
          <w:b/>
          <w:sz w:val="20"/>
        </w:rPr>
      </w:r>
    </w:p>
    <w:p>
      <w:pPr>
        <w:pStyle w:val="Telotextu"/>
        <w:rPr>
          <w:b/>
          <w:b/>
          <w:sz w:val="20"/>
        </w:rPr>
      </w:pPr>
      <w:r>
        <w:rPr>
          <w:b/>
          <w:sz w:val="20"/>
        </w:rPr>
      </w:r>
    </w:p>
    <w:p>
      <w:pPr>
        <w:pStyle w:val="Telotextu"/>
        <w:rPr>
          <w:b/>
          <w:b/>
          <w:sz w:val="20"/>
        </w:rPr>
      </w:pPr>
      <w:r>
        <w:rPr>
          <w:b/>
          <w:sz w:val="20"/>
        </w:rPr>
      </w:r>
    </w:p>
    <w:p>
      <w:pPr>
        <w:pStyle w:val="Telotextu"/>
        <w:rPr>
          <w:b/>
          <w:b/>
          <w:sz w:val="20"/>
        </w:rPr>
      </w:pPr>
      <w:r>
        <w:rPr>
          <w:b/>
          <w:sz w:val="20"/>
        </w:rPr>
      </w:r>
    </w:p>
    <w:p>
      <w:pPr>
        <w:pStyle w:val="Telotextu"/>
        <w:spacing w:before="3" w:after="0"/>
        <w:rPr>
          <w:b/>
          <w:b/>
          <w:sz w:val="28"/>
        </w:rPr>
      </w:pPr>
      <w:r>
        <w:rPr>
          <w:b/>
          <w:sz w:val="28"/>
        </w:rPr>
      </w:r>
    </w:p>
    <w:p>
      <w:pPr>
        <w:sectPr>
          <w:headerReference w:type="default" r:id="rId2"/>
          <w:footerReference w:type="default" r:id="rId3"/>
          <w:type w:val="nextPage"/>
          <w:pgSz w:w="11906" w:h="16838"/>
          <w:pgMar w:left="1200" w:right="1160" w:header="751" w:top="1660" w:footer="1002" w:bottom="1200" w:gutter="0"/>
          <w:pgNumType w:fmt="decimal"/>
          <w:formProt w:val="false"/>
          <w:textDirection w:val="lrTb"/>
        </w:sectPr>
      </w:pPr>
    </w:p>
    <w:tbl>
      <w:tblPr>
        <w:tblStyle w:val="TableNormal"/>
        <w:tblW w:w="9211" w:type="dxa"/>
        <w:jc w:val="left"/>
        <w:tblInd w:w="113"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108" w:type="dxa"/>
          <w:bottom w:w="0" w:type="dxa"/>
          <w:right w:w="108" w:type="dxa"/>
        </w:tblCellMar>
        <w:tblLook w:val="01e0"/>
      </w:tblPr>
      <w:tblGrid>
        <w:gridCol w:w="4605"/>
        <w:gridCol w:w="4605"/>
      </w:tblGrid>
      <w:tr>
        <w:trPr>
          <w:trHeight w:val="537" w:hRule="atLeast"/>
        </w:trPr>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spacing w:lineRule="exact" w:line="268"/>
              <w:ind w:left="107" w:hanging="0"/>
              <w:rPr/>
            </w:pPr>
            <w:r>
              <w:rPr/>
              <w:t>Zostavené dňa</w:t>
            </w:r>
          </w:p>
        </w:tc>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spacing w:lineRule="exact" w:line="268"/>
              <w:ind w:left="772" w:right="755" w:hanging="0"/>
              <w:jc w:val="center"/>
              <w:rPr/>
            </w:pPr>
            <w:r>
              <w:rPr/>
              <w:t>15.06.2020</w:t>
            </w:r>
          </w:p>
        </w:tc>
      </w:tr>
      <w:tr>
        <w:trPr>
          <w:trHeight w:val="1074" w:hRule="atLeast"/>
        </w:trPr>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spacing w:lineRule="auto" w:line="235" w:before="1" w:after="0"/>
              <w:ind w:left="107" w:right="106" w:hanging="0"/>
              <w:rPr/>
            </w:pPr>
            <w:r>
              <w:rPr/>
              <w:t>Podpisový záznam štatutárneho orgánu účtovnej jednotky</w:t>
            </w:r>
          </w:p>
        </w:tc>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spacing w:lineRule="exact" w:line="268"/>
              <w:ind w:left="772" w:right="758" w:hanging="0"/>
              <w:jc w:val="center"/>
              <w:rPr/>
            </w:pPr>
            <w:r>
              <w:rPr/>
              <w:t>Ing. Ľubomír Gajdoš, predseda PD</w:t>
            </w:r>
          </w:p>
        </w:tc>
      </w:tr>
    </w:tbl>
    <w:p>
      <w:pPr>
        <w:sectPr>
          <w:type w:val="continuous"/>
          <w:pgSz w:w="11906" w:h="16838"/>
          <w:pgMar w:left="1200" w:right="1160" w:header="751" w:top="1660" w:footer="1002" w:bottom="1200" w:gutter="0"/>
          <w:pgNumType w:fmt="decimal"/>
          <w:formProt w:val="false"/>
          <w:textDirection w:val="lrTb"/>
          <w:docGrid w:type="default" w:linePitch="312" w:charSpace="4294965247"/>
        </w:sectPr>
      </w:pPr>
    </w:p>
    <w:p>
      <w:pPr>
        <w:pStyle w:val="Nadpis1"/>
        <w:spacing w:before="56" w:after="0"/>
        <w:ind w:left="0" w:hanging="0"/>
        <w:rPr/>
      </w:pPr>
      <w:r>
        <w:rPr/>
        <w:t xml:space="preserve">    </w:t>
      </w:r>
      <w:r>
        <w:rPr/>
        <w:t>OBSAH</w:t>
      </w:r>
    </w:p>
    <w:p>
      <w:pPr>
        <w:pStyle w:val="Telotextu"/>
        <w:rPr>
          <w:b/>
          <w:b/>
        </w:rPr>
      </w:pPr>
      <w:r>
        <w:rPr>
          <w:b/>
        </w:rPr>
      </w:r>
    </w:p>
    <w:p>
      <w:pPr>
        <w:pStyle w:val="Telotextu"/>
        <w:spacing w:before="6" w:after="0"/>
        <w:rPr>
          <w:b/>
          <w:b/>
          <w:sz w:val="19"/>
        </w:rPr>
      </w:pPr>
      <w:r>
        <w:rPr>
          <w:b/>
          <w:sz w:val="19"/>
        </w:rPr>
      </w:r>
    </w:p>
    <w:p>
      <w:pPr>
        <w:pStyle w:val="ListParagraph"/>
        <w:numPr>
          <w:ilvl w:val="0"/>
          <w:numId w:val="4"/>
        </w:numPr>
        <w:tabs>
          <w:tab w:val="left" w:pos="462" w:leader="none"/>
        </w:tabs>
        <w:ind w:left="461" w:hanging="246"/>
        <w:rPr/>
      </w:pPr>
      <w:r>
        <w:rPr/>
        <w:t>Informácie o stave a vývoji účtovnej</w:t>
      </w:r>
      <w:r>
        <w:rPr>
          <w:spacing w:val="-2"/>
        </w:rPr>
        <w:t xml:space="preserve"> </w:t>
      </w:r>
      <w:r>
        <w:rPr/>
        <w:t>jednotky</w:t>
      </w:r>
    </w:p>
    <w:p>
      <w:pPr>
        <w:pStyle w:val="Telotextu"/>
        <w:spacing w:before="1" w:after="0"/>
        <w:rPr/>
      </w:pPr>
      <w:r>
        <w:rPr/>
      </w:r>
    </w:p>
    <w:p>
      <w:pPr>
        <w:pStyle w:val="ListParagraph"/>
        <w:numPr>
          <w:ilvl w:val="0"/>
          <w:numId w:val="4"/>
        </w:numPr>
        <w:tabs>
          <w:tab w:val="left" w:pos="450" w:leader="none"/>
        </w:tabs>
        <w:ind w:left="216" w:right="1252" w:hanging="0"/>
        <w:rPr/>
      </w:pPr>
      <w:r>
        <w:rPr/>
        <w:t>Udalosti osobitného významu, ktoré nastali po skončení účtovného obdobia, za ktoré sa vyhotovuje výročná</w:t>
      </w:r>
      <w:r>
        <w:rPr>
          <w:spacing w:val="-4"/>
        </w:rPr>
        <w:t xml:space="preserve"> </w:t>
      </w:r>
      <w:r>
        <w:rPr/>
        <w:t>správa</w:t>
      </w:r>
    </w:p>
    <w:p>
      <w:pPr>
        <w:pStyle w:val="Telotextu"/>
        <w:spacing w:before="11" w:after="0"/>
        <w:rPr>
          <w:sz w:val="21"/>
        </w:rPr>
      </w:pPr>
      <w:r>
        <w:rPr>
          <w:sz w:val="21"/>
        </w:rPr>
      </w:r>
    </w:p>
    <w:p>
      <w:pPr>
        <w:pStyle w:val="ListParagraph"/>
        <w:numPr>
          <w:ilvl w:val="0"/>
          <w:numId w:val="4"/>
        </w:numPr>
        <w:tabs>
          <w:tab w:val="left" w:pos="443" w:leader="none"/>
        </w:tabs>
        <w:ind w:left="442" w:hanging="227"/>
        <w:rPr/>
      </w:pPr>
      <w:r>
        <w:rPr/>
        <w:t>Predpokladaný budúci vývoj činnosti účtovnej</w:t>
      </w:r>
      <w:r>
        <w:rPr>
          <w:spacing w:val="-4"/>
        </w:rPr>
        <w:t xml:space="preserve"> </w:t>
      </w:r>
      <w:r>
        <w:rPr/>
        <w:t>jednotky</w:t>
      </w:r>
    </w:p>
    <w:p>
      <w:pPr>
        <w:pStyle w:val="Telotextu"/>
        <w:rPr/>
      </w:pPr>
      <w:r>
        <w:rPr/>
      </w:r>
    </w:p>
    <w:p>
      <w:pPr>
        <w:pStyle w:val="ListParagraph"/>
        <w:numPr>
          <w:ilvl w:val="0"/>
          <w:numId w:val="4"/>
        </w:numPr>
        <w:tabs>
          <w:tab w:val="left" w:pos="467" w:leader="none"/>
        </w:tabs>
        <w:ind w:left="466" w:hanging="251"/>
        <w:rPr/>
      </w:pPr>
      <w:r>
        <w:rPr/>
        <w:t>Náklady na činnosť v oblasti výskumu a</w:t>
      </w:r>
      <w:r>
        <w:rPr>
          <w:spacing w:val="-5"/>
        </w:rPr>
        <w:t xml:space="preserve"> </w:t>
      </w:r>
      <w:r>
        <w:rPr/>
        <w:t>vývoja</w:t>
      </w:r>
    </w:p>
    <w:p>
      <w:pPr>
        <w:pStyle w:val="Telotextu"/>
        <w:spacing w:before="1" w:after="0"/>
        <w:rPr/>
      </w:pPr>
      <w:r>
        <w:rPr/>
      </w:r>
    </w:p>
    <w:p>
      <w:pPr>
        <w:pStyle w:val="ListParagraph"/>
        <w:numPr>
          <w:ilvl w:val="0"/>
          <w:numId w:val="4"/>
        </w:numPr>
        <w:tabs>
          <w:tab w:val="left" w:pos="435" w:leader="none"/>
        </w:tabs>
        <w:ind w:left="216" w:right="794" w:hanging="0"/>
        <w:rPr/>
      </w:pPr>
      <w:r>
        <w:rPr/>
        <w:t>Nadobúdanie vlastných akcií, dočasných listov, obchodných podielov a akcií, dočasných listov a obchodných podielov materskej účtovnej jednotky podľa paragrafu 22 –</w:t>
      </w:r>
      <w:r>
        <w:rPr>
          <w:spacing w:val="-7"/>
        </w:rPr>
        <w:t xml:space="preserve"> </w:t>
      </w:r>
      <w:r>
        <w:rPr/>
        <w:t>konsolidácia</w:t>
      </w:r>
    </w:p>
    <w:p>
      <w:pPr>
        <w:pStyle w:val="Telotextu"/>
        <w:rPr/>
      </w:pPr>
      <w:r>
        <w:rPr/>
      </w:r>
    </w:p>
    <w:p>
      <w:pPr>
        <w:pStyle w:val="ListParagraph"/>
        <w:numPr>
          <w:ilvl w:val="0"/>
          <w:numId w:val="4"/>
        </w:numPr>
        <w:tabs>
          <w:tab w:val="left" w:pos="428" w:leader="none"/>
        </w:tabs>
        <w:spacing w:before="1" w:after="0"/>
        <w:ind w:left="427" w:hanging="212"/>
        <w:rPr/>
      </w:pPr>
      <w:r>
        <w:rPr/>
        <w:t>Návrh na vyrovnanie straty alebo rozdelenie</w:t>
      </w:r>
      <w:r>
        <w:rPr>
          <w:spacing w:val="-3"/>
        </w:rPr>
        <w:t xml:space="preserve"> </w:t>
      </w:r>
      <w:r>
        <w:rPr/>
        <w:t>zisku</w:t>
      </w:r>
    </w:p>
    <w:p>
      <w:pPr>
        <w:pStyle w:val="Telotextu"/>
        <w:spacing w:before="10" w:after="0"/>
        <w:rPr>
          <w:sz w:val="21"/>
        </w:rPr>
      </w:pPr>
      <w:r>
        <w:rPr>
          <w:sz w:val="21"/>
        </w:rPr>
      </w:r>
    </w:p>
    <w:p>
      <w:pPr>
        <w:pStyle w:val="ListParagraph"/>
        <w:numPr>
          <w:ilvl w:val="0"/>
          <w:numId w:val="4"/>
        </w:numPr>
        <w:tabs>
          <w:tab w:val="left" w:pos="467" w:leader="none"/>
        </w:tabs>
        <w:ind w:left="466" w:hanging="251"/>
        <w:rPr/>
      </w:pPr>
      <w:r>
        <w:rPr/>
        <w:t>Údaje požadované podľa osobitných</w:t>
      </w:r>
      <w:r>
        <w:rPr>
          <w:spacing w:val="-3"/>
        </w:rPr>
        <w:t xml:space="preserve"> </w:t>
      </w:r>
      <w:r>
        <w:rPr/>
        <w:t>predpisov</w:t>
      </w:r>
    </w:p>
    <w:p>
      <w:pPr>
        <w:pStyle w:val="Telotextu"/>
        <w:spacing w:before="1" w:after="0"/>
        <w:rPr/>
      </w:pPr>
      <w:r>
        <w:rPr/>
      </w:r>
    </w:p>
    <w:p>
      <w:pPr>
        <w:pStyle w:val="ListParagraph"/>
        <w:numPr>
          <w:ilvl w:val="0"/>
          <w:numId w:val="4"/>
        </w:numPr>
        <w:tabs>
          <w:tab w:val="left" w:pos="467" w:leader="none"/>
        </w:tabs>
        <w:ind w:left="466" w:hanging="251"/>
        <w:rPr/>
      </w:pPr>
      <w:r>
        <w:rPr/>
        <w:t>Informácia o tom, či má účtovná jednotka organizačnú zložku v</w:t>
      </w:r>
      <w:r>
        <w:rPr>
          <w:spacing w:val="-11"/>
        </w:rPr>
        <w:t xml:space="preserve"> </w:t>
      </w:r>
      <w:r>
        <w:rPr/>
        <w:t>zahraničí</w:t>
      </w:r>
    </w:p>
    <w:p>
      <w:pPr>
        <w:pStyle w:val="Telotextu"/>
        <w:rPr/>
      </w:pPr>
      <w:r>
        <w:rPr/>
      </w:r>
    </w:p>
    <w:p>
      <w:pPr>
        <w:sectPr>
          <w:headerReference w:type="default" r:id="rId4"/>
          <w:footerReference w:type="default" r:id="rId5"/>
          <w:type w:val="nextPage"/>
          <w:pgSz w:w="11906" w:h="16838"/>
          <w:pgMar w:left="1200" w:right="1160" w:header="751" w:top="1660" w:footer="1002" w:bottom="1200" w:gutter="0"/>
          <w:pgNumType w:fmt="decimal"/>
          <w:formProt w:val="false"/>
          <w:textDirection w:val="lrTb"/>
          <w:docGrid w:type="default" w:linePitch="240" w:charSpace="4294965247"/>
        </w:sectPr>
        <w:pStyle w:val="Nadpis1"/>
        <w:rPr/>
      </w:pPr>
      <w:r>
        <w:rPr/>
        <w:t>Prílohy</w:t>
      </w:r>
    </w:p>
    <w:p>
      <w:pPr>
        <w:pStyle w:val="Telotextu"/>
        <w:spacing w:before="5" w:after="0"/>
        <w:rPr>
          <w:b/>
          <w:b/>
          <w:sz w:val="23"/>
        </w:rPr>
      </w:pPr>
      <w:r>
        <w:rPr>
          <w:b/>
          <w:sz w:val="23"/>
        </w:rPr>
      </w:r>
    </w:p>
    <w:p>
      <w:pPr>
        <w:pStyle w:val="ListParagraph"/>
        <w:numPr>
          <w:ilvl w:val="0"/>
          <w:numId w:val="3"/>
        </w:numPr>
        <w:tabs>
          <w:tab w:val="left" w:pos="411" w:leader="none"/>
        </w:tabs>
        <w:spacing w:before="56" w:after="0"/>
        <w:ind w:left="410" w:hanging="195"/>
        <w:rPr>
          <w:b/>
          <w:b/>
        </w:rPr>
      </w:pPr>
      <w:r>
        <w:rPr>
          <w:b/>
        </w:rPr>
        <w:t>Informácie o stave a vývoji účtovnej</w:t>
      </w:r>
      <w:r>
        <w:rPr>
          <w:b/>
          <w:spacing w:val="-8"/>
        </w:rPr>
        <w:t xml:space="preserve"> </w:t>
      </w:r>
      <w:r>
        <w:rPr>
          <w:b/>
        </w:rPr>
        <w:t>jednotky</w:t>
      </w:r>
    </w:p>
    <w:p>
      <w:pPr>
        <w:pStyle w:val="Telotextu"/>
        <w:spacing w:before="1" w:after="0"/>
        <w:rPr>
          <w:b/>
          <w:b/>
        </w:rPr>
      </w:pPr>
      <w:r>
        <w:rPr>
          <w:b/>
        </w:rPr>
      </w:r>
    </w:p>
    <w:p>
      <w:pPr>
        <w:pStyle w:val="Telotextu"/>
        <w:ind w:left="216" w:right="874" w:hanging="0"/>
        <w:rPr/>
      </w:pPr>
      <w:r>
        <w:rPr/>
        <w:t>Účtovná jednotka je zapísaná v obchodnom registri Okresného súdu Trenčín, oddiel: Dr, vložka číslo:76/R</w:t>
      </w:r>
    </w:p>
    <w:p>
      <w:pPr>
        <w:pStyle w:val="Telotextu"/>
        <w:tabs>
          <w:tab w:val="left" w:pos="3048" w:leader="none"/>
        </w:tabs>
        <w:spacing w:lineRule="exact" w:line="267"/>
        <w:ind w:left="216" w:hanging="0"/>
        <w:rPr/>
      </w:pPr>
      <w:r>
        <w:rPr/>
        <w:t>Obchodné</w:t>
      </w:r>
      <w:r>
        <w:rPr>
          <w:spacing w:val="-3"/>
        </w:rPr>
        <w:t xml:space="preserve"> </w:t>
      </w:r>
      <w:r>
        <w:rPr/>
        <w:t>meno:</w:t>
        <w:tab/>
        <w:t>PD Inovec Trenčianske</w:t>
      </w:r>
      <w:r>
        <w:rPr>
          <w:spacing w:val="-4"/>
        </w:rPr>
        <w:t xml:space="preserve"> </w:t>
      </w:r>
      <w:r>
        <w:rPr/>
        <w:t>Stankovce</w:t>
      </w:r>
    </w:p>
    <w:p>
      <w:pPr>
        <w:pStyle w:val="Telotextu"/>
        <w:tabs>
          <w:tab w:val="left" w:pos="3048" w:leader="none"/>
        </w:tabs>
        <w:ind w:left="216" w:hanging="0"/>
        <w:rPr/>
      </w:pPr>
      <w:r>
        <w:rPr/>
        <w:t>Sídlo:</w:t>
        <w:tab/>
        <w:t>913 11 Trenčianske Stankovce, Veľké Stankovce</w:t>
      </w:r>
      <w:r>
        <w:rPr>
          <w:spacing w:val="-9"/>
        </w:rPr>
        <w:t xml:space="preserve"> </w:t>
      </w:r>
      <w:r>
        <w:rPr/>
        <w:t>891</w:t>
      </w:r>
    </w:p>
    <w:p>
      <w:pPr>
        <w:pStyle w:val="Telotextu"/>
        <w:tabs>
          <w:tab w:val="right" w:pos="4040" w:leader="none"/>
        </w:tabs>
        <w:ind w:left="216" w:hanging="0"/>
        <w:rPr/>
      </w:pPr>
      <w:r>
        <w:rPr/>
        <w:t>IČO:</w:t>
        <w:tab/>
        <w:t>00 222</w:t>
      </w:r>
      <w:r>
        <w:rPr>
          <w:spacing w:val="-5"/>
        </w:rPr>
        <w:t xml:space="preserve"> </w:t>
      </w:r>
      <w:r>
        <w:rPr/>
        <w:t>453</w:t>
      </w:r>
    </w:p>
    <w:p>
      <w:pPr>
        <w:pStyle w:val="Telotextu"/>
        <w:tabs>
          <w:tab w:val="right" w:pos="4052" w:leader="none"/>
        </w:tabs>
        <w:spacing w:before="1" w:after="0"/>
        <w:ind w:left="216" w:hanging="0"/>
        <w:rPr/>
      </w:pPr>
      <w:r>
        <w:rPr/>
        <w:t>Deň</w:t>
      </w:r>
      <w:r>
        <w:rPr>
          <w:spacing w:val="-1"/>
        </w:rPr>
        <w:t xml:space="preserve"> </w:t>
      </w:r>
      <w:r>
        <w:rPr/>
        <w:t>zápisu:</w:t>
        <w:tab/>
        <w:t>01.01.1977</w:t>
      </w:r>
    </w:p>
    <w:p>
      <w:pPr>
        <w:pStyle w:val="Telotextu"/>
        <w:tabs>
          <w:tab w:val="left" w:pos="3048" w:leader="none"/>
        </w:tabs>
        <w:ind w:left="216" w:hanging="0"/>
        <w:rPr/>
      </w:pPr>
      <w:r>
        <w:rPr/>
        <w:t>Právna</w:t>
      </w:r>
      <w:r>
        <w:rPr>
          <w:spacing w:val="-4"/>
        </w:rPr>
        <w:t xml:space="preserve"> </w:t>
      </w:r>
      <w:r>
        <w:rPr/>
        <w:t>forma:</w:t>
        <w:tab/>
        <w:t>družstvo</w:t>
      </w:r>
    </w:p>
    <w:p>
      <w:pPr>
        <w:pStyle w:val="Telotextu"/>
        <w:tabs>
          <w:tab w:val="left" w:pos="3048" w:leader="none"/>
        </w:tabs>
        <w:ind w:left="216" w:hanging="0"/>
        <w:rPr/>
      </w:pPr>
      <w:r>
        <w:rPr/>
        <w:t>Zapisované</w:t>
      </w:r>
      <w:r>
        <w:rPr>
          <w:spacing w:val="-1"/>
        </w:rPr>
        <w:t xml:space="preserve"> </w:t>
      </w:r>
      <w:r>
        <w:rPr/>
        <w:t>základné</w:t>
      </w:r>
      <w:r>
        <w:rPr>
          <w:spacing w:val="-2"/>
        </w:rPr>
        <w:t xml:space="preserve"> </w:t>
      </w:r>
      <w:r>
        <w:rPr/>
        <w:t>imanie:</w:t>
        <w:tab/>
        <w:t>452 596,15 EUR (od:</w:t>
      </w:r>
      <w:r>
        <w:rPr>
          <w:spacing w:val="-3"/>
        </w:rPr>
        <w:t xml:space="preserve"> </w:t>
      </w:r>
      <w:r>
        <w:rPr/>
        <w:t>07.03.2009)</w:t>
      </w:r>
    </w:p>
    <w:p>
      <w:pPr>
        <w:pStyle w:val="Telotextu"/>
        <w:tabs>
          <w:tab w:val="left" w:pos="3048" w:leader="none"/>
        </w:tabs>
        <w:spacing w:before="1" w:after="0"/>
        <w:ind w:left="216" w:right="3938" w:hanging="0"/>
        <w:rPr/>
      </w:pPr>
      <w:r>
        <w:rPr/>
        <w:t>Základný</w:t>
      </w:r>
      <w:r>
        <w:rPr>
          <w:spacing w:val="-4"/>
        </w:rPr>
        <w:t xml:space="preserve"> </w:t>
      </w:r>
      <w:r>
        <w:rPr/>
        <w:t>vklad:</w:t>
        <w:tab/>
        <w:t>896,23 EUR (od: 07.03.2009) Štatutárny</w:t>
      </w:r>
      <w:r>
        <w:rPr>
          <w:spacing w:val="-3"/>
        </w:rPr>
        <w:t xml:space="preserve"> </w:t>
      </w:r>
      <w:r>
        <w:rPr/>
        <w:t>orgán:</w:t>
      </w:r>
    </w:p>
    <w:p>
      <w:pPr>
        <w:pStyle w:val="Telotextu"/>
        <w:spacing w:lineRule="exact" w:line="267" w:before="1" w:after="0"/>
        <w:ind w:left="216" w:hanging="0"/>
        <w:rPr/>
      </w:pPr>
      <w:r>
        <w:rPr/>
        <w:t>Predstavenstvo (08.05.2018):</w:t>
      </w:r>
    </w:p>
    <w:p>
      <w:pPr>
        <w:pStyle w:val="Telotextu"/>
        <w:ind w:left="1632" w:right="2026" w:hanging="0"/>
        <w:rPr/>
      </w:pPr>
      <w:r>
        <w:rPr/>
        <w:t>Ing. Ľubomír Gajdoš – predseda, 914 41 Nemšová, Vlárska 447/34 Rudolf Zeman – člen, 907 01 Myjava, Stará Myjava 345</w:t>
      </w:r>
    </w:p>
    <w:p>
      <w:pPr>
        <w:pStyle w:val="Telotextu"/>
        <w:ind w:left="216" w:hanging="0"/>
        <w:rPr/>
      </w:pPr>
      <w:r>
        <w:rPr/>
        <w:t>Kontrolná komisia (08.05.2018):</w:t>
      </w:r>
    </w:p>
    <w:p>
      <w:pPr>
        <w:pStyle w:val="Telotextu"/>
        <w:ind w:left="1682" w:right="4910" w:hanging="51"/>
        <w:rPr/>
      </w:pPr>
      <w:r>
        <w:rPr/>
        <w:t>Urbánková Katarína, predseda KK Ing. Maxon Miroslav</w:t>
      </w:r>
    </w:p>
    <w:p>
      <w:pPr>
        <w:pStyle w:val="Telotextu"/>
        <w:ind w:left="1632" w:hanging="0"/>
        <w:rPr/>
      </w:pPr>
      <w:r>
        <w:rPr/>
        <w:t>Ing. Karlík Zdenko</w:t>
      </w:r>
    </w:p>
    <w:p>
      <w:pPr>
        <w:pStyle w:val="Telotextu"/>
        <w:tabs>
          <w:tab w:val="left" w:pos="1632" w:leader="none"/>
        </w:tabs>
        <w:ind w:left="216" w:right="5233" w:hanging="0"/>
        <w:rPr/>
      </w:pPr>
      <w:r>
        <w:rPr/>
        <w:t>SK.NACE:</w:t>
        <w:tab/>
        <w:t>01.50 Zmiešané hospodárstvo Predmet</w:t>
      </w:r>
      <w:r>
        <w:rPr>
          <w:spacing w:val="-3"/>
        </w:rPr>
        <w:t xml:space="preserve"> </w:t>
      </w:r>
      <w:r>
        <w:rPr/>
        <w:t>činnosti:</w:t>
      </w:r>
    </w:p>
    <w:p>
      <w:pPr>
        <w:pStyle w:val="Telotextu"/>
        <w:ind w:left="924" w:hanging="0"/>
        <w:rPr/>
      </w:pPr>
      <w:r>
        <w:rPr/>
        <w:t>Sprostredkovanie obchodu</w:t>
      </w:r>
    </w:p>
    <w:p>
      <w:pPr>
        <w:pStyle w:val="Telotextu"/>
        <w:spacing w:lineRule="auto" w:line="235" w:before="3" w:after="0"/>
        <w:ind w:left="924" w:right="4801" w:hanging="0"/>
        <w:rPr/>
      </w:pPr>
      <w:r>
        <w:rPr/>
        <w:t>Veľkoobchod v rámci ohlasovacích živností Automatizované spracovanie dát</w:t>
      </w:r>
    </w:p>
    <w:p>
      <w:pPr>
        <w:pStyle w:val="Telotextu"/>
        <w:spacing w:before="2" w:after="0"/>
        <w:ind w:left="924" w:right="5455" w:hanging="0"/>
        <w:rPr/>
      </w:pPr>
      <w:r>
        <w:rPr/>
        <w:t>Výroba betónu a betónových zmesí Kovovýroba</w:t>
      </w:r>
    </w:p>
    <w:p>
      <w:pPr>
        <w:pStyle w:val="Telotextu"/>
        <w:ind w:left="924" w:hanging="0"/>
        <w:rPr/>
      </w:pPr>
      <w:r>
        <w:rPr/>
        <w:t>Oprava, údržba elektrických zariadení</w:t>
      </w:r>
    </w:p>
    <w:p>
      <w:pPr>
        <w:pStyle w:val="Telotextu"/>
        <w:ind w:left="924" w:right="3434" w:hanging="0"/>
        <w:rPr/>
      </w:pPr>
      <w:r>
        <w:rPr/>
        <w:t>Oprava, servis, prenájom strojov, zariadení, mechanizmov Stavebné práce murárske</w:t>
      </w:r>
    </w:p>
    <w:p>
      <w:pPr>
        <w:pStyle w:val="Telotextu"/>
        <w:spacing w:before="1" w:after="0"/>
        <w:ind w:left="924" w:right="4513" w:hanging="0"/>
        <w:rPr/>
      </w:pPr>
      <w:r>
        <w:rPr/>
        <w:t>Oprava, servis, prenájom motorových vozidiel Prenájom nebytových priestorov</w:t>
      </w:r>
    </w:p>
    <w:p>
      <w:pPr>
        <w:pStyle w:val="Telotextu"/>
        <w:ind w:left="924" w:right="779" w:hanging="0"/>
        <w:rPr/>
      </w:pPr>
      <w:r>
        <w:rPr/>
        <w:t>Kúpa tovaru na účely jeho predaja konečnému spotrebiteľovi v rozsahu voľných živností Poľnohospodárstvo a lesníctvo včítane predaja nespracovaných poľnohospodárskych</w:t>
      </w:r>
    </w:p>
    <w:p>
      <w:pPr>
        <w:pStyle w:val="Telotextu"/>
        <w:ind w:left="924" w:right="2026" w:hanging="0"/>
        <w:rPr/>
      </w:pPr>
      <w:r>
        <w:rPr/>
        <w:t>a lesných výrobkov za účelom spracovania alebo ďalšieho predaja Poskytovanie služieb v poľnohospodárstve a záhradníctve</w:t>
      </w:r>
    </w:p>
    <w:p>
      <w:pPr>
        <w:pStyle w:val="Telotextu"/>
        <w:ind w:left="924" w:right="748" w:hanging="0"/>
        <w:rPr/>
      </w:pPr>
      <w:r>
        <w:rPr/>
        <w:t>Poskytovanie služieb rýchleho občerstvenia v spojení s predajom na priamu konzumáciu Prevádzkovanie výdajne stravy</w:t>
      </w:r>
    </w:p>
    <w:p>
      <w:pPr>
        <w:pStyle w:val="Telotextu"/>
        <w:ind w:left="924" w:right="3434" w:hanging="0"/>
        <w:rPr/>
      </w:pPr>
      <w:r>
        <w:rPr/>
        <w:t>Organizovanie kultúrnych a iných spoločenských podujatí Prevádzkovanie športových zariadení</w:t>
      </w:r>
    </w:p>
    <w:p>
      <w:pPr>
        <w:pStyle w:val="Telotextu"/>
        <w:ind w:left="924" w:hanging="0"/>
        <w:rPr/>
      </w:pPr>
      <w:r>
        <w:rPr/>
        <w:t>Vykonávanie mimoškolskej vzdelávacej činnosti</w:t>
      </w:r>
    </w:p>
    <w:p>
      <w:pPr>
        <w:pStyle w:val="Telotextu"/>
        <w:spacing w:before="1" w:after="0"/>
        <w:ind w:left="924" w:right="3209" w:hanging="0"/>
        <w:rPr/>
      </w:pPr>
      <w:r>
        <w:rPr/>
        <w:t>Poskytovanie služieb súvisiacich so starostlivosťou o zvieratá Ubytovacie služby bez poskytovania pohostinských činností Vnútroštátna nákladná cestná doprava</w:t>
      </w:r>
    </w:p>
    <w:p>
      <w:pPr>
        <w:pStyle w:val="Telotextu"/>
        <w:ind w:left="924" w:right="1041" w:hanging="0"/>
        <w:rPr/>
      </w:pPr>
      <w:r>
        <w:rPr/>
        <w:t>Výskum a vývoj v oblasti prírodných, technických, spoločenských a humanitných vied Výroba rastlinných a živočíšnych olejov a tukov</w:t>
      </w:r>
    </w:p>
    <w:p>
      <w:pPr>
        <w:pStyle w:val="Telotextu"/>
        <w:ind w:left="924" w:hanging="0"/>
        <w:rPr/>
      </w:pPr>
      <w:r>
        <w:rPr/>
        <w:t>Výroba kŕmnych zmesí</w:t>
      </w:r>
    </w:p>
    <w:p>
      <w:pPr>
        <w:sectPr>
          <w:headerReference w:type="default" r:id="rId6"/>
          <w:footerReference w:type="default" r:id="rId7"/>
          <w:type w:val="nextPage"/>
          <w:pgSz w:w="11906" w:h="16838"/>
          <w:pgMar w:left="1200" w:right="1160" w:header="751" w:top="1660" w:footer="1002" w:bottom="1200" w:gutter="0"/>
          <w:pgNumType w:fmt="decimal"/>
          <w:formProt w:val="false"/>
          <w:textDirection w:val="lrTb"/>
          <w:docGrid w:type="default" w:linePitch="240" w:charSpace="4294965247"/>
        </w:sectPr>
        <w:pStyle w:val="Telotextu"/>
        <w:ind w:left="924" w:right="5616" w:hanging="0"/>
        <w:rPr/>
      </w:pPr>
      <w:r>
        <w:rPr/>
        <w:t>Výroba potravinárskych výrobkov Reklamné a marketingové služby</w:t>
      </w:r>
    </w:p>
    <w:p>
      <w:pPr>
        <w:pStyle w:val="Telotextu"/>
        <w:spacing w:before="78" w:after="0"/>
        <w:ind w:left="924" w:hanging="0"/>
        <w:rPr/>
      </w:pPr>
      <w:r>
        <w:rPr/>
        <w:t>Prieskum trhu a verejnej mienky</w:t>
      </w:r>
    </w:p>
    <w:p>
      <w:pPr>
        <w:pStyle w:val="Telotextu"/>
        <w:rPr/>
      </w:pPr>
      <w:r>
        <w:rPr/>
      </w:r>
    </w:p>
    <w:p>
      <w:pPr>
        <w:pStyle w:val="Telotextu"/>
        <w:rPr/>
      </w:pPr>
      <w:r>
        <w:rPr/>
      </w:r>
    </w:p>
    <w:p>
      <w:pPr>
        <w:pStyle w:val="Telotextu"/>
        <w:spacing w:lineRule="exact" w:line="267"/>
        <w:ind w:left="216" w:hanging="0"/>
        <w:rPr/>
      </w:pPr>
      <w:r>
        <w:rPr/>
        <w:t>Družstvo vzniklo na spoločnej členskej schôdzi dňa 7.decembra 1976 zlúčením Jednotných</w:t>
      </w:r>
    </w:p>
    <w:p>
      <w:pPr>
        <w:pStyle w:val="Telotextu"/>
        <w:ind w:left="216" w:right="696" w:hanging="0"/>
        <w:rPr/>
      </w:pPr>
      <w:r>
        <w:rPr/>
        <w:t>roľníckych družstiev : Trenčianske Stankovce a Krivosúd-Bodovka, bolo zvolené predstavenstvo a prijaté stanovy. Okresný národný výbor, odbor poľnohospodárstva v Trenčíne rozhodnutím č.</w:t>
      </w:r>
    </w:p>
    <w:p>
      <w:pPr>
        <w:pStyle w:val="Telotextu"/>
        <w:ind w:left="216" w:right="591" w:hanging="0"/>
        <w:rPr/>
      </w:pPr>
      <w:r>
        <w:rPr/>
        <w:t>277/77-práv. zo dňa 24.1.1977 schválil vznik družstva a jeho stanovy podľa zákona č. 122/75 Zb. Deň ku ktorému je družstvo zapísané do podnikového registra je : 25.4.1977 /§ l zák. č. 72/70 Zb./ Stanovy :</w:t>
      </w:r>
    </w:p>
    <w:p>
      <w:pPr>
        <w:pStyle w:val="Telotextu"/>
        <w:ind w:left="216" w:right="1937" w:hanging="0"/>
        <w:rPr/>
      </w:pPr>
      <w:r>
        <w:rPr/>
        <w:t>Na výročnej členskej schôdzi dňa 8.3.1991 boli prijaté nové stanovy družstva podľa Zákona č. 162/1990 Zb. o poľnohospodárskom družstevníctve.</w:t>
      </w:r>
    </w:p>
    <w:p>
      <w:pPr>
        <w:pStyle w:val="Telotextu"/>
        <w:spacing w:before="1" w:after="0"/>
        <w:ind w:left="216" w:right="499" w:hanging="0"/>
        <w:rPr/>
      </w:pPr>
      <w:r>
        <w:rPr/>
        <w:t>Stanovy družstva prijaté členskou schôdzou družstva dňa 22.12.1992. Starý spis: Dr 1391 Členská schôdza dňa 30.05.1996 schválila nové stanovy družstva. Členská schôdza družstva dňa 15.04.1997 rozhodla o zmene stanov. Členská schôdza dňa 17.03.1998 rozhodla o zmene stanov družstva.</w:t>
      </w:r>
    </w:p>
    <w:p>
      <w:pPr>
        <w:pStyle w:val="Telotextu"/>
        <w:spacing w:lineRule="exact" w:line="267"/>
        <w:ind w:left="216" w:hanging="0"/>
        <w:rPr/>
      </w:pPr>
      <w:r>
        <w:rPr/>
        <w:t>Zmena stanov schválená členskou schôdzou dňa 11.03.1999.</w:t>
      </w:r>
    </w:p>
    <w:p>
      <w:pPr>
        <w:pStyle w:val="Telotextu"/>
        <w:ind w:left="216" w:right="1360" w:hanging="0"/>
        <w:rPr/>
      </w:pPr>
      <w:r>
        <w:rPr/>
        <w:t>Prijatie právnickej osoby BOSKOP za člena družstva sa uskutočnilo na predstavenstve dňa 10.12.2007</w:t>
      </w:r>
    </w:p>
    <w:p>
      <w:pPr>
        <w:pStyle w:val="Telotextu"/>
        <w:spacing w:before="1" w:after="0"/>
        <w:ind w:left="216" w:right="1000" w:hanging="0"/>
        <w:rPr/>
      </w:pPr>
      <w:r>
        <w:rPr/>
        <w:t>Družstvo má vlastnícky podiel na urbárskom majetku v Združení urbársko – pasienkovej spoločnosti Trenčianske Stankovce – časť Veľké Stankovce pod por.č. 163 s veľkosťou podielu 3240/58 – 120-tin. 18 ks podielov</w:t>
      </w:r>
    </w:p>
    <w:p>
      <w:pPr>
        <w:pStyle w:val="Telotextu"/>
        <w:rPr/>
      </w:pPr>
      <w:r>
        <w:rPr/>
      </w:r>
    </w:p>
    <w:p>
      <w:pPr>
        <w:pStyle w:val="Nadpis1"/>
        <w:spacing w:before="1" w:after="0"/>
        <w:rPr/>
      </w:pPr>
      <w:r>
        <w:rPr/>
        <w:t>Vyhodnotenie roka 2019</w:t>
      </w:r>
    </w:p>
    <w:p>
      <w:pPr>
        <w:pStyle w:val="Telotextu"/>
        <w:spacing w:lineRule="exact" w:line="267"/>
        <w:ind w:left="216" w:hanging="0"/>
        <w:rPr/>
      </w:pPr>
      <w:r>
        <w:rPr/>
        <w:t>Rastlinná výroba</w:t>
      </w:r>
    </w:p>
    <w:p>
      <w:pPr>
        <w:pStyle w:val="Telotextu"/>
        <w:ind w:left="216" w:right="352" w:hanging="0"/>
        <w:rPr/>
      </w:pPr>
      <w:r>
        <w:rPr/>
        <w:t>Porasty boli založené za priaznivých podmienok, boli dodržané agrotechnické termíny.  V pestovaní cukrovej repy sme opakovane dosiahli významné umiestnenie – 4. miesto v TOP rebríčku pestovateľov cukrovej repy v SR.</w:t>
      </w:r>
    </w:p>
    <w:p>
      <w:pPr>
        <w:pStyle w:val="Telotextu"/>
        <w:spacing w:before="0" w:after="4"/>
        <w:ind w:left="216" w:hanging="0"/>
        <w:rPr/>
      </w:pPr>
      <w:r>
        <w:rPr/>
        <w:t>Úrody</w:t>
      </w:r>
    </w:p>
    <w:tbl>
      <w:tblPr>
        <w:tblStyle w:val="TableNormal"/>
        <w:tblW w:w="9212" w:type="dxa"/>
        <w:jc w:val="left"/>
        <w:tblInd w:w="113"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108" w:type="dxa"/>
          <w:bottom w:w="0" w:type="dxa"/>
          <w:right w:w="108" w:type="dxa"/>
        </w:tblCellMar>
        <w:tblLook w:val="01e0"/>
      </w:tblPr>
      <w:tblGrid>
        <w:gridCol w:w="3070"/>
        <w:gridCol w:w="3072"/>
        <w:gridCol w:w="3070"/>
      </w:tblGrid>
      <w:tr>
        <w:trPr>
          <w:trHeight w:val="268" w:hRule="atLeast"/>
        </w:trPr>
        <w:tc>
          <w:tcPr>
            <w:tcW w:w="307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plodina</w:t>
            </w:r>
          </w:p>
        </w:tc>
        <w:tc>
          <w:tcPr>
            <w:tcW w:w="307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1" w:hanging="0"/>
              <w:jc w:val="right"/>
              <w:rPr/>
            </w:pPr>
            <w:r>
              <w:rPr/>
              <w:t>zberová plocha v ha</w:t>
            </w:r>
          </w:p>
        </w:tc>
        <w:tc>
          <w:tcPr>
            <w:tcW w:w="307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0" w:hanging="0"/>
              <w:jc w:val="right"/>
              <w:rPr/>
            </w:pPr>
            <w:r>
              <w:rPr/>
              <w:t>úroda t/ha</w:t>
            </w:r>
          </w:p>
        </w:tc>
      </w:tr>
      <w:tr>
        <w:trPr>
          <w:trHeight w:val="268" w:hRule="atLeast"/>
        </w:trPr>
        <w:tc>
          <w:tcPr>
            <w:tcW w:w="307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Pšenica ozimná mäkká</w:t>
            </w:r>
          </w:p>
        </w:tc>
        <w:tc>
          <w:tcPr>
            <w:tcW w:w="307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2" w:hanging="0"/>
              <w:jc w:val="right"/>
              <w:rPr/>
            </w:pPr>
            <w:r>
              <w:rPr/>
              <w:t>246,29</w:t>
            </w:r>
          </w:p>
        </w:tc>
        <w:tc>
          <w:tcPr>
            <w:tcW w:w="307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1" w:hanging="0"/>
              <w:jc w:val="right"/>
              <w:rPr/>
            </w:pPr>
            <w:r>
              <w:rPr/>
              <w:t>6,00</w:t>
            </w:r>
          </w:p>
        </w:tc>
      </w:tr>
      <w:tr>
        <w:trPr>
          <w:trHeight w:val="268" w:hRule="atLeast"/>
        </w:trPr>
        <w:tc>
          <w:tcPr>
            <w:tcW w:w="307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Pšenica jarná</w:t>
            </w:r>
          </w:p>
        </w:tc>
        <w:tc>
          <w:tcPr>
            <w:tcW w:w="307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2" w:hanging="0"/>
              <w:jc w:val="right"/>
              <w:rPr/>
            </w:pPr>
            <w:r>
              <w:rPr/>
              <w:t>44,55</w:t>
            </w:r>
          </w:p>
        </w:tc>
        <w:tc>
          <w:tcPr>
            <w:tcW w:w="307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1" w:hanging="0"/>
              <w:jc w:val="right"/>
              <w:rPr/>
            </w:pPr>
            <w:r>
              <w:rPr/>
              <w:t>5,24</w:t>
            </w:r>
          </w:p>
        </w:tc>
      </w:tr>
      <w:tr>
        <w:trPr>
          <w:trHeight w:val="268" w:hRule="atLeast"/>
        </w:trPr>
        <w:tc>
          <w:tcPr>
            <w:tcW w:w="307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Sója fazuľová</w:t>
            </w:r>
          </w:p>
        </w:tc>
        <w:tc>
          <w:tcPr>
            <w:tcW w:w="307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2" w:hanging="0"/>
              <w:jc w:val="right"/>
              <w:rPr/>
            </w:pPr>
            <w:r>
              <w:rPr/>
              <w:t>102,66</w:t>
            </w:r>
          </w:p>
        </w:tc>
        <w:tc>
          <w:tcPr>
            <w:tcW w:w="307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1" w:hanging="0"/>
              <w:jc w:val="right"/>
              <w:rPr/>
            </w:pPr>
            <w:r>
              <w:rPr/>
              <w:t>2,73</w:t>
            </w:r>
          </w:p>
        </w:tc>
      </w:tr>
      <w:tr>
        <w:trPr>
          <w:trHeight w:val="268" w:hRule="atLeast"/>
        </w:trPr>
        <w:tc>
          <w:tcPr>
            <w:tcW w:w="307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Ľan</w:t>
            </w:r>
          </w:p>
        </w:tc>
        <w:tc>
          <w:tcPr>
            <w:tcW w:w="307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2" w:hanging="0"/>
              <w:jc w:val="right"/>
              <w:rPr/>
            </w:pPr>
            <w:r>
              <w:rPr/>
              <w:t>2,47</w:t>
            </w:r>
          </w:p>
        </w:tc>
        <w:tc>
          <w:tcPr>
            <w:tcW w:w="307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1" w:hanging="0"/>
              <w:jc w:val="right"/>
              <w:rPr/>
            </w:pPr>
            <w:r>
              <w:rPr/>
              <w:t>0,97</w:t>
            </w:r>
          </w:p>
        </w:tc>
      </w:tr>
      <w:tr>
        <w:trPr>
          <w:trHeight w:val="268" w:hRule="atLeast"/>
        </w:trPr>
        <w:tc>
          <w:tcPr>
            <w:tcW w:w="307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Cukrová repa</w:t>
            </w:r>
          </w:p>
        </w:tc>
        <w:tc>
          <w:tcPr>
            <w:tcW w:w="307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2" w:hanging="0"/>
              <w:jc w:val="right"/>
              <w:rPr/>
            </w:pPr>
            <w:r>
              <w:rPr/>
              <w:t>45,07</w:t>
            </w:r>
          </w:p>
        </w:tc>
        <w:tc>
          <w:tcPr>
            <w:tcW w:w="307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2" w:hanging="0"/>
              <w:jc w:val="right"/>
              <w:rPr/>
            </w:pPr>
            <w:r>
              <w:rPr/>
              <w:t>60,25</w:t>
            </w:r>
          </w:p>
        </w:tc>
      </w:tr>
      <w:tr>
        <w:trPr>
          <w:trHeight w:val="270" w:hRule="atLeast"/>
        </w:trPr>
        <w:tc>
          <w:tcPr>
            <w:tcW w:w="307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spacing w:lineRule="exact" w:line="251"/>
              <w:ind w:left="107" w:hanging="0"/>
              <w:rPr/>
            </w:pPr>
            <w:r>
              <w:rPr/>
              <w:t>Kukurica zrno</w:t>
            </w:r>
          </w:p>
        </w:tc>
        <w:tc>
          <w:tcPr>
            <w:tcW w:w="307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spacing w:lineRule="exact" w:line="251"/>
              <w:ind w:right="92" w:hanging="0"/>
              <w:jc w:val="right"/>
              <w:rPr/>
            </w:pPr>
            <w:r>
              <w:rPr/>
              <w:t>63,93</w:t>
            </w:r>
          </w:p>
        </w:tc>
        <w:tc>
          <w:tcPr>
            <w:tcW w:w="307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spacing w:lineRule="exact" w:line="251"/>
              <w:ind w:right="91" w:hanging="0"/>
              <w:jc w:val="right"/>
              <w:rPr/>
            </w:pPr>
            <w:r>
              <w:rPr/>
              <w:t>7,57</w:t>
            </w:r>
          </w:p>
        </w:tc>
      </w:tr>
      <w:tr>
        <w:trPr>
          <w:trHeight w:val="270" w:hRule="atLeast"/>
        </w:trPr>
        <w:tc>
          <w:tcPr>
            <w:tcW w:w="307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spacing w:lineRule="exact" w:line="251"/>
              <w:ind w:left="107" w:hanging="0"/>
              <w:rPr/>
            </w:pPr>
            <w:r>
              <w:rPr/>
              <w:t>Konope</w:t>
            </w:r>
          </w:p>
        </w:tc>
        <w:tc>
          <w:tcPr>
            <w:tcW w:w="307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spacing w:lineRule="exact" w:line="251"/>
              <w:ind w:right="92" w:hanging="0"/>
              <w:jc w:val="right"/>
              <w:rPr/>
            </w:pPr>
            <w:r>
              <w:rPr/>
              <w:t>6,8</w:t>
            </w:r>
          </w:p>
        </w:tc>
        <w:tc>
          <w:tcPr>
            <w:tcW w:w="307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spacing w:lineRule="exact" w:line="251"/>
              <w:ind w:right="91" w:hanging="0"/>
              <w:jc w:val="right"/>
              <w:rPr/>
            </w:pPr>
            <w:r>
              <w:rPr/>
              <w:t>0,35</w:t>
            </w:r>
          </w:p>
        </w:tc>
      </w:tr>
      <w:tr>
        <w:trPr>
          <w:trHeight w:val="270" w:hRule="atLeast"/>
        </w:trPr>
        <w:tc>
          <w:tcPr>
            <w:tcW w:w="307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spacing w:lineRule="exact" w:line="251"/>
              <w:ind w:left="107" w:hanging="0"/>
              <w:rPr/>
            </w:pPr>
            <w:r>
              <w:rPr/>
              <w:t>Kukurica na siláž</w:t>
            </w:r>
          </w:p>
        </w:tc>
        <w:tc>
          <w:tcPr>
            <w:tcW w:w="307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spacing w:lineRule="exact" w:line="251"/>
              <w:ind w:right="92" w:hanging="0"/>
              <w:jc w:val="right"/>
              <w:rPr/>
            </w:pPr>
            <w:r>
              <w:rPr/>
              <w:t>133,79</w:t>
            </w:r>
          </w:p>
        </w:tc>
        <w:tc>
          <w:tcPr>
            <w:tcW w:w="307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spacing w:lineRule="exact" w:line="251"/>
              <w:ind w:right="91" w:hanging="0"/>
              <w:jc w:val="right"/>
              <w:rPr/>
            </w:pPr>
            <w:r>
              <w:rPr/>
              <w:t>65,78</w:t>
            </w:r>
          </w:p>
        </w:tc>
      </w:tr>
      <w:tr>
        <w:trPr>
          <w:trHeight w:val="270" w:hRule="atLeast"/>
        </w:trPr>
        <w:tc>
          <w:tcPr>
            <w:tcW w:w="307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spacing w:lineRule="exact" w:line="251"/>
              <w:ind w:left="107" w:hanging="0"/>
              <w:rPr/>
            </w:pPr>
            <w:r>
              <w:rPr/>
              <w:t>Lucerna</w:t>
            </w:r>
          </w:p>
        </w:tc>
        <w:tc>
          <w:tcPr>
            <w:tcW w:w="307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spacing w:lineRule="exact" w:line="251"/>
              <w:ind w:right="92" w:hanging="0"/>
              <w:jc w:val="right"/>
              <w:rPr/>
            </w:pPr>
            <w:r>
              <w:rPr/>
              <w:t>188,77</w:t>
            </w:r>
          </w:p>
        </w:tc>
        <w:tc>
          <w:tcPr>
            <w:tcW w:w="307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spacing w:lineRule="exact" w:line="251"/>
              <w:ind w:right="91" w:hanging="0"/>
              <w:jc w:val="right"/>
              <w:rPr/>
            </w:pPr>
            <w:r>
              <w:rPr/>
              <w:t>18,73</w:t>
            </w:r>
          </w:p>
        </w:tc>
      </w:tr>
    </w:tbl>
    <w:p>
      <w:pPr>
        <w:pStyle w:val="Telotextu"/>
        <w:spacing w:lineRule="exact" w:line="263"/>
        <w:ind w:left="216" w:hanging="0"/>
        <w:rPr/>
      </w:pPr>
      <w:r>
        <w:rPr/>
      </w:r>
    </w:p>
    <w:p>
      <w:pPr>
        <w:pStyle w:val="Telotextu"/>
        <w:spacing w:lineRule="exact" w:line="263"/>
        <w:ind w:left="216" w:hanging="0"/>
        <w:rPr/>
      </w:pPr>
      <w:r>
        <w:rPr/>
        <w:t>Živočíšna výroba</w:t>
      </w:r>
    </w:p>
    <w:p>
      <w:pPr>
        <w:pStyle w:val="Telotextu"/>
        <w:spacing w:lineRule="exact" w:line="267" w:before="0" w:after="3"/>
        <w:ind w:left="216" w:hanging="0"/>
        <w:rPr/>
      </w:pPr>
      <w:r>
        <w:rPr/>
        <w:t>V živočíšnej výrobe zameranej na produkciu mlieka boli dosiahnuté nasledovné hodnoty:</w:t>
      </w:r>
    </w:p>
    <w:tbl>
      <w:tblPr>
        <w:tblStyle w:val="TableNormal"/>
        <w:tblW w:w="9211" w:type="dxa"/>
        <w:jc w:val="left"/>
        <w:tblInd w:w="113"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108" w:type="dxa"/>
          <w:bottom w:w="0" w:type="dxa"/>
          <w:right w:w="108" w:type="dxa"/>
        </w:tblCellMar>
        <w:tblLook w:val="01e0"/>
      </w:tblPr>
      <w:tblGrid>
        <w:gridCol w:w="4605"/>
        <w:gridCol w:w="4605"/>
      </w:tblGrid>
      <w:tr>
        <w:trPr>
          <w:trHeight w:val="268" w:hRule="atLeast"/>
        </w:trPr>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ukazovateľ</w:t>
            </w:r>
          </w:p>
        </w:tc>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1" w:hanging="0"/>
              <w:jc w:val="right"/>
              <w:rPr/>
            </w:pPr>
            <w:r>
              <w:rPr/>
              <w:t>hodnota</w:t>
            </w:r>
          </w:p>
        </w:tc>
      </w:tr>
      <w:tr>
        <w:trPr>
          <w:trHeight w:val="268" w:hRule="atLeast"/>
        </w:trPr>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Nadojené mlieko v litroch</w:t>
            </w:r>
          </w:p>
        </w:tc>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2" w:hanging="0"/>
              <w:jc w:val="right"/>
              <w:rPr/>
            </w:pPr>
            <w:r>
              <w:rPr/>
              <w:t xml:space="preserve">2 845 408 </w:t>
            </w:r>
          </w:p>
        </w:tc>
      </w:tr>
      <w:tr>
        <w:trPr>
          <w:trHeight w:val="271" w:hRule="atLeast"/>
        </w:trPr>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spacing w:lineRule="exact" w:line="251"/>
              <w:ind w:left="107" w:hanging="0"/>
              <w:rPr/>
            </w:pPr>
            <w:r>
              <w:rPr/>
              <w:t>Priemerná cena mlieka</w:t>
            </w:r>
          </w:p>
        </w:tc>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spacing w:lineRule="exact" w:line="251"/>
              <w:ind w:right="91" w:hanging="0"/>
              <w:jc w:val="right"/>
              <w:rPr/>
            </w:pPr>
            <w:r>
              <w:rPr/>
              <w:t>0,33 € / liter</w:t>
            </w:r>
          </w:p>
        </w:tc>
      </w:tr>
      <w:tr>
        <w:trPr>
          <w:trHeight w:val="268" w:hRule="atLeast"/>
        </w:trPr>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Priemerný nádoj na deň a dojnicu v litroch</w:t>
            </w:r>
          </w:p>
        </w:tc>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2" w:hanging="0"/>
              <w:jc w:val="right"/>
              <w:rPr/>
            </w:pPr>
            <w:r>
              <w:rPr/>
              <w:t>25,83</w:t>
            </w:r>
          </w:p>
        </w:tc>
      </w:tr>
    </w:tbl>
    <w:p>
      <w:pPr>
        <w:pStyle w:val="Telotextu"/>
        <w:spacing w:before="0" w:after="3"/>
        <w:ind w:left="216" w:hanging="0"/>
        <w:rPr/>
      </w:pPr>
      <w:r>
        <w:rPr/>
        <w:t>Personálne a mzdové ukazovatele</w:t>
      </w:r>
    </w:p>
    <w:tbl>
      <w:tblPr>
        <w:tblStyle w:val="TableNormal"/>
        <w:tblW w:w="9211" w:type="dxa"/>
        <w:jc w:val="left"/>
        <w:tblInd w:w="113"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108" w:type="dxa"/>
          <w:bottom w:w="0" w:type="dxa"/>
          <w:right w:w="108" w:type="dxa"/>
        </w:tblCellMar>
        <w:tblLook w:val="01e0"/>
      </w:tblPr>
      <w:tblGrid>
        <w:gridCol w:w="4605"/>
        <w:gridCol w:w="4605"/>
      </w:tblGrid>
      <w:tr>
        <w:trPr>
          <w:trHeight w:val="268" w:hRule="atLeast"/>
        </w:trPr>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ukazovateľ</w:t>
            </w:r>
          </w:p>
        </w:tc>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1" w:hanging="0"/>
              <w:jc w:val="right"/>
              <w:rPr/>
            </w:pPr>
            <w:r>
              <w:rPr/>
              <w:t>Hodnota</w:t>
            </w:r>
          </w:p>
        </w:tc>
      </w:tr>
      <w:tr>
        <w:trPr>
          <w:trHeight w:val="268" w:hRule="atLeast"/>
        </w:trPr>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Priemerný počet zamestnancov</w:t>
            </w:r>
          </w:p>
        </w:tc>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0" w:hanging="0"/>
              <w:jc w:val="right"/>
              <w:rPr/>
            </w:pPr>
            <w:r>
              <w:rPr/>
              <w:t>42</w:t>
            </w:r>
          </w:p>
        </w:tc>
      </w:tr>
      <w:tr>
        <w:trPr>
          <w:trHeight w:val="268" w:hRule="atLeast"/>
        </w:trPr>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tabs>
                <w:tab w:val="left" w:pos="827" w:leader="none"/>
              </w:tabs>
              <w:ind w:left="467" w:hanging="0"/>
              <w:rPr/>
            </w:pPr>
            <w:r>
              <w:rPr/>
              <w:t>-</w:t>
              <w:tab/>
              <w:t>z toho</w:t>
            </w:r>
            <w:r>
              <w:rPr>
                <w:spacing w:val="-1"/>
              </w:rPr>
              <w:t xml:space="preserve"> </w:t>
            </w:r>
            <w:r>
              <w:rPr/>
              <w:t>riadiaci</w:t>
            </w:r>
          </w:p>
        </w:tc>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1" w:hanging="0"/>
              <w:jc w:val="right"/>
              <w:rPr/>
            </w:pPr>
            <w:r>
              <w:rPr/>
              <w:t>5</w:t>
            </w:r>
          </w:p>
        </w:tc>
      </w:tr>
      <w:tr>
        <w:trPr>
          <w:trHeight w:val="268" w:hRule="atLeast"/>
        </w:trPr>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Mzdové náklady v €</w:t>
            </w:r>
          </w:p>
        </w:tc>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2" w:hanging="0"/>
              <w:jc w:val="right"/>
              <w:rPr/>
            </w:pPr>
            <w:r>
              <w:rPr/>
              <w:t>489 959</w:t>
            </w:r>
          </w:p>
        </w:tc>
      </w:tr>
      <w:tr>
        <w:trPr>
          <w:trHeight w:val="268" w:hRule="atLeast"/>
        </w:trPr>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Osobné náklady v €</w:t>
            </w:r>
          </w:p>
        </w:tc>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1" w:hanging="0"/>
              <w:jc w:val="right"/>
              <w:rPr/>
            </w:pPr>
            <w:r>
              <w:rPr/>
              <w:t>688 228</w:t>
            </w:r>
          </w:p>
        </w:tc>
      </w:tr>
      <w:tr>
        <w:trPr>
          <w:trHeight w:val="268" w:hRule="atLeast"/>
        </w:trPr>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Priemerná mzda mesačná v €</w:t>
            </w:r>
          </w:p>
        </w:tc>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3" w:hanging="0"/>
              <w:jc w:val="right"/>
              <w:rPr/>
            </w:pPr>
            <w:r>
              <w:rPr/>
              <w:t>972</w:t>
            </w:r>
          </w:p>
        </w:tc>
      </w:tr>
      <w:tr>
        <w:trPr>
          <w:trHeight w:val="537" w:hRule="atLeast"/>
        </w:trPr>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spacing w:lineRule="exact" w:line="265"/>
              <w:ind w:left="107" w:hanging="0"/>
              <w:rPr/>
            </w:pPr>
            <w:r>
              <w:rPr/>
              <w:t>Produktivita práce na 1 zamestnanca</w:t>
            </w:r>
          </w:p>
          <w:p>
            <w:pPr>
              <w:pStyle w:val="TableParagraph"/>
              <w:spacing w:lineRule="exact" w:line="252"/>
              <w:ind w:left="107" w:hanging="0"/>
              <w:rPr/>
            </w:pPr>
            <w:r>
              <w:rPr/>
              <w:t>z prevádzkových výnosov v €</w:t>
            </w:r>
          </w:p>
        </w:tc>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spacing w:lineRule="exact" w:line="265"/>
              <w:ind w:right="91" w:hanging="0"/>
              <w:jc w:val="right"/>
              <w:rPr/>
            </w:pPr>
            <w:r>
              <w:rPr/>
              <w:t>60 919</w:t>
            </w:r>
          </w:p>
        </w:tc>
      </w:tr>
    </w:tbl>
    <w:p>
      <w:pPr>
        <w:pStyle w:val="Telotextu"/>
        <w:spacing w:before="0" w:after="3"/>
        <w:ind w:left="216" w:hanging="0"/>
        <w:rPr/>
      </w:pPr>
      <w:r>
        <w:rPr/>
        <w:t>Základné imanie</w:t>
      </w:r>
    </w:p>
    <w:tbl>
      <w:tblPr>
        <w:tblStyle w:val="TableNormal"/>
        <w:tblW w:w="9211" w:type="dxa"/>
        <w:jc w:val="left"/>
        <w:tblInd w:w="147"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108" w:type="dxa"/>
          <w:bottom w:w="0" w:type="dxa"/>
          <w:right w:w="108" w:type="dxa"/>
        </w:tblCellMar>
        <w:tblLook w:val="01e0"/>
      </w:tblPr>
      <w:tblGrid>
        <w:gridCol w:w="4605"/>
        <w:gridCol w:w="4605"/>
      </w:tblGrid>
      <w:tr>
        <w:trPr>
          <w:trHeight w:val="268" w:hRule="atLeast"/>
        </w:trPr>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spacing w:lineRule="exact" w:line="249"/>
              <w:ind w:left="107" w:hanging="0"/>
              <w:rPr/>
            </w:pPr>
            <w:r>
              <w:rPr/>
              <w:t>ukazovateľ</w:t>
            </w:r>
          </w:p>
        </w:tc>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spacing w:lineRule="exact" w:line="249"/>
              <w:ind w:left="110" w:hanging="0"/>
              <w:rPr/>
            </w:pPr>
            <w:r>
              <w:rPr/>
              <w:t>hodnota v €</w:t>
            </w:r>
          </w:p>
        </w:tc>
      </w:tr>
      <w:tr>
        <w:trPr>
          <w:trHeight w:val="268" w:hRule="atLeast"/>
        </w:trPr>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Základné imanie – účet 411 spolu:</w:t>
            </w:r>
          </w:p>
        </w:tc>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2" w:hanging="0"/>
              <w:jc w:val="right"/>
              <w:rPr/>
            </w:pPr>
            <w:r>
              <w:rPr/>
              <w:t>774 976</w:t>
            </w:r>
          </w:p>
        </w:tc>
      </w:tr>
    </w:tbl>
    <w:p>
      <w:pPr>
        <w:sectPr>
          <w:headerReference w:type="default" r:id="rId8"/>
          <w:footerReference w:type="default" r:id="rId9"/>
          <w:type w:val="nextPage"/>
          <w:pgSz w:w="11906" w:h="16838"/>
          <w:pgMar w:left="1200" w:right="1160" w:header="751" w:top="1660" w:footer="1002" w:bottom="1200" w:gutter="0"/>
          <w:pgNumType w:fmt="decimal"/>
          <w:formProt w:val="false"/>
          <w:textDirection w:val="lrTb"/>
          <w:docGrid w:type="default" w:linePitch="240" w:charSpace="4294965247"/>
        </w:sectPr>
      </w:pPr>
    </w:p>
    <w:p>
      <w:pPr>
        <w:pStyle w:val="Telotextu"/>
        <w:spacing w:before="57" w:after="0"/>
        <w:rPr/>
      </w:pPr>
      <w:r>
        <w:rPr/>
        <w:t xml:space="preserve">    </w:t>
      </w:r>
      <w:r>
        <w:rPr/>
        <w:t>Vydané DPL:</w:t>
      </w:r>
      <w:r>
        <mc:AlternateContent>
          <mc:Choice Requires="wps">
            <w:drawing>
              <wp:anchor behindDoc="0" distT="0" distB="0" distL="89535" distR="89535" simplePos="0" locked="0" layoutInCell="1" allowOverlap="1" relativeHeight="7">
                <wp:simplePos x="0" y="0"/>
                <wp:positionH relativeFrom="margin">
                  <wp:posOffset>21590</wp:posOffset>
                </wp:positionH>
                <wp:positionV relativeFrom="paragraph">
                  <wp:posOffset>48895</wp:posOffset>
                </wp:positionV>
                <wp:extent cx="5848985" cy="687070"/>
                <wp:effectExtent l="0" t="0" r="0" b="0"/>
                <wp:wrapSquare wrapText="bothSides"/>
                <wp:docPr id="5" name="Rámec1"/>
                <a:graphic xmlns:a="http://schemas.openxmlformats.org/drawingml/2006/main">
                  <a:graphicData uri="http://schemas.microsoft.com/office/word/2010/wordprocessingShape">
                    <wps:wsp>
                      <wps:cNvSpPr txBox="1"/>
                      <wps:spPr>
                        <a:xfrm>
                          <a:off x="0" y="0"/>
                          <a:ext cx="5848985" cy="687070"/>
                        </a:xfrm>
                        <a:prstGeom prst="rect"/>
                      </wps:spPr>
                      <wps:txbx>
                        <w:txbxContent>
                          <w:tbl>
                            <w:tblPr>
                              <w:tblStyle w:val="TableNormal"/>
                              <w:tblpPr w:bottomFromText="0" w:horzAnchor="margin" w:leftFromText="141" w:rightFromText="141" w:tblpX="147" w:tblpY="77" w:topFromText="0" w:vertAnchor="text"/>
                              <w:tblW w:w="9211" w:type="dxa"/>
                              <w:jc w:val="left"/>
                              <w:tblInd w:w="108"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103" w:type="dxa"/>
                                <w:bottom w:w="0" w:type="dxa"/>
                                <w:right w:w="108" w:type="dxa"/>
                              </w:tblCellMar>
                              <w:tblLook w:val="01e0"/>
                            </w:tblPr>
                            <w:tblGrid>
                              <w:gridCol w:w="4605"/>
                              <w:gridCol w:w="4605"/>
                            </w:tblGrid>
                            <w:tr>
                              <w:trPr>
                                <w:trHeight w:val="268" w:hRule="atLeast"/>
                              </w:trPr>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3" w:type="dxa"/>
                                  </w:tcMar>
                                </w:tcPr>
                                <w:p>
                                  <w:pPr>
                                    <w:pStyle w:val="TableParagraph"/>
                                    <w:ind w:left="147" w:hanging="0"/>
                                    <w:rPr/>
                                  </w:pPr>
                                  <w:bookmarkStart w:id="0" w:name="__UnoMark__1565_749780832"/>
                                  <w:bookmarkEnd w:id="0"/>
                                  <w:r>
                                    <w:rPr/>
                                    <w:t>Z toho – zapisované základné imanie</w:t>
                                  </w:r>
                                </w:p>
                              </w:tc>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3" w:type="dxa"/>
                                  </w:tcMar>
                                </w:tcPr>
                                <w:p>
                                  <w:pPr>
                                    <w:pStyle w:val="TableParagraph"/>
                                    <w:ind w:right="91" w:hanging="0"/>
                                    <w:jc w:val="right"/>
                                    <w:rPr/>
                                  </w:pPr>
                                  <w:bookmarkStart w:id="1" w:name="__UnoMark__1566_749780832"/>
                                  <w:bookmarkStart w:id="2" w:name="__UnoMark__1567_749780832"/>
                                  <w:bookmarkEnd w:id="1"/>
                                  <w:bookmarkEnd w:id="2"/>
                                  <w:r>
                                    <w:rPr/>
                                    <w:t>452 596,15</w:t>
                                  </w:r>
                                </w:p>
                              </w:tc>
                            </w:tr>
                            <w:tr>
                              <w:trPr>
                                <w:trHeight w:val="268" w:hRule="atLeast"/>
                              </w:trPr>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3" w:type="dxa"/>
                                  </w:tcMar>
                                </w:tcPr>
                                <w:p>
                                  <w:pPr>
                                    <w:pStyle w:val="TableParagraph"/>
                                    <w:ind w:left="755" w:hanging="0"/>
                                    <w:rPr/>
                                  </w:pPr>
                                  <w:bookmarkStart w:id="3" w:name="__UnoMark__1568_749780832"/>
                                  <w:bookmarkStart w:id="4" w:name="__UnoMark__1569_749780832"/>
                                  <w:bookmarkEnd w:id="3"/>
                                  <w:bookmarkEnd w:id="4"/>
                                  <w:r>
                                    <w:rPr/>
                                    <w:t>- ďalšie členské vklady</w:t>
                                  </w:r>
                                </w:p>
                              </w:tc>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3" w:type="dxa"/>
                                  </w:tcMar>
                                </w:tcPr>
                                <w:p>
                                  <w:pPr>
                                    <w:pStyle w:val="TableParagraph"/>
                                    <w:ind w:right="91" w:hanging="0"/>
                                    <w:jc w:val="right"/>
                                    <w:rPr/>
                                  </w:pPr>
                                  <w:bookmarkStart w:id="5" w:name="__UnoMark__1570_749780832"/>
                                  <w:bookmarkStart w:id="6" w:name="__UnoMark__1571_749780832"/>
                                  <w:bookmarkEnd w:id="5"/>
                                  <w:bookmarkEnd w:id="6"/>
                                  <w:r>
                                    <w:rPr/>
                                    <w:t>322 379,69</w:t>
                                  </w:r>
                                </w:p>
                              </w:tc>
                            </w:tr>
                            <w:tr>
                              <w:trPr>
                                <w:trHeight w:val="268" w:hRule="atLeast"/>
                              </w:trPr>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3" w:type="dxa"/>
                                  </w:tcMar>
                                </w:tcPr>
                                <w:p>
                                  <w:pPr>
                                    <w:pStyle w:val="TableParagraph"/>
                                    <w:ind w:left="107" w:hanging="0"/>
                                    <w:rPr/>
                                  </w:pPr>
                                  <w:bookmarkStart w:id="7" w:name="__UnoMark__1572_749780832"/>
                                  <w:bookmarkStart w:id="8" w:name="__UnoMark__1573_749780832"/>
                                  <w:bookmarkEnd w:id="7"/>
                                  <w:bookmarkEnd w:id="8"/>
                                  <w:r>
                                    <w:rPr/>
                                    <w:t>Výška základného členského vkladu v OR</w:t>
                                  </w:r>
                                </w:p>
                              </w:tc>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3" w:type="dxa"/>
                                  </w:tcMar>
                                </w:tcPr>
                                <w:p>
                                  <w:pPr>
                                    <w:pStyle w:val="TableParagraph"/>
                                    <w:ind w:right="91" w:hanging="0"/>
                                    <w:jc w:val="right"/>
                                    <w:rPr/>
                                  </w:pPr>
                                  <w:bookmarkStart w:id="9" w:name="__UnoMark__1574_749780832"/>
                                  <w:bookmarkStart w:id="10" w:name="__UnoMark__1575_749780832"/>
                                  <w:bookmarkEnd w:id="9"/>
                                  <w:bookmarkEnd w:id="10"/>
                                  <w:r>
                                    <w:rPr/>
                                    <w:t>896,23</w:t>
                                  </w:r>
                                </w:p>
                              </w:tc>
                            </w:tr>
                            <w:tr>
                              <w:trPr>
                                <w:trHeight w:val="268" w:hRule="atLeast"/>
                              </w:trPr>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3" w:type="dxa"/>
                                  </w:tcMar>
                                </w:tcPr>
                                <w:p>
                                  <w:pPr>
                                    <w:pStyle w:val="TableParagraph"/>
                                    <w:ind w:left="107" w:hanging="0"/>
                                    <w:rPr/>
                                  </w:pPr>
                                  <w:bookmarkStart w:id="11" w:name="__UnoMark__1576_749780832"/>
                                  <w:bookmarkStart w:id="12" w:name="__UnoMark__1577_749780832"/>
                                  <w:bookmarkEnd w:id="11"/>
                                  <w:bookmarkEnd w:id="12"/>
                                  <w:r>
                                    <w:rPr/>
                                    <w:t>Počet vkladov do základného imania</w:t>
                                  </w:r>
                                </w:p>
                              </w:tc>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3" w:type="dxa"/>
                                  </w:tcMar>
                                </w:tcPr>
                                <w:p>
                                  <w:pPr>
                                    <w:pStyle w:val="TableParagraph"/>
                                    <w:ind w:right="91" w:hanging="0"/>
                                    <w:jc w:val="right"/>
                                    <w:rPr/>
                                  </w:pPr>
                                  <w:bookmarkStart w:id="13" w:name="__UnoMark__1578_749780832"/>
                                  <w:bookmarkEnd w:id="13"/>
                                  <w:r>
                                    <w:rPr/>
                                    <w:t>505</w:t>
                                  </w:r>
                                </w:p>
                              </w:tc>
                            </w:tr>
                          </w:tbl>
                        </w:txbxContent>
                      </wps:txbx>
                      <wps:bodyPr anchor="t" lIns="0" tIns="0" rIns="0" bIns="0">
                        <a:spAutoFit/>
                      </wps:bodyPr>
                    </wps:wsp>
                  </a:graphicData>
                </a:graphic>
              </wp:anchor>
            </w:drawing>
          </mc:Choice>
          <mc:Fallback>
            <w:pict>
              <v:rect style="position:absolute;rotation:0;width:460.55pt;height:54.1pt;mso-wrap-distance-left:7.05pt;mso-wrap-distance-right:7.05pt;mso-wrap-distance-top:0pt;mso-wrap-distance-bottom:0pt;margin-top:3.85pt;mso-position-vertical-relative:text;margin-left:1.7pt;mso-position-horizontal-relative:margin">
                <v:textbox inset="0in,0in,0in,0in">
                  <w:txbxContent>
                    <w:tbl>
                      <w:tblPr>
                        <w:tblStyle w:val="TableNormal"/>
                        <w:tblpPr w:bottomFromText="0" w:horzAnchor="margin" w:leftFromText="141" w:rightFromText="141" w:tblpX="147" w:tblpY="77" w:topFromText="0" w:vertAnchor="text"/>
                        <w:tblW w:w="9211" w:type="dxa"/>
                        <w:jc w:val="left"/>
                        <w:tblInd w:w="108"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103" w:type="dxa"/>
                          <w:bottom w:w="0" w:type="dxa"/>
                          <w:right w:w="108" w:type="dxa"/>
                        </w:tblCellMar>
                        <w:tblLook w:val="01e0"/>
                      </w:tblPr>
                      <w:tblGrid>
                        <w:gridCol w:w="4605"/>
                        <w:gridCol w:w="4605"/>
                      </w:tblGrid>
                      <w:tr>
                        <w:trPr>
                          <w:trHeight w:val="268" w:hRule="atLeast"/>
                        </w:trPr>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3" w:type="dxa"/>
                            </w:tcMar>
                          </w:tcPr>
                          <w:p>
                            <w:pPr>
                              <w:pStyle w:val="TableParagraph"/>
                              <w:ind w:left="147" w:hanging="0"/>
                              <w:rPr/>
                            </w:pPr>
                            <w:bookmarkStart w:id="14" w:name="__UnoMark__1565_749780832"/>
                            <w:bookmarkEnd w:id="14"/>
                            <w:r>
                              <w:rPr/>
                              <w:t>Z toho – zapisované základné imanie</w:t>
                            </w:r>
                          </w:p>
                        </w:tc>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3" w:type="dxa"/>
                            </w:tcMar>
                          </w:tcPr>
                          <w:p>
                            <w:pPr>
                              <w:pStyle w:val="TableParagraph"/>
                              <w:ind w:right="91" w:hanging="0"/>
                              <w:jc w:val="right"/>
                              <w:rPr/>
                            </w:pPr>
                            <w:bookmarkStart w:id="15" w:name="__UnoMark__1566_749780832"/>
                            <w:bookmarkStart w:id="16" w:name="__UnoMark__1567_749780832"/>
                            <w:bookmarkEnd w:id="15"/>
                            <w:bookmarkEnd w:id="16"/>
                            <w:r>
                              <w:rPr/>
                              <w:t>452 596,15</w:t>
                            </w:r>
                          </w:p>
                        </w:tc>
                      </w:tr>
                      <w:tr>
                        <w:trPr>
                          <w:trHeight w:val="268" w:hRule="atLeast"/>
                        </w:trPr>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3" w:type="dxa"/>
                            </w:tcMar>
                          </w:tcPr>
                          <w:p>
                            <w:pPr>
                              <w:pStyle w:val="TableParagraph"/>
                              <w:ind w:left="755" w:hanging="0"/>
                              <w:rPr/>
                            </w:pPr>
                            <w:bookmarkStart w:id="17" w:name="__UnoMark__1568_749780832"/>
                            <w:bookmarkStart w:id="18" w:name="__UnoMark__1569_749780832"/>
                            <w:bookmarkEnd w:id="17"/>
                            <w:bookmarkEnd w:id="18"/>
                            <w:r>
                              <w:rPr/>
                              <w:t>- ďalšie členské vklady</w:t>
                            </w:r>
                          </w:p>
                        </w:tc>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3" w:type="dxa"/>
                            </w:tcMar>
                          </w:tcPr>
                          <w:p>
                            <w:pPr>
                              <w:pStyle w:val="TableParagraph"/>
                              <w:ind w:right="91" w:hanging="0"/>
                              <w:jc w:val="right"/>
                              <w:rPr/>
                            </w:pPr>
                            <w:bookmarkStart w:id="19" w:name="__UnoMark__1570_749780832"/>
                            <w:bookmarkStart w:id="20" w:name="__UnoMark__1571_749780832"/>
                            <w:bookmarkEnd w:id="19"/>
                            <w:bookmarkEnd w:id="20"/>
                            <w:r>
                              <w:rPr/>
                              <w:t>322 379,69</w:t>
                            </w:r>
                          </w:p>
                        </w:tc>
                      </w:tr>
                      <w:tr>
                        <w:trPr>
                          <w:trHeight w:val="268" w:hRule="atLeast"/>
                        </w:trPr>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3" w:type="dxa"/>
                            </w:tcMar>
                          </w:tcPr>
                          <w:p>
                            <w:pPr>
                              <w:pStyle w:val="TableParagraph"/>
                              <w:ind w:left="107" w:hanging="0"/>
                              <w:rPr/>
                            </w:pPr>
                            <w:bookmarkStart w:id="21" w:name="__UnoMark__1572_749780832"/>
                            <w:bookmarkStart w:id="22" w:name="__UnoMark__1573_749780832"/>
                            <w:bookmarkEnd w:id="21"/>
                            <w:bookmarkEnd w:id="22"/>
                            <w:r>
                              <w:rPr/>
                              <w:t>Výška základného členského vkladu v OR</w:t>
                            </w:r>
                          </w:p>
                        </w:tc>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3" w:type="dxa"/>
                            </w:tcMar>
                          </w:tcPr>
                          <w:p>
                            <w:pPr>
                              <w:pStyle w:val="TableParagraph"/>
                              <w:ind w:right="91" w:hanging="0"/>
                              <w:jc w:val="right"/>
                              <w:rPr/>
                            </w:pPr>
                            <w:bookmarkStart w:id="23" w:name="__UnoMark__1574_749780832"/>
                            <w:bookmarkStart w:id="24" w:name="__UnoMark__1575_749780832"/>
                            <w:bookmarkEnd w:id="23"/>
                            <w:bookmarkEnd w:id="24"/>
                            <w:r>
                              <w:rPr/>
                              <w:t>896,23</w:t>
                            </w:r>
                          </w:p>
                        </w:tc>
                      </w:tr>
                      <w:tr>
                        <w:trPr>
                          <w:trHeight w:val="268" w:hRule="atLeast"/>
                        </w:trPr>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3" w:type="dxa"/>
                            </w:tcMar>
                          </w:tcPr>
                          <w:p>
                            <w:pPr>
                              <w:pStyle w:val="TableParagraph"/>
                              <w:ind w:left="107" w:hanging="0"/>
                              <w:rPr/>
                            </w:pPr>
                            <w:bookmarkStart w:id="25" w:name="__UnoMark__1576_749780832"/>
                            <w:bookmarkStart w:id="26" w:name="__UnoMark__1577_749780832"/>
                            <w:bookmarkEnd w:id="25"/>
                            <w:bookmarkEnd w:id="26"/>
                            <w:r>
                              <w:rPr/>
                              <w:t>Počet vkladov do základného imania</w:t>
                            </w:r>
                          </w:p>
                        </w:tc>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3" w:type="dxa"/>
                            </w:tcMar>
                          </w:tcPr>
                          <w:p>
                            <w:pPr>
                              <w:pStyle w:val="TableParagraph"/>
                              <w:ind w:right="91" w:hanging="0"/>
                              <w:jc w:val="right"/>
                              <w:rPr/>
                            </w:pPr>
                            <w:bookmarkStart w:id="27" w:name="__UnoMark__1578_749780832"/>
                            <w:bookmarkEnd w:id="27"/>
                            <w:r>
                              <w:rPr/>
                              <w:t>505</w:t>
                            </w:r>
                          </w:p>
                        </w:tc>
                      </w:tr>
                    </w:tbl>
                  </w:txbxContent>
                </v:textbox>
                <w10:wrap type="square"/>
              </v:rect>
            </w:pict>
          </mc:Fallback>
        </mc:AlternateContent>
      </w:r>
    </w:p>
    <w:p>
      <w:pPr>
        <w:pStyle w:val="Telotextu"/>
        <w:ind w:left="216" w:right="453" w:hanging="0"/>
        <w:rPr/>
      </w:pPr>
      <w:r>
        <w:rPr/>
        <w:t>Družstvo eviduje DPL v listinnej podobe na meno v počte 25 651 kusov v nominálnej hodnote 33,19 EUR na 1 kus.</w:t>
      </w:r>
    </w:p>
    <w:p>
      <w:pPr>
        <w:pStyle w:val="Telotextu"/>
        <w:rPr/>
      </w:pPr>
      <w:r>
        <w:rPr/>
      </w:r>
    </w:p>
    <w:p>
      <w:pPr>
        <w:pStyle w:val="Telotextu"/>
        <w:spacing w:before="1" w:after="0"/>
        <w:ind w:left="216" w:hanging="0"/>
        <w:rPr/>
      </w:pPr>
      <w:r>
        <w:rPr/>
        <w:t>Účtovná závierka za rok 2018</w:t>
      </w:r>
    </w:p>
    <w:p>
      <w:pPr>
        <w:pStyle w:val="Telotextu"/>
        <w:ind w:left="216" w:hanging="0"/>
        <w:rPr/>
      </w:pPr>
      <w:r>
        <w:rPr/>
        <w:t>Účtovná závierka za rok 2018 bola schválená členskou schôdzou dňa 02.04.2019.</w:t>
      </w:r>
    </w:p>
    <w:p>
      <w:pPr>
        <w:pStyle w:val="Telotextu"/>
        <w:ind w:left="216" w:right="441" w:hanging="0"/>
        <w:rPr/>
      </w:pPr>
      <w:r>
        <w:rPr/>
        <w:t>Účtovná závierka spolu s výročnou správou a správou audítora o overení účtovnej závierky k 31. 12. 2018 bola odoslaná elektronicky na finančnú správu 21.03.2019. Oznámenie o schválení účtovnej závierky bolo odoslané elektronicky na finančnú správu dňa 03.04.2019.</w:t>
      </w:r>
    </w:p>
    <w:p>
      <w:pPr>
        <w:pStyle w:val="Telotextu"/>
        <w:ind w:left="216" w:right="442" w:hanging="0"/>
        <w:jc w:val="both"/>
        <w:rPr/>
      </w:pPr>
      <w:r>
        <w:rPr/>
        <w:t>Audit účtovnej závierky za rok 2018 bol uskutočnený 08.03.2019 so stanoviskom nepodmieneným. Výročná správa za rok 2018 bola overená audítorom 08.03.2019 so stanoviskom nepodmieneným. Audítor na audit účtovnej závierky na obdobie roka 2019 bol schválený na výročnej členskej schôdzi 02.04.2019.</w:t>
      </w:r>
    </w:p>
    <w:p>
      <w:pPr>
        <w:pStyle w:val="Telotextu"/>
        <w:spacing w:before="0" w:after="4"/>
        <w:ind w:left="216" w:hanging="0"/>
        <w:jc w:val="both"/>
        <w:rPr/>
      </w:pPr>
      <w:r>
        <w:rPr/>
        <w:t>Rozdelenie hospodárskeho výsledku za rok 2018</w:t>
      </w:r>
    </w:p>
    <w:tbl>
      <w:tblPr>
        <w:tblStyle w:val="TableNormal"/>
        <w:tblW w:w="9214" w:type="dxa"/>
        <w:jc w:val="left"/>
        <w:tblInd w:w="113"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108" w:type="dxa"/>
          <w:bottom w:w="0" w:type="dxa"/>
          <w:right w:w="108" w:type="dxa"/>
        </w:tblCellMar>
        <w:tblLook w:val="01e0"/>
      </w:tblPr>
      <w:tblGrid>
        <w:gridCol w:w="4787"/>
        <w:gridCol w:w="1985"/>
        <w:gridCol w:w="2442"/>
      </w:tblGrid>
      <w:tr>
        <w:trPr>
          <w:trHeight w:val="268" w:hRule="atLeast"/>
        </w:trPr>
        <w:tc>
          <w:tcPr>
            <w:tcW w:w="478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Dosiahnutý výsledok hospodárenia – zisk v €</w:t>
            </w:r>
          </w:p>
        </w:tc>
        <w:tc>
          <w:tcPr>
            <w:tcW w:w="198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3" w:hanging="0"/>
              <w:jc w:val="right"/>
              <w:rPr/>
            </w:pPr>
            <w:r>
              <w:rPr/>
              <w:t>4 883</w:t>
            </w:r>
          </w:p>
        </w:tc>
        <w:tc>
          <w:tcPr>
            <w:tcW w:w="244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spacing w:lineRule="auto" w:line="240"/>
              <w:rPr>
                <w:rFonts w:ascii="Times New Roman" w:hAnsi="Times New Roman"/>
                <w:sz w:val="18"/>
              </w:rPr>
            </w:pPr>
            <w:r>
              <w:rPr>
                <w:rFonts w:ascii="Times New Roman" w:hAnsi="Times New Roman"/>
                <w:sz w:val="18"/>
              </w:rPr>
            </w:r>
          </w:p>
        </w:tc>
      </w:tr>
      <w:tr>
        <w:trPr>
          <w:trHeight w:val="268" w:hRule="atLeast"/>
        </w:trPr>
        <w:tc>
          <w:tcPr>
            <w:tcW w:w="478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Po schválení VČS zaúčtovaný dokladom, dňa</w:t>
            </w:r>
          </w:p>
        </w:tc>
        <w:tc>
          <w:tcPr>
            <w:tcW w:w="198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2" w:hanging="0"/>
              <w:jc w:val="right"/>
              <w:rPr/>
            </w:pPr>
            <w:r>
              <w:rPr/>
              <w:t>ID 819 063</w:t>
            </w:r>
          </w:p>
        </w:tc>
        <w:tc>
          <w:tcPr>
            <w:tcW w:w="244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343" w:hanging="0"/>
              <w:rPr/>
            </w:pPr>
            <w:r>
              <w:rPr/>
              <w:t>02.04. 2019</w:t>
            </w:r>
          </w:p>
        </w:tc>
      </w:tr>
      <w:tr>
        <w:trPr>
          <w:trHeight w:val="268" w:hRule="atLeast"/>
        </w:trPr>
        <w:tc>
          <w:tcPr>
            <w:tcW w:w="478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Zaúčtovanie rozdelenia hosp. výsledku:</w:t>
            </w:r>
          </w:p>
        </w:tc>
        <w:tc>
          <w:tcPr>
            <w:tcW w:w="198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spacing w:lineRule="auto" w:line="240"/>
              <w:rPr>
                <w:rFonts w:ascii="Times New Roman" w:hAnsi="Times New Roman"/>
                <w:sz w:val="18"/>
              </w:rPr>
            </w:pPr>
            <w:r>
              <w:rPr>
                <w:rFonts w:ascii="Times New Roman" w:hAnsi="Times New Roman"/>
                <w:sz w:val="18"/>
              </w:rPr>
            </w:r>
          </w:p>
        </w:tc>
        <w:tc>
          <w:tcPr>
            <w:tcW w:w="244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spacing w:lineRule="auto" w:line="240"/>
              <w:rPr>
                <w:rFonts w:ascii="Times New Roman" w:hAnsi="Times New Roman"/>
                <w:sz w:val="18"/>
              </w:rPr>
            </w:pPr>
            <w:r>
              <w:rPr>
                <w:rFonts w:ascii="Times New Roman" w:hAnsi="Times New Roman"/>
                <w:sz w:val="18"/>
              </w:rPr>
            </w:r>
          </w:p>
        </w:tc>
      </w:tr>
      <w:tr>
        <w:trPr>
          <w:trHeight w:val="268" w:hRule="atLeast"/>
        </w:trPr>
        <w:tc>
          <w:tcPr>
            <w:tcW w:w="478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Účet 429 000– uhradená strata min. rokov</w:t>
            </w:r>
          </w:p>
        </w:tc>
        <w:tc>
          <w:tcPr>
            <w:tcW w:w="198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3" w:hanging="0"/>
              <w:jc w:val="right"/>
              <w:rPr/>
            </w:pPr>
            <w:r>
              <w:rPr/>
              <w:t>4 395,12</w:t>
            </w:r>
          </w:p>
        </w:tc>
        <w:tc>
          <w:tcPr>
            <w:tcW w:w="244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spacing w:lineRule="auto" w:line="240"/>
              <w:rPr>
                <w:rFonts w:ascii="Times New Roman" w:hAnsi="Times New Roman"/>
                <w:sz w:val="18"/>
              </w:rPr>
            </w:pPr>
            <w:r>
              <w:rPr>
                <w:rFonts w:ascii="Times New Roman" w:hAnsi="Times New Roman"/>
                <w:sz w:val="18"/>
              </w:rPr>
            </w:r>
          </w:p>
        </w:tc>
      </w:tr>
      <w:tr>
        <w:trPr>
          <w:trHeight w:val="268" w:hRule="atLeast"/>
        </w:trPr>
        <w:tc>
          <w:tcPr>
            <w:tcW w:w="478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Účet 422 111 – nedeliteľný fond</w:t>
            </w:r>
          </w:p>
        </w:tc>
        <w:tc>
          <w:tcPr>
            <w:tcW w:w="198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3" w:hanging="0"/>
              <w:jc w:val="right"/>
              <w:rPr/>
            </w:pPr>
            <w:r>
              <w:rPr/>
              <w:t>488,35</w:t>
            </w:r>
          </w:p>
        </w:tc>
        <w:tc>
          <w:tcPr>
            <w:tcW w:w="244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spacing w:lineRule="auto" w:line="240"/>
              <w:rPr>
                <w:rFonts w:ascii="Times New Roman" w:hAnsi="Times New Roman"/>
                <w:sz w:val="18"/>
              </w:rPr>
            </w:pPr>
            <w:r>
              <w:rPr>
                <w:rFonts w:ascii="Times New Roman" w:hAnsi="Times New Roman"/>
                <w:sz w:val="18"/>
              </w:rPr>
            </w:r>
          </w:p>
        </w:tc>
      </w:tr>
    </w:tbl>
    <w:p>
      <w:pPr>
        <w:pStyle w:val="Telotextu"/>
        <w:spacing w:before="9" w:after="0"/>
        <w:rPr>
          <w:sz w:val="21"/>
        </w:rPr>
      </w:pPr>
      <w:r>
        <w:rPr>
          <w:sz w:val="21"/>
        </w:rPr>
      </w:r>
    </w:p>
    <w:p>
      <w:pPr>
        <w:pStyle w:val="Nadpis1"/>
        <w:rPr/>
      </w:pPr>
      <w:r>
        <w:rPr/>
        <w:t>Splnenie predpokladu, že účtovná jednotka bude nepretržite pokračovať vo svojej činnosti:</w:t>
      </w:r>
    </w:p>
    <w:p>
      <w:pPr>
        <w:pStyle w:val="Telotextu"/>
        <w:spacing w:before="1" w:after="0"/>
        <w:ind w:left="216" w:hanging="0"/>
        <w:rPr/>
      </w:pPr>
      <w:r>
        <w:rPr/>
        <w:t>Účtovná jednotka používa účtovné zásady a účtovné metódy spôsobom, ktorý vychádza</w:t>
      </w:r>
    </w:p>
    <w:p>
      <w:pPr>
        <w:pStyle w:val="Telotextu"/>
        <w:ind w:left="216" w:right="644" w:hanging="0"/>
        <w:rPr/>
      </w:pPr>
      <w:r>
        <w:rPr/>
        <w:t>z predpokladu, že bude nepretržite pokračovať vo svojej činnosti a že u nej nenastáva žiadna skutočnosť, ktorá by ju obmedzovala alebo jej zabraňovala v tejto činnosti pokračovať aj v blízkej budúcnosti, minimálne 12 mesiacov od dátumu, ku ktorému sa zostavila riadna účtovná závierka.</w:t>
      </w:r>
    </w:p>
    <w:p>
      <w:pPr>
        <w:pStyle w:val="Telotextu"/>
        <w:spacing w:before="11" w:after="0"/>
        <w:rPr>
          <w:sz w:val="21"/>
        </w:rPr>
      </w:pPr>
      <w:r>
        <w:rPr>
          <w:sz w:val="21"/>
        </w:rPr>
      </w:r>
    </w:p>
    <w:p>
      <w:pPr>
        <w:pStyle w:val="Telotextu"/>
        <w:spacing w:before="0" w:after="3"/>
        <w:ind w:left="216" w:hanging="0"/>
        <w:jc w:val="both"/>
        <w:rPr/>
      </w:pPr>
      <w:r>
        <w:rPr/>
        <w:t>Čistý obrat podľa zákona o účtovníctve paragraf 2, ods. 15 v €</w:t>
      </w:r>
    </w:p>
    <w:tbl>
      <w:tblPr>
        <w:tblStyle w:val="TableNormal"/>
        <w:tblW w:w="9182" w:type="dxa"/>
        <w:jc w:val="left"/>
        <w:tblInd w:w="113"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108" w:type="dxa"/>
          <w:bottom w:w="0" w:type="dxa"/>
          <w:right w:w="108" w:type="dxa"/>
        </w:tblCellMar>
        <w:tblLook w:val="01e0"/>
      </w:tblPr>
      <w:tblGrid>
        <w:gridCol w:w="4502"/>
        <w:gridCol w:w="4679"/>
      </w:tblGrid>
      <w:tr>
        <w:trPr>
          <w:trHeight w:val="268" w:hRule="atLeast"/>
        </w:trPr>
        <w:tc>
          <w:tcPr>
            <w:tcW w:w="450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Tržby z predaja tovarov (604)</w:t>
            </w:r>
          </w:p>
        </w:tc>
        <w:tc>
          <w:tcPr>
            <w:tcW w:w="467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2" w:hanging="0"/>
              <w:jc w:val="right"/>
              <w:rPr/>
            </w:pPr>
            <w:r>
              <w:rPr/>
              <w:t>0</w:t>
            </w:r>
          </w:p>
        </w:tc>
      </w:tr>
      <w:tr>
        <w:trPr>
          <w:trHeight w:val="268" w:hRule="atLeast"/>
        </w:trPr>
        <w:tc>
          <w:tcPr>
            <w:tcW w:w="450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Tržby z predaja vlastných výrobkov (601)</w:t>
            </w:r>
          </w:p>
        </w:tc>
        <w:tc>
          <w:tcPr>
            <w:tcW w:w="467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3" w:hanging="0"/>
              <w:jc w:val="right"/>
              <w:rPr/>
            </w:pPr>
            <w:r>
              <w:rPr/>
              <w:t>1 594 046</w:t>
            </w:r>
          </w:p>
        </w:tc>
      </w:tr>
      <w:tr>
        <w:trPr>
          <w:trHeight w:val="270" w:hRule="atLeast"/>
        </w:trPr>
        <w:tc>
          <w:tcPr>
            <w:tcW w:w="450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spacing w:lineRule="exact" w:line="251"/>
              <w:ind w:left="107" w:hanging="0"/>
              <w:rPr/>
            </w:pPr>
            <w:r>
              <w:rPr/>
              <w:t>Tržby z predaja služieb (602)</w:t>
            </w:r>
          </w:p>
        </w:tc>
        <w:tc>
          <w:tcPr>
            <w:tcW w:w="467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spacing w:lineRule="exact" w:line="251"/>
              <w:ind w:right="93" w:hanging="0"/>
              <w:jc w:val="right"/>
              <w:rPr/>
            </w:pPr>
            <w:r>
              <w:rPr/>
              <w:t>130 358</w:t>
            </w:r>
          </w:p>
        </w:tc>
      </w:tr>
      <w:tr>
        <w:trPr>
          <w:trHeight w:val="268" w:hRule="atLeast"/>
        </w:trPr>
        <w:tc>
          <w:tcPr>
            <w:tcW w:w="450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Tržby z predaja základného stáda (641)</w:t>
            </w:r>
          </w:p>
        </w:tc>
        <w:tc>
          <w:tcPr>
            <w:tcW w:w="467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3" w:hanging="0"/>
              <w:jc w:val="right"/>
              <w:rPr/>
            </w:pPr>
            <w:r>
              <w:rPr/>
              <w:t>41 504</w:t>
            </w:r>
          </w:p>
        </w:tc>
      </w:tr>
      <w:tr>
        <w:trPr>
          <w:trHeight w:val="268" w:hRule="atLeast"/>
        </w:trPr>
        <w:tc>
          <w:tcPr>
            <w:tcW w:w="450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Čistý obrat podľa z. o účtovníctve</w:t>
            </w:r>
          </w:p>
        </w:tc>
        <w:tc>
          <w:tcPr>
            <w:tcW w:w="467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2" w:hanging="0"/>
              <w:jc w:val="right"/>
              <w:rPr/>
            </w:pPr>
            <w:r>
              <w:rPr/>
              <w:t>1 765 907</w:t>
            </w:r>
          </w:p>
        </w:tc>
      </w:tr>
    </w:tbl>
    <w:p>
      <w:pPr>
        <w:pStyle w:val="Telotextu"/>
        <w:spacing w:before="9" w:after="0"/>
        <w:rPr>
          <w:sz w:val="21"/>
        </w:rPr>
      </w:pPr>
      <w:r>
        <w:rPr>
          <w:sz w:val="21"/>
        </w:rPr>
      </w:r>
    </w:p>
    <w:p>
      <w:pPr>
        <w:pStyle w:val="Telotextu"/>
        <w:spacing w:before="1" w:after="3"/>
        <w:ind w:left="216" w:hanging="0"/>
        <w:jc w:val="both"/>
        <w:rPr/>
      </w:pPr>
      <w:r>
        <w:rPr/>
        <w:t xml:space="preserve">Obchodné imanie v € </w:t>
      </w:r>
    </w:p>
    <w:tbl>
      <w:tblPr>
        <w:tblStyle w:val="TableNormal"/>
        <w:tblW w:w="9213" w:type="dxa"/>
        <w:jc w:val="left"/>
        <w:tblInd w:w="113"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108" w:type="dxa"/>
          <w:bottom w:w="0" w:type="dxa"/>
          <w:right w:w="108" w:type="dxa"/>
        </w:tblCellMar>
        <w:tblLook w:val="01e0"/>
      </w:tblPr>
      <w:tblGrid>
        <w:gridCol w:w="535"/>
        <w:gridCol w:w="4537"/>
        <w:gridCol w:w="4141"/>
      </w:tblGrid>
      <w:tr>
        <w:trPr>
          <w:trHeight w:val="268" w:hRule="atLeast"/>
        </w:trPr>
        <w:tc>
          <w:tcPr>
            <w:tcW w:w="53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A</w:t>
            </w:r>
          </w:p>
        </w:tc>
        <w:tc>
          <w:tcPr>
            <w:tcW w:w="453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8" w:hanging="0"/>
              <w:rPr/>
            </w:pPr>
            <w:r>
              <w:rPr/>
              <w:t>Neobežný majetok</w:t>
            </w:r>
          </w:p>
        </w:tc>
        <w:tc>
          <w:tcPr>
            <w:tcW w:w="414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3" w:hanging="0"/>
              <w:jc w:val="right"/>
              <w:rPr/>
            </w:pPr>
            <w:r>
              <w:rPr/>
              <w:t>2 473 866</w:t>
            </w:r>
          </w:p>
        </w:tc>
      </w:tr>
      <w:tr>
        <w:trPr>
          <w:trHeight w:val="268" w:hRule="atLeast"/>
        </w:trPr>
        <w:tc>
          <w:tcPr>
            <w:tcW w:w="53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B</w:t>
            </w:r>
          </w:p>
        </w:tc>
        <w:tc>
          <w:tcPr>
            <w:tcW w:w="453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8" w:hanging="0"/>
              <w:rPr/>
            </w:pPr>
            <w:r>
              <w:rPr/>
              <w:t>Obežný majetok</w:t>
            </w:r>
          </w:p>
        </w:tc>
        <w:tc>
          <w:tcPr>
            <w:tcW w:w="414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3" w:hanging="0"/>
              <w:jc w:val="right"/>
              <w:rPr/>
            </w:pPr>
            <w:r>
              <w:rPr/>
              <w:t>1 246 747</w:t>
            </w:r>
          </w:p>
        </w:tc>
      </w:tr>
      <w:tr>
        <w:trPr>
          <w:trHeight w:val="268" w:hRule="atLeast"/>
        </w:trPr>
        <w:tc>
          <w:tcPr>
            <w:tcW w:w="53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C</w:t>
            </w:r>
          </w:p>
        </w:tc>
        <w:tc>
          <w:tcPr>
            <w:tcW w:w="453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8" w:hanging="0"/>
              <w:rPr/>
            </w:pPr>
            <w:r>
              <w:rPr/>
              <w:t>Časové rozlíšenie</w:t>
            </w:r>
          </w:p>
        </w:tc>
        <w:tc>
          <w:tcPr>
            <w:tcW w:w="414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3" w:hanging="0"/>
              <w:jc w:val="right"/>
              <w:rPr/>
            </w:pPr>
            <w:r>
              <w:rPr/>
              <w:t>2 341</w:t>
            </w:r>
          </w:p>
        </w:tc>
      </w:tr>
      <w:tr>
        <w:trPr>
          <w:trHeight w:val="268" w:hRule="atLeast"/>
        </w:trPr>
        <w:tc>
          <w:tcPr>
            <w:tcW w:w="53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A</w:t>
            </w:r>
          </w:p>
        </w:tc>
        <w:tc>
          <w:tcPr>
            <w:tcW w:w="453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8" w:hanging="0"/>
              <w:rPr/>
            </w:pPr>
            <w:r>
              <w:rPr/>
              <w:t>Vlastné imanie</w:t>
            </w:r>
          </w:p>
        </w:tc>
        <w:tc>
          <w:tcPr>
            <w:tcW w:w="414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3" w:hanging="0"/>
              <w:jc w:val="right"/>
              <w:rPr/>
            </w:pPr>
            <w:r>
              <w:rPr/>
              <w:t>1 474 038</w:t>
            </w:r>
          </w:p>
        </w:tc>
      </w:tr>
      <w:tr>
        <w:trPr>
          <w:trHeight w:val="268" w:hRule="atLeast"/>
        </w:trPr>
        <w:tc>
          <w:tcPr>
            <w:tcW w:w="53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B</w:t>
            </w:r>
          </w:p>
        </w:tc>
        <w:tc>
          <w:tcPr>
            <w:tcW w:w="453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8" w:hanging="0"/>
              <w:rPr/>
            </w:pPr>
            <w:r>
              <w:rPr/>
              <w:t>Záväzky</w:t>
            </w:r>
          </w:p>
        </w:tc>
        <w:tc>
          <w:tcPr>
            <w:tcW w:w="414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3" w:hanging="0"/>
              <w:jc w:val="right"/>
              <w:rPr/>
            </w:pPr>
            <w:r>
              <w:rPr/>
              <w:t>1 606 762</w:t>
            </w:r>
          </w:p>
        </w:tc>
      </w:tr>
      <w:tr>
        <w:trPr>
          <w:trHeight w:val="268" w:hRule="atLeast"/>
        </w:trPr>
        <w:tc>
          <w:tcPr>
            <w:tcW w:w="53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C</w:t>
            </w:r>
          </w:p>
        </w:tc>
        <w:tc>
          <w:tcPr>
            <w:tcW w:w="453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8" w:hanging="0"/>
              <w:rPr/>
            </w:pPr>
            <w:r>
              <w:rPr/>
              <w:t>Časové rozlíšenie</w:t>
            </w:r>
          </w:p>
        </w:tc>
        <w:tc>
          <w:tcPr>
            <w:tcW w:w="414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3" w:hanging="0"/>
              <w:jc w:val="right"/>
              <w:rPr/>
            </w:pPr>
            <w:r>
              <w:rPr/>
              <w:t>642 154</w:t>
            </w:r>
          </w:p>
        </w:tc>
      </w:tr>
      <w:tr>
        <w:trPr>
          <w:trHeight w:val="268" w:hRule="atLeast"/>
        </w:trPr>
        <w:tc>
          <w:tcPr>
            <w:tcW w:w="53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spacing w:lineRule="auto" w:line="240"/>
              <w:rPr>
                <w:rFonts w:ascii="Times New Roman" w:hAnsi="Times New Roman"/>
                <w:sz w:val="18"/>
              </w:rPr>
            </w:pPr>
            <w:r>
              <w:rPr>
                <w:rFonts w:ascii="Times New Roman" w:hAnsi="Times New Roman"/>
                <w:sz w:val="18"/>
              </w:rPr>
            </w:r>
          </w:p>
        </w:tc>
        <w:tc>
          <w:tcPr>
            <w:tcW w:w="4537"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spacing w:lineRule="auto" w:line="240"/>
              <w:rPr>
                <w:rFonts w:ascii="Times New Roman" w:hAnsi="Times New Roman"/>
                <w:sz w:val="18"/>
              </w:rPr>
            </w:pPr>
            <w:r>
              <w:rPr>
                <w:rFonts w:ascii="Times New Roman" w:hAnsi="Times New Roman"/>
                <w:sz w:val="18"/>
              </w:rPr>
            </w:r>
          </w:p>
        </w:tc>
        <w:tc>
          <w:tcPr>
            <w:tcW w:w="414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spacing w:lineRule="auto" w:line="240"/>
              <w:rPr>
                <w:rFonts w:ascii="Times New Roman" w:hAnsi="Times New Roman"/>
                <w:sz w:val="18"/>
              </w:rPr>
            </w:pPr>
            <w:r>
              <w:rPr>
                <w:rFonts w:ascii="Times New Roman" w:hAnsi="Times New Roman"/>
                <w:sz w:val="18"/>
              </w:rPr>
            </w:r>
          </w:p>
        </w:tc>
      </w:tr>
    </w:tbl>
    <w:p>
      <w:pPr>
        <w:pStyle w:val="Telotextu"/>
        <w:spacing w:before="9" w:after="0"/>
        <w:rPr>
          <w:sz w:val="21"/>
        </w:rPr>
      </w:pPr>
      <w:r>
        <w:rPr>
          <w:sz w:val="21"/>
        </w:rPr>
      </w:r>
    </w:p>
    <w:p>
      <w:pPr>
        <w:pStyle w:val="Telotextu"/>
        <w:spacing w:before="0" w:after="4"/>
        <w:ind w:left="216" w:hanging="0"/>
        <w:jc w:val="both"/>
        <w:rPr/>
      </w:pPr>
      <w:r>
        <w:rPr/>
        <w:t>Finančné investície</w:t>
      </w:r>
    </w:p>
    <w:tbl>
      <w:tblPr>
        <w:tblStyle w:val="TableNormal"/>
        <w:tblW w:w="9289" w:type="dxa"/>
        <w:jc w:val="left"/>
        <w:tblInd w:w="113"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108" w:type="dxa"/>
          <w:bottom w:w="0" w:type="dxa"/>
          <w:right w:w="108" w:type="dxa"/>
        </w:tblCellMar>
        <w:tblLook w:val="01e0"/>
      </w:tblPr>
      <w:tblGrid>
        <w:gridCol w:w="3085"/>
        <w:gridCol w:w="1561"/>
        <w:gridCol w:w="1500"/>
        <w:gridCol w:w="1615"/>
        <w:gridCol w:w="1528"/>
      </w:tblGrid>
      <w:tr>
        <w:trPr>
          <w:trHeight w:val="268" w:hRule="atLeast"/>
        </w:trPr>
        <w:tc>
          <w:tcPr>
            <w:tcW w:w="308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Finančné investície-účet 063</w:t>
            </w:r>
          </w:p>
        </w:tc>
        <w:tc>
          <w:tcPr>
            <w:tcW w:w="156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9" w:hanging="0"/>
              <w:rPr/>
            </w:pPr>
            <w:r>
              <w:rPr/>
              <w:t>Zač.stav</w:t>
            </w:r>
          </w:p>
        </w:tc>
        <w:tc>
          <w:tcPr>
            <w:tcW w:w="150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prírastok</w:t>
            </w:r>
          </w:p>
        </w:tc>
        <w:tc>
          <w:tcPr>
            <w:tcW w:w="161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10" w:hanging="0"/>
              <w:rPr/>
            </w:pPr>
            <w:r>
              <w:rPr/>
              <w:t>úbytok</w:t>
            </w:r>
          </w:p>
        </w:tc>
        <w:tc>
          <w:tcPr>
            <w:tcW w:w="152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10" w:hanging="0"/>
              <w:rPr/>
            </w:pPr>
            <w:r>
              <w:rPr/>
              <w:t>Kon.stav</w:t>
            </w:r>
          </w:p>
        </w:tc>
      </w:tr>
      <w:tr>
        <w:trPr>
          <w:trHeight w:val="268" w:hRule="atLeast"/>
        </w:trPr>
        <w:tc>
          <w:tcPr>
            <w:tcW w:w="308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spacing w:lineRule="exact" w:line="249"/>
              <w:ind w:left="107" w:hanging="0"/>
              <w:rPr/>
            </w:pPr>
            <w:r>
              <w:rPr/>
              <w:t>Zväz prvovýrobcov mlieka</w:t>
            </w:r>
          </w:p>
        </w:tc>
        <w:tc>
          <w:tcPr>
            <w:tcW w:w="156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spacing w:lineRule="exact" w:line="249"/>
              <w:ind w:left="956" w:hanging="0"/>
              <w:rPr/>
            </w:pPr>
            <w:r>
              <w:rPr/>
              <w:t>1 328</w:t>
            </w:r>
          </w:p>
        </w:tc>
        <w:tc>
          <w:tcPr>
            <w:tcW w:w="150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spacing w:lineRule="exact" w:line="249"/>
              <w:ind w:right="94" w:hanging="0"/>
              <w:jc w:val="right"/>
              <w:rPr/>
            </w:pPr>
            <w:r>
              <w:rPr/>
              <w:t>0</w:t>
            </w:r>
          </w:p>
        </w:tc>
        <w:tc>
          <w:tcPr>
            <w:tcW w:w="161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spacing w:lineRule="exact" w:line="249"/>
              <w:ind w:right="91" w:hanging="0"/>
              <w:jc w:val="right"/>
              <w:rPr/>
            </w:pPr>
            <w:r>
              <w:rPr/>
              <w:t>0</w:t>
            </w:r>
          </w:p>
        </w:tc>
        <w:tc>
          <w:tcPr>
            <w:tcW w:w="152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spacing w:lineRule="exact" w:line="249"/>
              <w:ind w:left="926" w:hanging="0"/>
              <w:rPr/>
            </w:pPr>
            <w:r>
              <w:rPr/>
              <w:t>1 328</w:t>
            </w:r>
          </w:p>
        </w:tc>
      </w:tr>
    </w:tbl>
    <w:p>
      <w:pPr>
        <w:sectPr>
          <w:headerReference w:type="default" r:id="rId10"/>
          <w:footerReference w:type="default" r:id="rId11"/>
          <w:type w:val="nextPage"/>
          <w:pgSz w:w="11906" w:h="16838"/>
          <w:pgMar w:left="1200" w:right="1160" w:header="751" w:top="1660" w:footer="1002" w:bottom="1200" w:gutter="0"/>
          <w:pgNumType w:fmt="decimal"/>
          <w:formProt w:val="false"/>
          <w:textDirection w:val="lrTb"/>
          <w:docGrid w:type="default" w:linePitch="240" w:charSpace="4294965247"/>
        </w:sectPr>
      </w:pPr>
    </w:p>
    <w:p>
      <w:pPr>
        <w:pStyle w:val="Telotextu"/>
        <w:spacing w:before="7" w:after="0"/>
        <w:rPr>
          <w:sz w:val="6"/>
        </w:rPr>
      </w:pPr>
      <w:r>
        <w:rPr>
          <w:sz w:val="6"/>
        </w:rPr>
      </w:r>
    </w:p>
    <w:tbl>
      <w:tblPr>
        <w:tblStyle w:val="TableNormal"/>
        <w:tblW w:w="9289" w:type="dxa"/>
        <w:jc w:val="left"/>
        <w:tblInd w:w="113"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108" w:type="dxa"/>
          <w:bottom w:w="0" w:type="dxa"/>
          <w:right w:w="108" w:type="dxa"/>
        </w:tblCellMar>
        <w:tblLook w:val="01e0"/>
      </w:tblPr>
      <w:tblGrid>
        <w:gridCol w:w="3085"/>
        <w:gridCol w:w="1561"/>
        <w:gridCol w:w="1500"/>
        <w:gridCol w:w="1615"/>
        <w:gridCol w:w="1528"/>
      </w:tblGrid>
      <w:tr>
        <w:trPr>
          <w:trHeight w:val="268" w:hRule="atLeast"/>
        </w:trPr>
        <w:tc>
          <w:tcPr>
            <w:tcW w:w="308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Slovenský holštejn-asociácia</w:t>
            </w:r>
          </w:p>
        </w:tc>
        <w:tc>
          <w:tcPr>
            <w:tcW w:w="156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2" w:hanging="0"/>
              <w:jc w:val="right"/>
              <w:rPr/>
            </w:pPr>
            <w:r>
              <w:rPr/>
              <w:t>166</w:t>
            </w:r>
          </w:p>
        </w:tc>
        <w:tc>
          <w:tcPr>
            <w:tcW w:w="150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4" w:hanging="0"/>
              <w:jc w:val="right"/>
              <w:rPr/>
            </w:pPr>
            <w:r>
              <w:rPr/>
              <w:t>0</w:t>
            </w:r>
          </w:p>
        </w:tc>
        <w:tc>
          <w:tcPr>
            <w:tcW w:w="161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1" w:hanging="0"/>
              <w:jc w:val="right"/>
              <w:rPr/>
            </w:pPr>
            <w:r>
              <w:rPr/>
              <w:t>0</w:t>
            </w:r>
          </w:p>
        </w:tc>
        <w:tc>
          <w:tcPr>
            <w:tcW w:w="152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0" w:hanging="0"/>
              <w:jc w:val="right"/>
              <w:rPr/>
            </w:pPr>
            <w:r>
              <w:rPr/>
              <w:t>166</w:t>
            </w:r>
          </w:p>
        </w:tc>
      </w:tr>
      <w:tr>
        <w:trPr>
          <w:trHeight w:val="268" w:hRule="atLeast"/>
        </w:trPr>
        <w:tc>
          <w:tcPr>
            <w:tcW w:w="308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spolu</w:t>
            </w:r>
          </w:p>
        </w:tc>
        <w:tc>
          <w:tcPr>
            <w:tcW w:w="156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3" w:hanging="0"/>
              <w:jc w:val="right"/>
              <w:rPr/>
            </w:pPr>
            <w:r>
              <w:rPr/>
              <w:t>1 494</w:t>
            </w:r>
          </w:p>
        </w:tc>
        <w:tc>
          <w:tcPr>
            <w:tcW w:w="150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4" w:hanging="0"/>
              <w:jc w:val="right"/>
              <w:rPr/>
            </w:pPr>
            <w:r>
              <w:rPr/>
              <w:t>0</w:t>
            </w:r>
          </w:p>
        </w:tc>
        <w:tc>
          <w:tcPr>
            <w:tcW w:w="161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1" w:hanging="0"/>
              <w:jc w:val="right"/>
              <w:rPr/>
            </w:pPr>
            <w:r>
              <w:rPr/>
              <w:t>0</w:t>
            </w:r>
          </w:p>
        </w:tc>
        <w:tc>
          <w:tcPr>
            <w:tcW w:w="1528"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1" w:hanging="0"/>
              <w:jc w:val="right"/>
              <w:rPr/>
            </w:pPr>
            <w:r>
              <w:rPr/>
              <w:t>1 494</w:t>
            </w:r>
          </w:p>
        </w:tc>
      </w:tr>
    </w:tbl>
    <w:p>
      <w:pPr>
        <w:pStyle w:val="Telotextu"/>
        <w:rPr>
          <w:sz w:val="20"/>
        </w:rPr>
      </w:pPr>
      <w:r>
        <w:rPr>
          <w:sz w:val="20"/>
        </w:rPr>
      </w:r>
    </w:p>
    <w:p>
      <w:pPr>
        <w:pStyle w:val="Telotextu"/>
        <w:rPr>
          <w:sz w:val="20"/>
        </w:rPr>
      </w:pPr>
      <w:r>
        <w:rPr>
          <w:sz w:val="20"/>
        </w:rPr>
      </w:r>
    </w:p>
    <w:p>
      <w:pPr>
        <w:pStyle w:val="Telotextu"/>
        <w:spacing w:before="3" w:after="0"/>
        <w:rPr>
          <w:sz w:val="21"/>
        </w:rPr>
      </w:pPr>
      <w:r>
        <w:rPr>
          <w:sz w:val="21"/>
        </w:rPr>
      </w:r>
    </w:p>
    <w:p>
      <w:pPr>
        <w:pStyle w:val="Telotextu"/>
        <w:spacing w:before="56" w:after="4"/>
        <w:ind w:left="216" w:hanging="0"/>
        <w:rPr/>
      </w:pPr>
      <w:r>
        <w:rPr/>
        <w:t>Záväzky po lehote splatnosti</w:t>
      </w:r>
    </w:p>
    <w:tbl>
      <w:tblPr>
        <w:tblStyle w:val="TableNormal"/>
        <w:tblW w:w="9213" w:type="dxa"/>
        <w:jc w:val="left"/>
        <w:tblInd w:w="113"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108" w:type="dxa"/>
          <w:bottom w:w="0" w:type="dxa"/>
          <w:right w:w="108" w:type="dxa"/>
        </w:tblCellMar>
        <w:tblLook w:val="01e0"/>
      </w:tblPr>
      <w:tblGrid>
        <w:gridCol w:w="5922"/>
        <w:gridCol w:w="3290"/>
      </w:tblGrid>
      <w:tr>
        <w:trPr>
          <w:trHeight w:val="268" w:hRule="atLeast"/>
        </w:trPr>
        <w:tc>
          <w:tcPr>
            <w:tcW w:w="592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b/>
                <w:b/>
              </w:rPr>
            </w:pPr>
            <w:r>
              <w:rPr>
                <w:b/>
              </w:rPr>
              <w:t>Názov položky</w:t>
            </w:r>
          </w:p>
        </w:tc>
        <w:tc>
          <w:tcPr>
            <w:tcW w:w="329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b/>
                <w:b/>
              </w:rPr>
            </w:pPr>
            <w:r>
              <w:rPr>
                <w:b/>
              </w:rPr>
              <w:t>Bežné účtovné obdobie</w:t>
            </w:r>
          </w:p>
        </w:tc>
      </w:tr>
      <w:tr>
        <w:trPr>
          <w:trHeight w:val="268" w:hRule="atLeast"/>
        </w:trPr>
        <w:tc>
          <w:tcPr>
            <w:tcW w:w="592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Záväzky po lehote splatnosti</w:t>
            </w:r>
          </w:p>
        </w:tc>
        <w:tc>
          <w:tcPr>
            <w:tcW w:w="329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3" w:hanging="0"/>
              <w:jc w:val="right"/>
              <w:rPr/>
            </w:pPr>
            <w:r>
              <w:rPr/>
              <w:t>174 889</w:t>
            </w:r>
          </w:p>
        </w:tc>
      </w:tr>
      <w:tr>
        <w:trPr>
          <w:trHeight w:val="268" w:hRule="atLeast"/>
        </w:trPr>
        <w:tc>
          <w:tcPr>
            <w:tcW w:w="592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Záväzky so zostatkovou dobou splatnosti do 1 roka vrátane</w:t>
            </w:r>
          </w:p>
        </w:tc>
        <w:tc>
          <w:tcPr>
            <w:tcW w:w="329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3" w:hanging="0"/>
              <w:jc w:val="right"/>
              <w:rPr/>
            </w:pPr>
            <w:r>
              <w:rPr/>
              <w:t>300 361</w:t>
            </w:r>
          </w:p>
        </w:tc>
      </w:tr>
      <w:tr>
        <w:trPr>
          <w:trHeight w:val="268" w:hRule="atLeast"/>
        </w:trPr>
        <w:tc>
          <w:tcPr>
            <w:tcW w:w="592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b/>
                <w:b/>
              </w:rPr>
            </w:pPr>
            <w:r>
              <w:rPr>
                <w:b/>
              </w:rPr>
              <w:t>Krátkodobé záväzky spolu</w:t>
            </w:r>
          </w:p>
        </w:tc>
        <w:tc>
          <w:tcPr>
            <w:tcW w:w="329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3" w:hanging="0"/>
              <w:jc w:val="right"/>
              <w:rPr/>
            </w:pPr>
            <w:r>
              <w:rPr/>
              <w:t>307 516</w:t>
            </w:r>
          </w:p>
        </w:tc>
      </w:tr>
      <w:tr>
        <w:trPr>
          <w:trHeight w:val="268" w:hRule="atLeast"/>
        </w:trPr>
        <w:tc>
          <w:tcPr>
            <w:tcW w:w="592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Záväzky so zostatkovou dobou splatnosti 1 rok až 5 rokov</w:t>
            </w:r>
          </w:p>
        </w:tc>
        <w:tc>
          <w:tcPr>
            <w:tcW w:w="329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3" w:hanging="0"/>
              <w:jc w:val="right"/>
              <w:rPr/>
            </w:pPr>
            <w:r>
              <w:rPr/>
              <w:t>129 994</w:t>
            </w:r>
          </w:p>
        </w:tc>
      </w:tr>
      <w:tr>
        <w:trPr>
          <w:trHeight w:val="268" w:hRule="atLeast"/>
        </w:trPr>
        <w:tc>
          <w:tcPr>
            <w:tcW w:w="592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spacing w:lineRule="exact" w:line="249"/>
              <w:ind w:left="107" w:hanging="0"/>
              <w:rPr/>
            </w:pPr>
            <w:r>
              <w:rPr/>
              <w:t>Záväzky so zostatkovou dobou splatnosti nad 5 rokov</w:t>
            </w:r>
          </w:p>
        </w:tc>
        <w:tc>
          <w:tcPr>
            <w:tcW w:w="329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spacing w:lineRule="exact" w:line="249"/>
              <w:ind w:right="92" w:hanging="0"/>
              <w:jc w:val="right"/>
              <w:rPr/>
            </w:pPr>
            <w:r>
              <w:rPr/>
              <w:t>0</w:t>
            </w:r>
          </w:p>
        </w:tc>
      </w:tr>
      <w:tr>
        <w:trPr>
          <w:trHeight w:val="268" w:hRule="atLeast"/>
        </w:trPr>
        <w:tc>
          <w:tcPr>
            <w:tcW w:w="592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b/>
                <w:b/>
              </w:rPr>
            </w:pPr>
            <w:r>
              <w:rPr>
                <w:b/>
              </w:rPr>
              <w:t>Dlhodobé záväzky spolu</w:t>
            </w:r>
          </w:p>
        </w:tc>
        <w:tc>
          <w:tcPr>
            <w:tcW w:w="329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3" w:hanging="0"/>
              <w:jc w:val="right"/>
              <w:rPr/>
            </w:pPr>
            <w:r>
              <w:rPr/>
              <w:t>129 994</w:t>
            </w:r>
          </w:p>
        </w:tc>
      </w:tr>
    </w:tbl>
    <w:p>
      <w:pPr>
        <w:pStyle w:val="Telotextu"/>
        <w:spacing w:before="9" w:after="0"/>
        <w:rPr>
          <w:sz w:val="21"/>
        </w:rPr>
      </w:pPr>
      <w:r>
        <w:rPr>
          <w:sz w:val="21"/>
        </w:rPr>
      </w:r>
    </w:p>
    <w:p>
      <w:pPr>
        <w:pStyle w:val="Telotextu"/>
        <w:spacing w:before="0" w:after="4"/>
        <w:ind w:left="216" w:hanging="0"/>
        <w:rPr/>
      </w:pPr>
      <w:r>
        <w:rPr/>
        <w:t>Pohľadávky po lehote splatnosti</w:t>
      </w:r>
    </w:p>
    <w:tbl>
      <w:tblPr>
        <w:tblStyle w:val="TableNormal"/>
        <w:tblW w:w="9213" w:type="dxa"/>
        <w:jc w:val="left"/>
        <w:tblInd w:w="113"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108" w:type="dxa"/>
          <w:bottom w:w="0" w:type="dxa"/>
          <w:right w:w="108" w:type="dxa"/>
        </w:tblCellMar>
        <w:tblLook w:val="01e0"/>
      </w:tblPr>
      <w:tblGrid>
        <w:gridCol w:w="5922"/>
        <w:gridCol w:w="3290"/>
      </w:tblGrid>
      <w:tr>
        <w:trPr>
          <w:trHeight w:val="268" w:hRule="atLeast"/>
        </w:trPr>
        <w:tc>
          <w:tcPr>
            <w:tcW w:w="592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b/>
                <w:b/>
              </w:rPr>
            </w:pPr>
            <w:r>
              <w:rPr>
                <w:b/>
              </w:rPr>
              <w:t>Názov položky</w:t>
            </w:r>
          </w:p>
        </w:tc>
        <w:tc>
          <w:tcPr>
            <w:tcW w:w="329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b/>
                <w:b/>
              </w:rPr>
            </w:pPr>
            <w:r>
              <w:rPr>
                <w:b/>
              </w:rPr>
              <w:t>Bežné účtovné obdobie</w:t>
            </w:r>
          </w:p>
        </w:tc>
      </w:tr>
      <w:tr>
        <w:trPr>
          <w:trHeight w:val="268" w:hRule="atLeast"/>
        </w:trPr>
        <w:tc>
          <w:tcPr>
            <w:tcW w:w="592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Pohľadávky po lehote splatnosti</w:t>
            </w:r>
          </w:p>
        </w:tc>
        <w:tc>
          <w:tcPr>
            <w:tcW w:w="329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345" w:hanging="0"/>
              <w:jc w:val="right"/>
              <w:rPr/>
            </w:pPr>
            <w:r>
              <w:rPr/>
              <w:t>189 371</w:t>
            </w:r>
          </w:p>
        </w:tc>
      </w:tr>
      <w:tr>
        <w:trPr>
          <w:trHeight w:val="268" w:hRule="atLeast"/>
        </w:trPr>
        <w:tc>
          <w:tcPr>
            <w:tcW w:w="592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Pohľadávky so zostatkovou dobou splatnosti 1 roka vrátane</w:t>
            </w:r>
          </w:p>
        </w:tc>
        <w:tc>
          <w:tcPr>
            <w:tcW w:w="329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345" w:hanging="0"/>
              <w:jc w:val="right"/>
              <w:rPr/>
            </w:pPr>
            <w:r>
              <w:rPr/>
              <w:t>260 829</w:t>
            </w:r>
          </w:p>
        </w:tc>
      </w:tr>
      <w:tr>
        <w:trPr>
          <w:trHeight w:val="268" w:hRule="atLeast"/>
        </w:trPr>
        <w:tc>
          <w:tcPr>
            <w:tcW w:w="592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b/>
                <w:b/>
              </w:rPr>
            </w:pPr>
            <w:r>
              <w:rPr>
                <w:b/>
              </w:rPr>
              <w:t>Krátkodobé pohľadávky spolu</w:t>
            </w:r>
          </w:p>
        </w:tc>
        <w:tc>
          <w:tcPr>
            <w:tcW w:w="329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345" w:hanging="0"/>
              <w:jc w:val="right"/>
              <w:rPr/>
            </w:pPr>
            <w:r>
              <w:rPr/>
              <w:t>427 664</w:t>
            </w:r>
          </w:p>
        </w:tc>
      </w:tr>
      <w:tr>
        <w:trPr>
          <w:trHeight w:val="537" w:hRule="atLeast"/>
        </w:trPr>
        <w:tc>
          <w:tcPr>
            <w:tcW w:w="592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spacing w:lineRule="exact" w:line="267"/>
              <w:ind w:left="107" w:hanging="0"/>
              <w:rPr/>
            </w:pPr>
            <w:r>
              <w:rPr/>
              <w:t>Pohľadávky so zostatkovou dobou splatnosti od 1 roka do 3</w:t>
            </w:r>
          </w:p>
          <w:p>
            <w:pPr>
              <w:pStyle w:val="TableParagraph"/>
              <w:spacing w:lineRule="exact" w:line="251"/>
              <w:ind w:left="107" w:hanging="0"/>
              <w:rPr/>
            </w:pPr>
            <w:r>
              <w:rPr/>
              <w:t>rokov</w:t>
            </w:r>
          </w:p>
        </w:tc>
        <w:tc>
          <w:tcPr>
            <w:tcW w:w="329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spacing w:lineRule="exact" w:line="268"/>
              <w:ind w:right="344" w:hanging="0"/>
              <w:jc w:val="right"/>
              <w:rPr/>
            </w:pPr>
            <w:r>
              <w:rPr/>
              <w:t>794</w:t>
            </w:r>
          </w:p>
        </w:tc>
      </w:tr>
      <w:tr>
        <w:trPr>
          <w:trHeight w:val="270" w:hRule="atLeast"/>
        </w:trPr>
        <w:tc>
          <w:tcPr>
            <w:tcW w:w="592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spacing w:lineRule="exact" w:line="251"/>
              <w:ind w:left="107" w:hanging="0"/>
              <w:rPr>
                <w:b/>
                <w:b/>
              </w:rPr>
            </w:pPr>
            <w:r>
              <w:rPr>
                <w:b/>
              </w:rPr>
              <w:t>Tvorba opravných položiek</w:t>
            </w:r>
          </w:p>
        </w:tc>
        <w:tc>
          <w:tcPr>
            <w:tcW w:w="329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spacing w:lineRule="exact" w:line="251"/>
              <w:ind w:right="344" w:hanging="0"/>
              <w:jc w:val="right"/>
              <w:rPr/>
            </w:pPr>
            <w:r>
              <w:rPr/>
              <w:t>238</w:t>
            </w:r>
          </w:p>
        </w:tc>
      </w:tr>
    </w:tbl>
    <w:p>
      <w:pPr>
        <w:pStyle w:val="Telotextu"/>
        <w:spacing w:before="7" w:after="0"/>
        <w:rPr>
          <w:sz w:val="21"/>
        </w:rPr>
      </w:pPr>
      <w:r>
        <w:rPr>
          <w:sz w:val="21"/>
        </w:rPr>
      </w:r>
    </w:p>
    <w:p>
      <w:pPr>
        <w:pStyle w:val="Telotextu"/>
        <w:spacing w:before="0" w:after="4"/>
        <w:ind w:left="216" w:hanging="0"/>
        <w:rPr/>
      </w:pPr>
      <w:r>
        <w:rPr/>
        <w:t>Záložné právo</w:t>
      </w:r>
    </w:p>
    <w:tbl>
      <w:tblPr>
        <w:tblStyle w:val="TableNormal"/>
        <w:tblW w:w="9213" w:type="dxa"/>
        <w:jc w:val="left"/>
        <w:tblInd w:w="113"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108" w:type="dxa"/>
          <w:bottom w:w="0" w:type="dxa"/>
          <w:right w:w="108" w:type="dxa"/>
        </w:tblCellMar>
        <w:tblLook w:val="01e0"/>
      </w:tblPr>
      <w:tblGrid>
        <w:gridCol w:w="5922"/>
        <w:gridCol w:w="3290"/>
      </w:tblGrid>
      <w:tr>
        <w:trPr>
          <w:trHeight w:val="618" w:hRule="atLeast"/>
        </w:trPr>
        <w:tc>
          <w:tcPr>
            <w:tcW w:w="592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spacing w:lineRule="exact" w:line="268"/>
              <w:ind w:left="107" w:hanging="0"/>
              <w:rPr/>
            </w:pPr>
            <w:r>
              <w:rPr/>
              <w:t>Dlhodobý hmotný majetok</w:t>
            </w:r>
          </w:p>
        </w:tc>
        <w:tc>
          <w:tcPr>
            <w:tcW w:w="329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spacing w:lineRule="auto" w:line="235" w:before="1" w:after="0"/>
              <w:ind w:left="107" w:right="773" w:hanging="0"/>
              <w:rPr/>
            </w:pPr>
            <w:r>
              <w:rPr/>
              <w:t>Hodnota za bežné účtovné obdobie v €</w:t>
            </w:r>
          </w:p>
        </w:tc>
      </w:tr>
      <w:tr>
        <w:trPr>
          <w:trHeight w:val="268" w:hRule="atLeast"/>
        </w:trPr>
        <w:tc>
          <w:tcPr>
            <w:tcW w:w="592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Dlhodobý hmotný majetok, na ktorý je zriadené záložné právo</w:t>
            </w:r>
          </w:p>
        </w:tc>
        <w:tc>
          <w:tcPr>
            <w:tcW w:w="329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3" w:hanging="0"/>
              <w:jc w:val="right"/>
              <w:rPr/>
            </w:pPr>
            <w:r>
              <w:rPr/>
              <w:t>2 825 621</w:t>
            </w:r>
          </w:p>
        </w:tc>
      </w:tr>
    </w:tbl>
    <w:p>
      <w:pPr>
        <w:pStyle w:val="Telotextu"/>
        <w:spacing w:before="9" w:after="0"/>
        <w:rPr>
          <w:sz w:val="21"/>
        </w:rPr>
      </w:pPr>
      <w:r>
        <w:rPr>
          <w:sz w:val="21"/>
        </w:rPr>
      </w:r>
    </w:p>
    <w:p>
      <w:pPr>
        <w:pStyle w:val="Nadpis1"/>
        <w:rPr/>
      </w:pPr>
      <w:r>
        <w:rPr/>
        <w:t>Významné riziká a neistoty, ktorý je účtovná jednotka vystavená:</w:t>
      </w:r>
    </w:p>
    <w:p>
      <w:pPr>
        <w:pStyle w:val="Telotextu"/>
        <w:ind w:left="216" w:hanging="0"/>
        <w:rPr/>
      </w:pPr>
      <w:r>
        <w:rPr/>
        <w:t>Vplyv prevádzky na životné prostredie je typický pre poľnohospodársku výrobu.</w:t>
      </w:r>
    </w:p>
    <w:p>
      <w:pPr>
        <w:pStyle w:val="Telotextu"/>
        <w:spacing w:lineRule="auto" w:line="235" w:before="3" w:after="0"/>
        <w:ind w:left="216" w:right="533" w:hanging="0"/>
        <w:rPr/>
      </w:pPr>
      <w:r>
        <w:rPr/>
        <w:t>Na úseku ochrany pôdy sa dodržiavajú zásady správnej poľnohospodárske praxe a zásady aplikácie organických hnojív podľa hnojných plánov.</w:t>
      </w:r>
    </w:p>
    <w:p>
      <w:pPr>
        <w:pStyle w:val="Telotextu"/>
        <w:spacing w:before="1" w:after="0"/>
        <w:ind w:left="216" w:right="494" w:hanging="0"/>
        <w:rPr/>
      </w:pPr>
      <w:r>
        <w:rPr/>
        <w:t>Na zabezpečenie ochrany povrchových a podzemných vôd sa postupuje podľa Plánu preventívnych opatrení na zamedzenie vzniku neovládateľného úniku znečisťujúcich látok a Havarijného plánu.</w:t>
      </w:r>
    </w:p>
    <w:p>
      <w:pPr>
        <w:pStyle w:val="Telotextu"/>
        <w:spacing w:before="1" w:after="0"/>
        <w:ind w:left="216" w:right="874" w:hanging="0"/>
        <w:rPr/>
      </w:pPr>
      <w:r>
        <w:rPr/>
        <w:t>Na každej prevádzke, kde sa vyskytujú znečisťujúce látky sa postupuje podľa schválených prevádzkových poriadkov.</w:t>
      </w:r>
    </w:p>
    <w:p>
      <w:pPr>
        <w:pStyle w:val="Telotextu"/>
        <w:spacing w:before="1" w:after="0"/>
        <w:ind w:left="216" w:right="349" w:hanging="0"/>
        <w:rPr/>
      </w:pPr>
      <w:r>
        <w:rPr/>
        <w:t>Ekologický spôsob vykurovania a používanie nízko emisných techník v rastlinnej aj v živočíšnej výrobe prispieva k znižovaniu emisií znečisťujúcich látok do ovzdušia.</w:t>
      </w:r>
    </w:p>
    <w:p>
      <w:pPr>
        <w:pStyle w:val="Telotextu"/>
        <w:ind w:left="216" w:right="427" w:hanging="0"/>
        <w:rPr/>
      </w:pPr>
      <w:r>
        <w:rPr/>
        <w:t>Nakladanie s odpadmi je nastavené v zmysle hierarchie odpadového hospodárstva platného zákona č. 79/2015 Z.z. o odpadoch – predchádzanie vzniku odpadov a zneškodňovanie v spolupráci so</w:t>
      </w:r>
    </w:p>
    <w:p>
      <w:pPr>
        <w:pStyle w:val="Telotextu"/>
        <w:spacing w:lineRule="exact" w:line="267" w:before="1" w:after="0"/>
        <w:ind w:left="216" w:hanging="0"/>
        <w:rPr/>
      </w:pPr>
      <w:r>
        <w:rPr/>
        <w:t>zmluvnými partnermi.</w:t>
      </w:r>
    </w:p>
    <w:p>
      <w:pPr>
        <w:pStyle w:val="Telotextu"/>
        <w:ind w:left="216" w:right="360" w:hanging="0"/>
        <w:jc w:val="both"/>
        <w:rPr/>
      </w:pPr>
      <w:r>
        <w:rPr/>
        <w:t xml:space="preserve">Trhové podmienky a nízke ceny poľnohospodárskych komodít nepokrývajú skutočné vlastné náklady a vytvárajú tlak na znižovanie nákladovosti produkcie znižovaním vstupov, ale aj na znižovanie stavu pracovníkov. </w:t>
      </w:r>
    </w:p>
    <w:p>
      <w:pPr>
        <w:pStyle w:val="Telotextu"/>
        <w:ind w:left="216" w:right="360" w:hanging="0"/>
        <w:jc w:val="both"/>
        <w:rPr/>
      </w:pPr>
      <w:r>
        <w:rPr/>
        <w:t>V dôsledku legislatívnych zmien v oblasti odmeňovania a zákonníka práce došlo k zvýšeniu nákladov medziročne o 11,3 %.</w:t>
      </w:r>
    </w:p>
    <w:p>
      <w:pPr>
        <w:pStyle w:val="Telotextu"/>
        <w:spacing w:before="12" w:after="0"/>
        <w:rPr/>
      </w:pPr>
      <w:r>
        <w:rPr/>
      </w:r>
    </w:p>
    <w:p>
      <w:pPr>
        <w:pStyle w:val="Telotextu"/>
        <w:spacing w:before="12" w:after="0"/>
        <w:rPr/>
      </w:pPr>
      <w:r>
        <w:rPr/>
      </w:r>
    </w:p>
    <w:p>
      <w:pPr>
        <w:pStyle w:val="Telotextu"/>
        <w:spacing w:before="12" w:after="0"/>
        <w:rPr>
          <w:sz w:val="21"/>
        </w:rPr>
      </w:pPr>
      <w:r>
        <w:rPr>
          <w:sz w:val="21"/>
        </w:rPr>
      </w:r>
    </w:p>
    <w:p>
      <w:pPr>
        <w:pStyle w:val="Nadpis1"/>
        <w:numPr>
          <w:ilvl w:val="0"/>
          <w:numId w:val="3"/>
        </w:numPr>
        <w:rPr/>
      </w:pPr>
      <w:r>
        <w:rPr/>
        <w:t>Udalosti osobitného významu, ktoré nastali po skončení účtovného obdobia, za ktoré sa vyhotovuje výročná správa</w:t>
      </w:r>
    </w:p>
    <w:p>
      <w:pPr>
        <w:pStyle w:val="Telotextu"/>
        <w:ind w:left="426" w:hanging="0"/>
        <w:rPr/>
      </w:pPr>
      <w:r>
        <w:rPr/>
        <w:t>V čase odo dňa 31.12.2019, ku ktorému sa zostavuje účtovná závierka, do dňa zostavenia výročnej správy nenastali udalosti osobitného významu, ktoré by mali vplyv na finančnú činnosť, hospodárenie, právnu formu alebo na majetok účtovnej jednotky.</w:t>
      </w:r>
    </w:p>
    <w:p>
      <w:pPr>
        <w:pStyle w:val="Telotextu"/>
        <w:ind w:left="426" w:hanging="0"/>
        <w:rPr/>
      </w:pPr>
      <w:r>
        <w:rPr/>
      </w:r>
    </w:p>
    <w:p>
      <w:pPr>
        <w:sectPr>
          <w:headerReference w:type="default" r:id="rId12"/>
          <w:footerReference w:type="default" r:id="rId13"/>
          <w:type w:val="nextPage"/>
          <w:pgSz w:w="11906" w:h="16838"/>
          <w:pgMar w:left="1200" w:right="1160" w:header="751" w:top="1660" w:footer="1002" w:bottom="1200" w:gutter="0"/>
          <w:pgNumType w:fmt="decimal"/>
          <w:formProt w:val="false"/>
          <w:textDirection w:val="lrTb"/>
          <w:docGrid w:type="default" w:linePitch="240" w:charSpace="4294965247"/>
        </w:sectPr>
        <w:pStyle w:val="Telotextu"/>
        <w:ind w:left="426" w:hanging="0"/>
        <w:rPr/>
      </w:pPr>
      <w:r>
        <w:rPr/>
        <w:t xml:space="preserve">Po </w:t>
      </w:r>
      <w:r>
        <w:rPr/>
        <w:t xml:space="preserve">podaní daňového priznania a odoslania účtovnej závierky za rok 2019 dňa 13.3.2020 nastala udalosť osobitného významu. Je to prijatá dotácia za rok 2019 vo výške 36400,- EUR.  Po otvorení účtovných kníh a zaúčtovaní dotácie do výnosov sa opravila účtovná závierka. Vykonanou opravou nenastali  udalosti, ktoré by mali vplyv na nepretržitosť trvania a budúci vývoj účtovnej jednotky.  </w:t>
      </w:r>
    </w:p>
    <w:p>
      <w:pPr>
        <w:pStyle w:val="Telotextu"/>
        <w:rPr/>
      </w:pPr>
      <w:r>
        <w:rPr/>
      </w:r>
    </w:p>
    <w:p>
      <w:pPr>
        <w:pStyle w:val="Nadpis1"/>
        <w:numPr>
          <w:ilvl w:val="0"/>
          <w:numId w:val="3"/>
        </w:numPr>
        <w:tabs>
          <w:tab w:val="left" w:pos="444" w:leader="none"/>
        </w:tabs>
        <w:spacing w:lineRule="exact" w:line="267"/>
        <w:ind w:left="443" w:hanging="228"/>
        <w:rPr/>
      </w:pPr>
      <w:r>
        <w:rPr/>
        <w:t>Predpokladaný budúci vývoj činnosti účtovnej</w:t>
      </w:r>
      <w:r>
        <w:rPr>
          <w:spacing w:val="-3"/>
        </w:rPr>
        <w:t xml:space="preserve"> </w:t>
      </w:r>
      <w:r>
        <w:rPr/>
        <w:t>jednotky</w:t>
      </w:r>
    </w:p>
    <w:p>
      <w:pPr>
        <w:pStyle w:val="Telotextu"/>
        <w:spacing w:lineRule="exact" w:line="267" w:before="0" w:after="4"/>
        <w:ind w:left="216" w:hanging="0"/>
        <w:rPr/>
      </w:pPr>
      <w:r>
        <w:rPr/>
        <w:t>Rastlinná výroba</w:t>
      </w:r>
    </w:p>
    <w:tbl>
      <w:tblPr>
        <w:tblStyle w:val="TableNormal"/>
        <w:tblW w:w="9211" w:type="dxa"/>
        <w:jc w:val="left"/>
        <w:tblInd w:w="113"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108" w:type="dxa"/>
          <w:bottom w:w="0" w:type="dxa"/>
          <w:right w:w="108" w:type="dxa"/>
        </w:tblCellMar>
        <w:tblLook w:val="01e0"/>
      </w:tblPr>
      <w:tblGrid>
        <w:gridCol w:w="4605"/>
        <w:gridCol w:w="4605"/>
      </w:tblGrid>
      <w:tr>
        <w:trPr>
          <w:trHeight w:val="268" w:hRule="atLeast"/>
        </w:trPr>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Výmera poľnohospodárskej pôdy</w:t>
            </w:r>
          </w:p>
        </w:tc>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1" w:hanging="0"/>
              <w:jc w:val="right"/>
              <w:rPr/>
            </w:pPr>
            <w:r>
              <w:rPr/>
              <w:t>1 719,57 ha</w:t>
            </w:r>
          </w:p>
        </w:tc>
      </w:tr>
      <w:tr>
        <w:trPr>
          <w:trHeight w:val="268" w:hRule="atLeast"/>
        </w:trPr>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tabs>
                <w:tab w:val="left" w:pos="827" w:leader="none"/>
              </w:tabs>
              <w:ind w:left="467" w:hanging="0"/>
              <w:rPr/>
            </w:pPr>
            <w:r>
              <w:rPr/>
              <w:t>-</w:t>
              <w:tab/>
              <w:t>z toho - orná</w:t>
            </w:r>
            <w:r>
              <w:rPr>
                <w:spacing w:val="-3"/>
              </w:rPr>
              <w:t xml:space="preserve"> </w:t>
            </w:r>
            <w:r>
              <w:rPr/>
              <w:t>pôda</w:t>
            </w:r>
          </w:p>
        </w:tc>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1" w:hanging="0"/>
              <w:jc w:val="right"/>
              <w:rPr/>
            </w:pPr>
            <w:r>
              <w:rPr/>
              <w:t>971,88 ha</w:t>
            </w:r>
          </w:p>
        </w:tc>
      </w:tr>
      <w:tr>
        <w:trPr>
          <w:trHeight w:val="270" w:hRule="atLeast"/>
        </w:trPr>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tabs>
                <w:tab w:val="left" w:pos="827" w:leader="none"/>
              </w:tabs>
              <w:spacing w:lineRule="exact" w:line="251"/>
              <w:ind w:left="467" w:hanging="0"/>
              <w:rPr/>
            </w:pPr>
            <w:r>
              <w:rPr/>
              <w:t>-</w:t>
              <w:tab/>
              <w:t>TTP</w:t>
            </w:r>
          </w:p>
        </w:tc>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spacing w:lineRule="exact" w:line="251"/>
              <w:ind w:right="91" w:hanging="0"/>
              <w:jc w:val="right"/>
              <w:rPr/>
            </w:pPr>
            <w:r>
              <w:rPr/>
              <w:t>747,69 ha</w:t>
            </w:r>
          </w:p>
        </w:tc>
      </w:tr>
    </w:tbl>
    <w:p>
      <w:pPr>
        <w:pStyle w:val="Telotextu"/>
        <w:spacing w:before="0" w:after="3"/>
        <w:ind w:left="216" w:hanging="0"/>
        <w:rPr/>
      </w:pPr>
      <w:r>
        <w:rPr/>
        <w:t>Štruktúra osevu ornej pôdy v roku 2018:</w:t>
      </w:r>
    </w:p>
    <w:tbl>
      <w:tblPr>
        <w:tblStyle w:val="TableNormal"/>
        <w:tblW w:w="9211" w:type="dxa"/>
        <w:jc w:val="left"/>
        <w:tblInd w:w="113"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108" w:type="dxa"/>
          <w:bottom w:w="0" w:type="dxa"/>
          <w:right w:w="108" w:type="dxa"/>
        </w:tblCellMar>
        <w:tblLook w:val="01e0"/>
      </w:tblPr>
      <w:tblGrid>
        <w:gridCol w:w="4605"/>
        <w:gridCol w:w="4605"/>
      </w:tblGrid>
      <w:tr>
        <w:trPr>
          <w:trHeight w:val="268" w:hRule="atLeast"/>
        </w:trPr>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plodina</w:t>
            </w:r>
          </w:p>
        </w:tc>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3" w:hanging="0"/>
              <w:jc w:val="right"/>
              <w:rPr/>
            </w:pPr>
            <w:r>
              <w:rPr/>
              <w:t>výmera v ha</w:t>
            </w:r>
          </w:p>
        </w:tc>
      </w:tr>
      <w:tr>
        <w:trPr>
          <w:trHeight w:val="268" w:hRule="atLeast"/>
        </w:trPr>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pšenica</w:t>
            </w:r>
          </w:p>
        </w:tc>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1" w:hanging="0"/>
              <w:jc w:val="right"/>
              <w:rPr/>
            </w:pPr>
            <w:r>
              <w:rPr/>
              <w:t>226,30</w:t>
            </w:r>
          </w:p>
        </w:tc>
      </w:tr>
      <w:tr>
        <w:trPr>
          <w:trHeight w:val="269" w:hRule="atLeast"/>
        </w:trPr>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spacing w:lineRule="exact" w:line="249"/>
              <w:ind w:left="107" w:hanging="0"/>
              <w:rPr/>
            </w:pPr>
            <w:r>
              <w:rPr/>
              <w:t>Kukurica zrnová</w:t>
            </w:r>
          </w:p>
        </w:tc>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spacing w:lineRule="exact" w:line="249"/>
              <w:ind w:right="92" w:hanging="0"/>
              <w:jc w:val="right"/>
              <w:rPr/>
            </w:pPr>
            <w:r>
              <w:rPr/>
              <w:t>74,59</w:t>
            </w:r>
          </w:p>
        </w:tc>
      </w:tr>
      <w:tr>
        <w:trPr>
          <w:trHeight w:val="268" w:hRule="atLeast"/>
        </w:trPr>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Cukrová repa</w:t>
            </w:r>
          </w:p>
        </w:tc>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2" w:hanging="0"/>
              <w:jc w:val="right"/>
              <w:rPr/>
            </w:pPr>
            <w:r>
              <w:rPr/>
              <w:t>39,48</w:t>
            </w:r>
          </w:p>
        </w:tc>
      </w:tr>
      <w:tr>
        <w:trPr>
          <w:trHeight w:val="268" w:hRule="atLeast"/>
        </w:trPr>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Kukurica na siláž</w:t>
            </w:r>
          </w:p>
        </w:tc>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1" w:hanging="0"/>
              <w:jc w:val="right"/>
              <w:rPr/>
            </w:pPr>
            <w:r>
              <w:rPr/>
              <w:t>152,68</w:t>
            </w:r>
          </w:p>
        </w:tc>
      </w:tr>
      <w:tr>
        <w:trPr>
          <w:trHeight w:val="268" w:hRule="atLeast"/>
        </w:trPr>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Sója fazuľová</w:t>
            </w:r>
          </w:p>
        </w:tc>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1" w:hanging="0"/>
              <w:jc w:val="right"/>
              <w:rPr/>
            </w:pPr>
            <w:r>
              <w:rPr/>
              <w:t>74,88</w:t>
            </w:r>
          </w:p>
        </w:tc>
      </w:tr>
      <w:tr>
        <w:trPr>
          <w:trHeight w:val="268" w:hRule="atLeast"/>
        </w:trPr>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Konopa siata</w:t>
            </w:r>
          </w:p>
        </w:tc>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1" w:hanging="0"/>
              <w:jc w:val="right"/>
              <w:rPr/>
            </w:pPr>
            <w:r>
              <w:rPr/>
              <w:t>4,54</w:t>
            </w:r>
          </w:p>
        </w:tc>
      </w:tr>
      <w:tr>
        <w:trPr>
          <w:trHeight w:val="268" w:hRule="atLeast"/>
        </w:trPr>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Peluška</w:t>
            </w:r>
          </w:p>
        </w:tc>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1" w:hanging="0"/>
              <w:jc w:val="right"/>
              <w:rPr/>
            </w:pPr>
            <w:r>
              <w:rPr/>
              <w:t>20,52</w:t>
            </w:r>
          </w:p>
        </w:tc>
      </w:tr>
      <w:tr>
        <w:trPr>
          <w:trHeight w:val="268" w:hRule="atLeast"/>
        </w:trPr>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Jačmeň ozimný</w:t>
            </w:r>
          </w:p>
        </w:tc>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1" w:hanging="0"/>
              <w:jc w:val="right"/>
              <w:rPr/>
            </w:pPr>
            <w:r>
              <w:rPr/>
              <w:t>68,60</w:t>
            </w:r>
          </w:p>
        </w:tc>
      </w:tr>
      <w:tr>
        <w:trPr>
          <w:trHeight w:val="268" w:hRule="atLeast"/>
        </w:trPr>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Cirok</w:t>
            </w:r>
          </w:p>
        </w:tc>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1" w:hanging="0"/>
              <w:jc w:val="right"/>
              <w:rPr/>
            </w:pPr>
            <w:r>
              <w:rPr/>
              <w:t>10,00</w:t>
            </w:r>
          </w:p>
        </w:tc>
      </w:tr>
      <w:tr>
        <w:trPr>
          <w:trHeight w:val="268" w:hRule="atLeast"/>
        </w:trPr>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Vika (podporná Tririkale)</w:t>
            </w:r>
          </w:p>
        </w:tc>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1" w:hanging="0"/>
              <w:jc w:val="right"/>
              <w:rPr/>
            </w:pPr>
            <w:r>
              <w:rPr/>
              <w:t>38,52</w:t>
            </w:r>
          </w:p>
        </w:tc>
      </w:tr>
      <w:tr>
        <w:trPr>
          <w:trHeight w:val="268" w:hRule="atLeast"/>
        </w:trPr>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Horčica</w:t>
            </w:r>
          </w:p>
        </w:tc>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1" w:hanging="0"/>
              <w:jc w:val="right"/>
              <w:rPr/>
            </w:pPr>
            <w:r>
              <w:rPr/>
              <w:t>32,94</w:t>
            </w:r>
          </w:p>
        </w:tc>
      </w:tr>
      <w:tr>
        <w:trPr>
          <w:trHeight w:val="268" w:hRule="atLeast"/>
        </w:trPr>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Lucerna siata</w:t>
            </w:r>
          </w:p>
        </w:tc>
        <w:tc>
          <w:tcPr>
            <w:tcW w:w="4605"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1" w:hanging="0"/>
              <w:jc w:val="right"/>
              <w:rPr/>
            </w:pPr>
            <w:r>
              <w:rPr/>
              <w:t>132,59</w:t>
            </w:r>
          </w:p>
        </w:tc>
      </w:tr>
    </w:tbl>
    <w:p>
      <w:pPr>
        <w:pStyle w:val="Telotextu"/>
        <w:spacing w:before="9" w:after="0"/>
        <w:rPr>
          <w:sz w:val="21"/>
        </w:rPr>
      </w:pPr>
      <w:r>
        <w:rPr>
          <w:sz w:val="21"/>
        </w:rPr>
      </w:r>
    </w:p>
    <w:p>
      <w:pPr>
        <w:pStyle w:val="Telotextu"/>
        <w:ind w:left="216" w:hanging="0"/>
        <w:rPr/>
      </w:pPr>
      <w:r>
        <w:rPr/>
        <w:t>Živočíšna výroba</w:t>
      </w:r>
    </w:p>
    <w:p>
      <w:pPr>
        <w:pStyle w:val="Telotextu"/>
        <w:spacing w:before="0" w:after="4"/>
        <w:ind w:left="216" w:hanging="0"/>
        <w:rPr/>
      </w:pPr>
      <w:r>
        <w:rPr/>
        <w:t>Plánované stavy hovädzieho dobytka k 31.12.2020:</w:t>
      </w:r>
    </w:p>
    <w:tbl>
      <w:tblPr>
        <w:tblStyle w:val="TableNormal"/>
        <w:tblW w:w="6142" w:type="dxa"/>
        <w:jc w:val="left"/>
        <w:tblInd w:w="113"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108" w:type="dxa"/>
          <w:bottom w:w="0" w:type="dxa"/>
          <w:right w:w="108" w:type="dxa"/>
        </w:tblCellMar>
        <w:tblLook w:val="01e0"/>
      </w:tblPr>
      <w:tblGrid>
        <w:gridCol w:w="3070"/>
        <w:gridCol w:w="3071"/>
      </w:tblGrid>
      <w:tr>
        <w:trPr>
          <w:trHeight w:val="268" w:hRule="atLeast"/>
        </w:trPr>
        <w:tc>
          <w:tcPr>
            <w:tcW w:w="307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Spolu HD</w:t>
            </w:r>
          </w:p>
        </w:tc>
        <w:tc>
          <w:tcPr>
            <w:tcW w:w="307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261" w:hanging="0"/>
              <w:rPr/>
            </w:pPr>
            <w:r>
              <w:rPr/>
              <w:t>660 kusov</w:t>
            </w:r>
          </w:p>
        </w:tc>
      </w:tr>
      <w:tr>
        <w:trPr>
          <w:trHeight w:val="268" w:hRule="atLeast"/>
        </w:trPr>
        <w:tc>
          <w:tcPr>
            <w:tcW w:w="3070"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z toho dojníc</w:t>
            </w:r>
          </w:p>
        </w:tc>
        <w:tc>
          <w:tcPr>
            <w:tcW w:w="307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261" w:hanging="0"/>
              <w:rPr/>
            </w:pPr>
            <w:r>
              <w:rPr/>
              <w:t>300 kusov</w:t>
            </w:r>
          </w:p>
        </w:tc>
      </w:tr>
    </w:tbl>
    <w:p>
      <w:pPr>
        <w:pStyle w:val="Telotextu"/>
        <w:rPr/>
      </w:pPr>
      <w:r>
        <w:rPr>
          <w:sz w:val="21"/>
        </w:rPr>
        <w:t xml:space="preserve">     </w:t>
      </w:r>
      <w:r>
        <w:rPr/>
        <w:t>Investičná výstavba</w:t>
      </w:r>
    </w:p>
    <w:p>
      <w:pPr>
        <w:pStyle w:val="Telotextu"/>
        <w:spacing w:before="1" w:after="0"/>
        <w:ind w:left="216" w:right="385" w:hanging="0"/>
        <w:rPr/>
      </w:pPr>
      <w:r>
        <w:rPr/>
        <w:t>Objem plánovaných investícií: 50 000,- EUR – oprava ubytovne.</w:t>
      </w:r>
    </w:p>
    <w:p>
      <w:pPr>
        <w:pStyle w:val="Telotextu"/>
        <w:ind w:left="216" w:hanging="0"/>
        <w:rPr/>
      </w:pPr>
      <w:r>
        <w:rPr/>
      </w:r>
    </w:p>
    <w:p>
      <w:pPr>
        <w:pStyle w:val="Telotextu"/>
        <w:ind w:left="216" w:hanging="0"/>
        <w:rPr/>
      </w:pPr>
      <w:r>
        <w:rPr/>
        <w:t>Zamestnanosť</w:t>
      </w:r>
    </w:p>
    <w:p>
      <w:pPr>
        <w:pStyle w:val="Telotextu"/>
        <w:ind w:left="216" w:hanging="0"/>
        <w:rPr/>
      </w:pPr>
      <w:r>
        <w:rPr/>
        <w:t>Štruktúra a počet zamestnancov :</w:t>
      </w:r>
    </w:p>
    <w:tbl>
      <w:tblPr>
        <w:tblStyle w:val="TableNormal"/>
        <w:tblW w:w="9181" w:type="dxa"/>
        <w:jc w:val="left"/>
        <w:tblInd w:w="113"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108" w:type="dxa"/>
          <w:bottom w:w="0" w:type="dxa"/>
          <w:right w:w="108" w:type="dxa"/>
        </w:tblCellMar>
        <w:tblLook w:val="01e0"/>
      </w:tblPr>
      <w:tblGrid>
        <w:gridCol w:w="5071"/>
        <w:gridCol w:w="4109"/>
      </w:tblGrid>
      <w:tr>
        <w:trPr>
          <w:trHeight w:val="268" w:hRule="atLeast"/>
        </w:trPr>
        <w:tc>
          <w:tcPr>
            <w:tcW w:w="507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v rastlinnej výrobe</w:t>
            </w:r>
          </w:p>
        </w:tc>
        <w:tc>
          <w:tcPr>
            <w:tcW w:w="410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4" w:hanging="0"/>
              <w:jc w:val="right"/>
              <w:rPr/>
            </w:pPr>
            <w:r>
              <w:rPr/>
              <w:t>10</w:t>
            </w:r>
          </w:p>
        </w:tc>
      </w:tr>
      <w:tr>
        <w:trPr>
          <w:trHeight w:val="270" w:hRule="atLeast"/>
        </w:trPr>
        <w:tc>
          <w:tcPr>
            <w:tcW w:w="507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spacing w:lineRule="exact" w:line="251"/>
              <w:ind w:left="107" w:hanging="0"/>
              <w:rPr/>
            </w:pPr>
            <w:r>
              <w:rPr/>
              <w:t>v živočíšnej výrobe</w:t>
            </w:r>
          </w:p>
        </w:tc>
        <w:tc>
          <w:tcPr>
            <w:tcW w:w="410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spacing w:lineRule="exact" w:line="251"/>
              <w:ind w:right="93" w:hanging="0"/>
              <w:jc w:val="right"/>
              <w:rPr/>
            </w:pPr>
            <w:r>
              <w:rPr/>
              <w:t>16</w:t>
            </w:r>
          </w:p>
        </w:tc>
      </w:tr>
      <w:tr>
        <w:trPr>
          <w:trHeight w:val="268" w:hRule="atLeast"/>
        </w:trPr>
        <w:tc>
          <w:tcPr>
            <w:tcW w:w="507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v mechanizácii</w:t>
            </w:r>
          </w:p>
        </w:tc>
        <w:tc>
          <w:tcPr>
            <w:tcW w:w="410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4" w:hanging="0"/>
              <w:jc w:val="right"/>
              <w:rPr/>
            </w:pPr>
            <w:r>
              <w:rPr/>
              <w:t>5</w:t>
            </w:r>
          </w:p>
        </w:tc>
      </w:tr>
      <w:tr>
        <w:trPr>
          <w:trHeight w:val="268" w:hRule="atLeast"/>
        </w:trPr>
        <w:tc>
          <w:tcPr>
            <w:tcW w:w="507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ostatné úseky</w:t>
            </w:r>
          </w:p>
        </w:tc>
        <w:tc>
          <w:tcPr>
            <w:tcW w:w="410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3" w:hanging="0"/>
              <w:jc w:val="right"/>
              <w:rPr/>
            </w:pPr>
            <w:r>
              <w:rPr/>
              <w:t>11</w:t>
            </w:r>
          </w:p>
        </w:tc>
      </w:tr>
      <w:tr>
        <w:trPr>
          <w:trHeight w:val="268" w:hRule="atLeast"/>
        </w:trPr>
        <w:tc>
          <w:tcPr>
            <w:tcW w:w="507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spolu</w:t>
            </w:r>
          </w:p>
        </w:tc>
        <w:tc>
          <w:tcPr>
            <w:tcW w:w="410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3" w:hanging="0"/>
              <w:jc w:val="right"/>
              <w:rPr/>
            </w:pPr>
            <w:r>
              <w:rPr/>
              <w:t>42</w:t>
            </w:r>
          </w:p>
        </w:tc>
      </w:tr>
    </w:tbl>
    <w:p>
      <w:pPr>
        <w:pStyle w:val="Telotextu"/>
        <w:ind w:left="216" w:hanging="0"/>
        <w:rPr/>
      </w:pPr>
      <w:r>
        <w:rPr/>
      </w:r>
    </w:p>
    <w:p>
      <w:pPr>
        <w:pStyle w:val="Telotextu"/>
        <w:ind w:left="216" w:hanging="0"/>
        <w:rPr/>
      </w:pPr>
      <w:r>
        <w:rPr/>
        <w:t>Manažment :</w:t>
      </w:r>
    </w:p>
    <w:p>
      <w:pPr>
        <w:pStyle w:val="Telotextu"/>
        <w:tabs>
          <w:tab w:val="left" w:pos="3048" w:leader="none"/>
        </w:tabs>
        <w:spacing w:before="1" w:after="0"/>
        <w:ind w:left="216" w:hanging="0"/>
        <w:rPr/>
      </w:pPr>
      <w:r>
        <w:rPr/>
        <w:t>Predseda:</w:t>
        <w:tab/>
        <w:t>Ing. Ľubomír</w:t>
      </w:r>
      <w:r>
        <w:rPr>
          <w:spacing w:val="-2"/>
        </w:rPr>
        <w:t xml:space="preserve"> </w:t>
      </w:r>
      <w:r>
        <w:rPr/>
        <w:t>Gajdoš</w:t>
      </w:r>
    </w:p>
    <w:p>
      <w:pPr>
        <w:pStyle w:val="Telotextu"/>
        <w:tabs>
          <w:tab w:val="left" w:pos="3048" w:leader="none"/>
        </w:tabs>
        <w:ind w:left="216" w:hanging="0"/>
        <w:rPr/>
      </w:pPr>
      <w:r>
        <w:rPr/>
        <w:t>Výrobný</w:t>
      </w:r>
      <w:r>
        <w:rPr>
          <w:spacing w:val="-3"/>
        </w:rPr>
        <w:t xml:space="preserve"> </w:t>
      </w:r>
      <w:r>
        <w:rPr/>
        <w:t>riaditeľ:</w:t>
        <w:tab/>
        <w:t>Rudolf Zeman</w:t>
      </w:r>
    </w:p>
    <w:p>
      <w:pPr>
        <w:pStyle w:val="Telotextu"/>
        <w:tabs>
          <w:tab w:val="left" w:pos="3048" w:leader="none"/>
        </w:tabs>
        <w:spacing w:lineRule="exact" w:line="267"/>
        <w:ind w:left="216" w:hanging="0"/>
        <w:rPr/>
      </w:pPr>
      <w:r>
        <w:rPr/>
        <w:t>Vedúca</w:t>
      </w:r>
      <w:r>
        <w:rPr>
          <w:spacing w:val="-1"/>
        </w:rPr>
        <w:t xml:space="preserve"> </w:t>
      </w:r>
      <w:r>
        <w:rPr/>
        <w:t>ekon.</w:t>
      </w:r>
      <w:r>
        <w:rPr>
          <w:spacing w:val="-1"/>
        </w:rPr>
        <w:t xml:space="preserve"> </w:t>
      </w:r>
      <w:r>
        <w:rPr/>
        <w:t>úseku:</w:t>
        <w:tab/>
        <w:t>Katarína Urbánková</w:t>
      </w:r>
    </w:p>
    <w:p>
      <w:pPr>
        <w:pStyle w:val="Telotextu"/>
        <w:tabs>
          <w:tab w:val="left" w:pos="3048" w:leader="none"/>
        </w:tabs>
        <w:spacing w:lineRule="exact" w:line="267"/>
        <w:ind w:left="216" w:hanging="0"/>
        <w:rPr/>
      </w:pPr>
      <w:r>
        <w:rPr/>
        <w:t>Vedúci</w:t>
      </w:r>
      <w:r>
        <w:rPr>
          <w:spacing w:val="-1"/>
        </w:rPr>
        <w:t xml:space="preserve"> </w:t>
      </w:r>
      <w:r>
        <w:rPr/>
        <w:t>úseku</w:t>
      </w:r>
      <w:r>
        <w:rPr>
          <w:spacing w:val="-4"/>
        </w:rPr>
        <w:t xml:space="preserve"> </w:t>
      </w:r>
      <w:r>
        <w:rPr/>
        <w:t>RV:</w:t>
        <w:tab/>
        <w:t>Ing. Miloš</w:t>
      </w:r>
      <w:r>
        <w:rPr>
          <w:spacing w:val="-3"/>
        </w:rPr>
        <w:t xml:space="preserve"> </w:t>
      </w:r>
      <w:r>
        <w:rPr/>
        <w:t>Mikulčík</w:t>
      </w:r>
    </w:p>
    <w:p>
      <w:pPr>
        <w:sectPr>
          <w:headerReference w:type="default" r:id="rId14"/>
          <w:footerReference w:type="default" r:id="rId15"/>
          <w:type w:val="nextPage"/>
          <w:pgSz w:w="11906" w:h="16838"/>
          <w:pgMar w:left="1200" w:right="1160" w:header="751" w:top="1660" w:footer="1002" w:bottom="1200" w:gutter="0"/>
          <w:pgNumType w:fmt="decimal"/>
          <w:formProt w:val="false"/>
          <w:textDirection w:val="lrTb"/>
          <w:docGrid w:type="default" w:linePitch="240" w:charSpace="4294965247"/>
        </w:sectPr>
        <w:pStyle w:val="Telotextu"/>
        <w:tabs>
          <w:tab w:val="left" w:pos="3048" w:leader="none"/>
        </w:tabs>
        <w:spacing w:lineRule="auto" w:line="480"/>
        <w:ind w:left="216" w:right="4917" w:hanging="0"/>
        <w:rPr/>
      </w:pPr>
      <w:r>
        <w:rPr/>
        <w:t>V</w:t>
      </w:r>
      <w:r>
        <w:rPr/>
        <w:t>edúci</w:t>
      </w:r>
      <w:r>
        <w:rPr>
          <w:spacing w:val="-2"/>
        </w:rPr>
        <w:t xml:space="preserve"> </w:t>
      </w:r>
      <w:r>
        <w:rPr/>
        <w:t>úseku</w:t>
      </w:r>
      <w:r>
        <w:rPr>
          <w:spacing w:val="-1"/>
        </w:rPr>
        <w:t xml:space="preserve"> </w:t>
      </w:r>
      <w:r>
        <w:rPr/>
        <w:t>ŽV:</w:t>
        <w:tab/>
        <w:t>Ing. Ondrej Vasko Plán nákladov (v</w:t>
      </w:r>
      <w:r>
        <w:rPr>
          <w:spacing w:val="-3"/>
        </w:rPr>
        <w:t xml:space="preserve"> </w:t>
      </w:r>
      <w:r>
        <w:rPr/>
        <w:t>EUR-ách)</w:t>
      </w:r>
    </w:p>
    <w:p>
      <w:pPr>
        <w:pStyle w:val="Telotextu"/>
        <w:spacing w:before="7" w:after="0"/>
        <w:rPr>
          <w:sz w:val="6"/>
        </w:rPr>
      </w:pPr>
      <w:r>
        <w:rPr>
          <w:sz w:val="6"/>
        </w:rPr>
      </w:r>
    </w:p>
    <w:tbl>
      <w:tblPr>
        <w:tblStyle w:val="TableNormal"/>
        <w:tblW w:w="9289" w:type="dxa"/>
        <w:jc w:val="left"/>
        <w:tblInd w:w="113"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108" w:type="dxa"/>
          <w:bottom w:w="0" w:type="dxa"/>
          <w:right w:w="108" w:type="dxa"/>
        </w:tblCellMar>
        <w:tblLook w:val="01e0"/>
      </w:tblPr>
      <w:tblGrid>
        <w:gridCol w:w="5059"/>
        <w:gridCol w:w="4229"/>
      </w:tblGrid>
      <w:tr>
        <w:trPr>
          <w:trHeight w:val="268" w:hRule="atLeast"/>
        </w:trPr>
        <w:tc>
          <w:tcPr>
            <w:tcW w:w="505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ostatné prevádzkové náklady</w:t>
            </w:r>
          </w:p>
        </w:tc>
        <w:tc>
          <w:tcPr>
            <w:tcW w:w="422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4" w:hanging="0"/>
              <w:jc w:val="right"/>
              <w:rPr/>
            </w:pPr>
            <w:r>
              <w:rPr/>
              <w:t>35 000</w:t>
            </w:r>
          </w:p>
        </w:tc>
      </w:tr>
      <w:tr>
        <w:trPr>
          <w:trHeight w:val="268" w:hRule="atLeast"/>
        </w:trPr>
        <w:tc>
          <w:tcPr>
            <w:tcW w:w="505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finančné</w:t>
            </w:r>
          </w:p>
        </w:tc>
        <w:tc>
          <w:tcPr>
            <w:tcW w:w="422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4" w:hanging="0"/>
              <w:jc w:val="right"/>
              <w:rPr/>
            </w:pPr>
            <w:r>
              <w:rPr/>
              <w:t>45 000</w:t>
            </w:r>
          </w:p>
        </w:tc>
      </w:tr>
      <w:tr>
        <w:trPr>
          <w:trHeight w:val="268" w:hRule="atLeast"/>
        </w:trPr>
        <w:tc>
          <w:tcPr>
            <w:tcW w:w="505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NÁKLADY SPOLU</w:t>
            </w:r>
          </w:p>
        </w:tc>
        <w:tc>
          <w:tcPr>
            <w:tcW w:w="422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4" w:hanging="0"/>
              <w:jc w:val="right"/>
              <w:rPr>
                <w:b/>
                <w:b/>
              </w:rPr>
            </w:pPr>
            <w:r>
              <w:rPr>
                <w:b/>
              </w:rPr>
              <w:t>2 760 200</w:t>
            </w:r>
          </w:p>
        </w:tc>
      </w:tr>
    </w:tbl>
    <w:p>
      <w:pPr>
        <w:pStyle w:val="Telotextu"/>
        <w:spacing w:before="2" w:after="0"/>
        <w:rPr>
          <w:sz w:val="17"/>
        </w:rPr>
      </w:pPr>
      <w:r>
        <w:rPr>
          <w:sz w:val="17"/>
        </w:rPr>
      </w:r>
    </w:p>
    <w:p>
      <w:pPr>
        <w:pStyle w:val="Telotextu"/>
        <w:spacing w:before="57" w:after="3"/>
        <w:ind w:left="216" w:hanging="0"/>
        <w:rPr/>
      </w:pPr>
      <w:r>
        <w:rPr/>
        <w:t>Plán výnosov ( v EUR-ách)</w:t>
      </w:r>
    </w:p>
    <w:tbl>
      <w:tblPr>
        <w:tblStyle w:val="TableNormal"/>
        <w:tblW w:w="9289" w:type="dxa"/>
        <w:jc w:val="left"/>
        <w:tblInd w:w="113"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108" w:type="dxa"/>
          <w:bottom w:w="0" w:type="dxa"/>
          <w:right w:w="108" w:type="dxa"/>
        </w:tblCellMar>
        <w:tblLook w:val="01e0"/>
      </w:tblPr>
      <w:tblGrid>
        <w:gridCol w:w="4976"/>
        <w:gridCol w:w="4312"/>
      </w:tblGrid>
      <w:tr>
        <w:trPr>
          <w:trHeight w:val="268" w:hRule="atLeast"/>
        </w:trPr>
        <w:tc>
          <w:tcPr>
            <w:tcW w:w="4976"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Druh</w:t>
            </w:r>
          </w:p>
        </w:tc>
        <w:tc>
          <w:tcPr>
            <w:tcW w:w="431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Plán na rok 2020</w:t>
            </w:r>
          </w:p>
        </w:tc>
      </w:tr>
      <w:tr>
        <w:trPr>
          <w:trHeight w:val="268" w:hRule="atLeast"/>
        </w:trPr>
        <w:tc>
          <w:tcPr>
            <w:tcW w:w="4976"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tržby rastlinnej výroby</w:t>
            </w:r>
          </w:p>
        </w:tc>
        <w:tc>
          <w:tcPr>
            <w:tcW w:w="431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4" w:hanging="0"/>
              <w:jc w:val="right"/>
              <w:rPr/>
            </w:pPr>
            <w:r>
              <w:rPr/>
              <w:t>650 000</w:t>
            </w:r>
          </w:p>
        </w:tc>
      </w:tr>
      <w:tr>
        <w:trPr>
          <w:trHeight w:val="268" w:hRule="atLeast"/>
        </w:trPr>
        <w:tc>
          <w:tcPr>
            <w:tcW w:w="4976"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tržby živočíšnej výroby</w:t>
            </w:r>
          </w:p>
        </w:tc>
        <w:tc>
          <w:tcPr>
            <w:tcW w:w="431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4" w:hanging="0"/>
              <w:jc w:val="right"/>
              <w:rPr/>
            </w:pPr>
            <w:r>
              <w:rPr/>
              <w:t>1 008 266</w:t>
            </w:r>
          </w:p>
        </w:tc>
      </w:tr>
      <w:tr>
        <w:trPr>
          <w:trHeight w:val="268" w:hRule="atLeast"/>
        </w:trPr>
        <w:tc>
          <w:tcPr>
            <w:tcW w:w="4976"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tržby za služby</w:t>
            </w:r>
          </w:p>
        </w:tc>
        <w:tc>
          <w:tcPr>
            <w:tcW w:w="431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4" w:hanging="0"/>
              <w:jc w:val="right"/>
              <w:rPr/>
            </w:pPr>
            <w:r>
              <w:rPr/>
              <w:t>130 000</w:t>
            </w:r>
          </w:p>
        </w:tc>
      </w:tr>
      <w:tr>
        <w:trPr>
          <w:trHeight w:val="268" w:hRule="atLeast"/>
        </w:trPr>
        <w:tc>
          <w:tcPr>
            <w:tcW w:w="4976"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zmena stavu výroby</w:t>
            </w:r>
          </w:p>
        </w:tc>
        <w:tc>
          <w:tcPr>
            <w:tcW w:w="431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4" w:hanging="0"/>
              <w:jc w:val="right"/>
              <w:rPr/>
            </w:pPr>
            <w:r>
              <w:rPr/>
              <w:t>10 000</w:t>
            </w:r>
          </w:p>
        </w:tc>
      </w:tr>
      <w:tr>
        <w:trPr>
          <w:trHeight w:val="268" w:hRule="atLeast"/>
        </w:trPr>
        <w:tc>
          <w:tcPr>
            <w:tcW w:w="4976"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aktivácia</w:t>
            </w:r>
          </w:p>
        </w:tc>
        <w:tc>
          <w:tcPr>
            <w:tcW w:w="431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4" w:hanging="0"/>
              <w:jc w:val="right"/>
              <w:rPr/>
            </w:pPr>
            <w:r>
              <w:rPr/>
              <w:t>130 000</w:t>
            </w:r>
          </w:p>
        </w:tc>
      </w:tr>
      <w:tr>
        <w:trPr>
          <w:trHeight w:val="268" w:hRule="atLeast"/>
        </w:trPr>
        <w:tc>
          <w:tcPr>
            <w:tcW w:w="4976"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spacing w:lineRule="exact" w:line="249"/>
              <w:ind w:left="107" w:hanging="0"/>
              <w:rPr/>
            </w:pPr>
            <w:r>
              <w:rPr/>
              <w:t>dotácie</w:t>
            </w:r>
          </w:p>
        </w:tc>
        <w:tc>
          <w:tcPr>
            <w:tcW w:w="431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spacing w:lineRule="exact" w:line="249"/>
              <w:ind w:right="94" w:hanging="0"/>
              <w:jc w:val="right"/>
              <w:rPr/>
            </w:pPr>
            <w:r>
              <w:rPr/>
              <w:t>720 000</w:t>
            </w:r>
          </w:p>
        </w:tc>
      </w:tr>
      <w:tr>
        <w:trPr>
          <w:trHeight w:val="268" w:hRule="atLeast"/>
        </w:trPr>
        <w:tc>
          <w:tcPr>
            <w:tcW w:w="4976"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ostatné prevádzkové výnosy</w:t>
            </w:r>
          </w:p>
        </w:tc>
        <w:tc>
          <w:tcPr>
            <w:tcW w:w="431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4" w:hanging="0"/>
              <w:jc w:val="right"/>
              <w:rPr/>
            </w:pPr>
            <w:r>
              <w:rPr/>
              <w:t>40 000</w:t>
            </w:r>
          </w:p>
        </w:tc>
      </w:tr>
      <w:tr>
        <w:trPr>
          <w:trHeight w:val="270" w:hRule="atLeast"/>
        </w:trPr>
        <w:tc>
          <w:tcPr>
            <w:tcW w:w="4976"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spacing w:lineRule="exact" w:line="251"/>
              <w:ind w:left="107" w:hanging="0"/>
              <w:rPr/>
            </w:pPr>
            <w:r>
              <w:rPr/>
              <w:t>finančné</w:t>
            </w:r>
          </w:p>
        </w:tc>
        <w:tc>
          <w:tcPr>
            <w:tcW w:w="431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spacing w:lineRule="exact" w:line="251"/>
              <w:ind w:right="94" w:hanging="0"/>
              <w:jc w:val="right"/>
              <w:rPr/>
            </w:pPr>
            <w:r>
              <w:rPr/>
              <w:t>900</w:t>
            </w:r>
          </w:p>
        </w:tc>
      </w:tr>
      <w:tr>
        <w:trPr>
          <w:trHeight w:val="268" w:hRule="atLeast"/>
        </w:trPr>
        <w:tc>
          <w:tcPr>
            <w:tcW w:w="4976"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VÝNOSY SPOLU</w:t>
            </w:r>
          </w:p>
        </w:tc>
        <w:tc>
          <w:tcPr>
            <w:tcW w:w="4312"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4" w:hanging="0"/>
              <w:jc w:val="right"/>
              <w:rPr>
                <w:b/>
                <w:b/>
              </w:rPr>
            </w:pPr>
            <w:r>
              <w:rPr>
                <w:b/>
              </w:rPr>
              <w:t>2 689 166</w:t>
            </w:r>
          </w:p>
        </w:tc>
      </w:tr>
    </w:tbl>
    <w:p>
      <w:pPr>
        <w:pStyle w:val="Telotextu"/>
        <w:rPr/>
      </w:pPr>
      <w:r>
        <w:rPr/>
      </w:r>
    </w:p>
    <w:tbl>
      <w:tblPr>
        <w:tblStyle w:val="TableNormal"/>
        <w:tblW w:w="9323" w:type="dxa"/>
        <w:jc w:val="left"/>
        <w:tblInd w:w="113"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108" w:type="dxa"/>
          <w:bottom w:w="0" w:type="dxa"/>
          <w:right w:w="108" w:type="dxa"/>
        </w:tblCellMar>
        <w:tblLook w:val="01e0"/>
      </w:tblPr>
      <w:tblGrid>
        <w:gridCol w:w="5071"/>
        <w:gridCol w:w="4251"/>
      </w:tblGrid>
      <w:tr>
        <w:trPr>
          <w:trHeight w:val="268" w:hRule="atLeast"/>
        </w:trPr>
        <w:tc>
          <w:tcPr>
            <w:tcW w:w="507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b/>
                <w:b/>
              </w:rPr>
            </w:pPr>
            <w:r>
              <w:rPr>
                <w:b/>
              </w:rPr>
              <w:t>Hospodársky výsledok</w:t>
            </w:r>
          </w:p>
        </w:tc>
        <w:tc>
          <w:tcPr>
            <w:tcW w:w="4251"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2" w:hanging="0"/>
              <w:jc w:val="right"/>
              <w:rPr>
                <w:b/>
                <w:b/>
              </w:rPr>
            </w:pPr>
            <w:r>
              <w:rPr>
                <w:b/>
              </w:rPr>
              <w:t xml:space="preserve">-71 034 </w:t>
            </w:r>
          </w:p>
        </w:tc>
      </w:tr>
    </w:tbl>
    <w:p>
      <w:pPr>
        <w:pStyle w:val="Telotextu"/>
        <w:spacing w:before="9" w:after="0"/>
        <w:rPr>
          <w:sz w:val="21"/>
        </w:rPr>
      </w:pPr>
      <w:r>
        <w:rPr>
          <w:sz w:val="21"/>
        </w:rPr>
      </w:r>
    </w:p>
    <w:p>
      <w:pPr>
        <w:pStyle w:val="Nadpis1"/>
        <w:numPr>
          <w:ilvl w:val="0"/>
          <w:numId w:val="2"/>
        </w:numPr>
        <w:tabs>
          <w:tab w:val="left" w:pos="433" w:leader="none"/>
        </w:tabs>
        <w:ind w:left="216" w:right="593" w:hanging="0"/>
        <w:rPr/>
      </w:pPr>
      <w:r>
        <w:rPr/>
        <w:t>Nadobúdanie vlastných akcií, dočasných listov, obchodných podielov a akcií, dočasných listov a obchodných podielov materskej účtovnej jednotky podľa paragrafu 22 –</w:t>
      </w:r>
      <w:r>
        <w:rPr>
          <w:spacing w:val="-18"/>
        </w:rPr>
        <w:t xml:space="preserve"> </w:t>
      </w:r>
      <w:r>
        <w:rPr/>
        <w:t>konsolidácia</w:t>
      </w:r>
    </w:p>
    <w:p>
      <w:pPr>
        <w:pStyle w:val="Telotextu"/>
        <w:spacing w:before="1" w:after="0"/>
        <w:ind w:left="216" w:hanging="0"/>
        <w:rPr/>
      </w:pPr>
      <w:r>
        <w:rPr/>
        <w:t>Účtovná jednotka je súčasťou konsolidovaného celku.</w:t>
      </w:r>
    </w:p>
    <w:p>
      <w:pPr>
        <w:pStyle w:val="Telotextu"/>
        <w:spacing w:before="10" w:after="0"/>
        <w:rPr>
          <w:sz w:val="21"/>
        </w:rPr>
      </w:pPr>
      <w:r>
        <w:rPr>
          <w:sz w:val="21"/>
        </w:rPr>
      </w:r>
    </w:p>
    <w:p>
      <w:pPr>
        <w:pStyle w:val="Nadpis1"/>
        <w:numPr>
          <w:ilvl w:val="0"/>
          <w:numId w:val="2"/>
        </w:numPr>
        <w:tabs>
          <w:tab w:val="left" w:pos="428" w:leader="none"/>
        </w:tabs>
        <w:ind w:left="427" w:hanging="212"/>
        <w:rPr/>
      </w:pPr>
      <w:r>
        <w:rPr/>
        <w:t>Návrh na vyrovnanie straty alebo rozdelenie</w:t>
      </w:r>
      <w:r>
        <w:rPr>
          <w:spacing w:val="-8"/>
        </w:rPr>
        <w:t xml:space="preserve"> </w:t>
      </w:r>
      <w:r>
        <w:rPr/>
        <w:t>zisku</w:t>
      </w:r>
    </w:p>
    <w:p>
      <w:pPr>
        <w:pStyle w:val="Telotextu"/>
        <w:spacing w:before="1" w:after="0"/>
        <w:ind w:left="216" w:right="590" w:hanging="0"/>
        <w:rPr/>
      </w:pPr>
      <w:r>
        <w:rPr/>
        <w:t xml:space="preserve">Predstavenstvo družstva predkladá členskej schôdzi návrh na zúčtovanie výsledku hospodárenia – stratu – za rok 2019: - 225 532,24 € preúčtovať na účet 429 – neuhradené straty minulých rokov </w:t>
      </w:r>
    </w:p>
    <w:p>
      <w:pPr>
        <w:pStyle w:val="Telotextu"/>
        <w:spacing w:before="1" w:after="0"/>
        <w:rPr/>
      </w:pPr>
      <w:r>
        <w:rPr/>
      </w:r>
    </w:p>
    <w:p>
      <w:pPr>
        <w:pStyle w:val="Nadpis1"/>
        <w:numPr>
          <w:ilvl w:val="0"/>
          <w:numId w:val="2"/>
        </w:numPr>
        <w:tabs>
          <w:tab w:val="left" w:pos="418" w:leader="none"/>
        </w:tabs>
        <w:ind w:left="417" w:hanging="202"/>
        <w:rPr/>
      </w:pPr>
      <w:r>
        <w:rPr/>
        <w:t>Údaje požadované podľa osobitných</w:t>
      </w:r>
      <w:r>
        <w:rPr>
          <w:spacing w:val="-8"/>
        </w:rPr>
        <w:t xml:space="preserve"> </w:t>
      </w:r>
      <w:r>
        <w:rPr/>
        <w:t>predpisov</w:t>
      </w:r>
    </w:p>
    <w:p>
      <w:pPr>
        <w:pStyle w:val="Telotextu"/>
        <w:ind w:left="216" w:hanging="0"/>
        <w:rPr/>
      </w:pPr>
      <w:r>
        <w:rPr/>
        <w:t>Účtovná jednotka nemá povinnosť vykazovať údaje podľa osobitných predpisov.</w:t>
      </w:r>
    </w:p>
    <w:p>
      <w:pPr>
        <w:pStyle w:val="Telotextu"/>
        <w:spacing w:before="10" w:after="0"/>
        <w:rPr>
          <w:sz w:val="21"/>
        </w:rPr>
      </w:pPr>
      <w:r>
        <w:rPr>
          <w:sz w:val="21"/>
        </w:rPr>
      </w:r>
    </w:p>
    <w:p>
      <w:pPr>
        <w:pStyle w:val="Nadpis1"/>
        <w:numPr>
          <w:ilvl w:val="0"/>
          <w:numId w:val="2"/>
        </w:numPr>
        <w:tabs>
          <w:tab w:val="left" w:pos="416" w:leader="none"/>
        </w:tabs>
        <w:spacing w:before="1" w:after="0"/>
        <w:ind w:left="415" w:hanging="200"/>
        <w:rPr/>
      </w:pPr>
      <w:r>
        <w:rPr/>
        <w:t>Informácia o tom, či má účtovná jednotka organizačnú zložku v</w:t>
      </w:r>
      <w:r>
        <w:rPr>
          <w:spacing w:val="-14"/>
        </w:rPr>
        <w:t xml:space="preserve"> </w:t>
      </w:r>
      <w:r>
        <w:rPr/>
        <w:t>zahraničí</w:t>
      </w:r>
    </w:p>
    <w:p>
      <w:pPr>
        <w:pStyle w:val="Telotextu"/>
        <w:ind w:left="216" w:hanging="0"/>
        <w:rPr/>
      </w:pPr>
      <w:r>
        <w:rPr/>
        <w:t>Účtovná jednotka nemá organizačnú zložku v zahraničí.</w:t>
      </w:r>
    </w:p>
    <w:p>
      <w:pPr>
        <w:pStyle w:val="Telotextu"/>
        <w:rPr/>
      </w:pPr>
      <w:r>
        <w:rPr/>
      </w:r>
    </w:p>
    <w:p>
      <w:pPr>
        <w:pStyle w:val="Telotextu"/>
        <w:rPr/>
      </w:pPr>
      <w:r>
        <w:rPr/>
      </w:r>
    </w:p>
    <w:p>
      <w:pPr>
        <w:pStyle w:val="Telotextu"/>
        <w:rPr/>
      </w:pPr>
      <w:r>
        <w:rPr/>
      </w:r>
    </w:p>
    <w:p>
      <w:pPr>
        <w:pStyle w:val="Telotextu"/>
        <w:spacing w:before="1" w:after="0"/>
        <w:rPr/>
      </w:pPr>
      <w:r>
        <w:rPr/>
      </w:r>
    </w:p>
    <w:p>
      <w:pPr>
        <w:pStyle w:val="Nadpis1"/>
        <w:spacing w:before="1" w:after="0"/>
        <w:rPr/>
      </w:pPr>
      <w:r>
        <w:rPr/>
        <w:t>Prílohy:</w:t>
      </w:r>
    </w:p>
    <w:p>
      <w:pPr>
        <w:pStyle w:val="ListParagraph"/>
        <w:numPr>
          <w:ilvl w:val="0"/>
          <w:numId w:val="1"/>
        </w:numPr>
        <w:tabs>
          <w:tab w:val="left" w:pos="937" w:leader="none"/>
        </w:tabs>
        <w:ind w:left="936" w:hanging="361"/>
        <w:rPr/>
      </w:pPr>
      <w:r>
        <w:rPr/>
        <w:t>Účtovná závierka k 31. 12.</w:t>
      </w:r>
      <w:r>
        <w:rPr>
          <w:spacing w:val="-11"/>
        </w:rPr>
        <w:t xml:space="preserve"> </w:t>
      </w:r>
      <w:r>
        <w:rPr/>
        <w:t>2019</w:t>
      </w:r>
    </w:p>
    <w:p>
      <w:pPr>
        <w:pStyle w:val="ListParagraph"/>
        <w:numPr>
          <w:ilvl w:val="0"/>
          <w:numId w:val="1"/>
        </w:numPr>
        <w:tabs>
          <w:tab w:val="left" w:pos="937" w:leader="none"/>
        </w:tabs>
        <w:ind w:left="936" w:hanging="361"/>
        <w:rPr/>
      </w:pPr>
      <w:r>
        <w:rPr/>
        <w:t>Správa audítora</w:t>
      </w:r>
    </w:p>
    <w:sectPr>
      <w:headerReference w:type="default" r:id="rId16"/>
      <w:footerReference w:type="default" r:id="rId17"/>
      <w:type w:val="nextPage"/>
      <w:pgSz w:w="11906" w:h="16838"/>
      <w:pgMar w:left="1200" w:right="1160" w:header="751" w:top="1660" w:footer="1002" w:bottom="1200" w:gutter="0"/>
      <w:pgNumType w:fmt="decimal"/>
      <w:formProt w:val="false"/>
      <w:textDirection w:val="lrTb"/>
      <w:docGrid w:type="default" w:linePitch="240" w:charSpace="4294965247"/>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Calibri">
    <w:charset w:val="ee"/>
    <w:family w:val="roman"/>
    <w:pitch w:val="variable"/>
  </w:font>
  <w:font w:name="Liberation Sans">
    <w:altName w:val="Arial"/>
    <w:charset w:val="ee"/>
    <w:family w:val="swiss"/>
    <w:pitch w:val="variable"/>
  </w:font>
  <w:font w:name="Times New Roman">
    <w:charset w:val="ee"/>
    <w:family w:val="roman"/>
    <w:pitch w:val="variable"/>
  </w:font>
  <w:font w:name="Symbol">
    <w:charset w:val="02"/>
    <w:family w:val="auto"/>
    <w:pitch w:val="default"/>
  </w:font>
  <w:font w:name="Calibri">
    <w:charset w:val="01"/>
    <w:family w:val="swiss"/>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Telotextu"/>
      <w:spacing w:lineRule="auto" w:line="12"/>
      <w:rPr>
        <w:sz w:val="20"/>
      </w:rPr>
    </w:pPr>
    <w:r>
      <w:rPr>
        <w:sz w:val="20"/>
      </w:rPr>
    </w:r>
    <w:r>
      <mc:AlternateContent>
        <mc:Choice Requires="wps">
          <w:drawing>
            <wp:anchor behindDoc="1" distT="0" distB="0" distL="114300" distR="114300" simplePos="0" locked="0" layoutInCell="1" allowOverlap="1" relativeHeight="5">
              <wp:simplePos x="0" y="0"/>
              <wp:positionH relativeFrom="page">
                <wp:posOffset>6553200</wp:posOffset>
              </wp:positionH>
              <wp:positionV relativeFrom="page">
                <wp:posOffset>9916160</wp:posOffset>
              </wp:positionV>
              <wp:extent cx="147320" cy="165735"/>
              <wp:effectExtent l="0" t="0" r="0" b="0"/>
              <wp:wrapNone/>
              <wp:docPr id="4" name=""/>
              <a:graphic xmlns:a="http://schemas.openxmlformats.org/drawingml/2006/main">
                <a:graphicData uri="http://schemas.microsoft.com/office/word/2010/wordprocessingShape">
                  <wps:wsp>
                    <wps:cNvSpPr txBox="1"/>
                    <wps:spPr>
                      <a:xfrm>
                        <a:off x="0" y="0"/>
                        <a:ext cx="147320" cy="165735"/>
                      </a:xfrm>
                      <a:prstGeom prst="rect"/>
                    </wps:spPr>
                    <wps:txbx>
                      <w:txbxContent>
                        <w:p>
                          <w:pPr>
                            <w:pStyle w:val="Telotextu"/>
                            <w:spacing w:lineRule="exact" w:line="245"/>
                            <w:ind w:left="60" w:hanging="0"/>
                            <w:rPr/>
                          </w:pPr>
                          <w:r>
                            <w:rPr/>
                            <w:fldChar w:fldCharType="begin"/>
                          </w:r>
                          <w:r>
                            <w:instrText> PAGE </w:instrText>
                          </w:r>
                          <w:r>
                            <w:fldChar w:fldCharType="separate"/>
                          </w:r>
                          <w:r>
                            <w:t>0</w:t>
                          </w:r>
                          <w:r>
                            <w:fldChar w:fldCharType="end"/>
                          </w:r>
                        </w:p>
                      </w:txbxContent>
                    </wps:txbx>
                    <wps:bodyPr anchor="t" lIns="0" tIns="0" rIns="0" bIns="0">
                      <a:noAutofit/>
                    </wps:bodyPr>
                  </wps:wsp>
                </a:graphicData>
              </a:graphic>
            </wp:anchor>
          </w:drawing>
        </mc:Choice>
        <mc:Fallback>
          <w:pict>
            <v:rect stroked="f" strokeweight="0pt" style="position:absolute;rotation:0;width:11.6pt;height:13.05pt;mso-wrap-distance-left:9pt;mso-wrap-distance-right:9pt;mso-wrap-distance-top:0pt;mso-wrap-distance-bottom:0pt;margin-top:780.8pt;mso-position-vertical-relative:page;margin-left:516pt;mso-position-horizontal-relative:page">
              <v:textbox inset="0in,0in,0in,0in">
                <w:txbxContent>
                  <w:p>
                    <w:pPr>
                      <w:pStyle w:val="Telotextu"/>
                      <w:spacing w:lineRule="exact" w:line="245"/>
                      <w:ind w:left="60" w:hanging="0"/>
                      <w:rPr/>
                    </w:pPr>
                    <w:r>
                      <w:rPr/>
                      <w:fldChar w:fldCharType="begin"/>
                    </w:r>
                    <w:r>
                      <w:instrText> PAGE </w:instrText>
                    </w:r>
                    <w:r>
                      <w:fldChar w:fldCharType="separate"/>
                    </w:r>
                    <w:r>
                      <w:t>0</w:t>
                    </w:r>
                    <w:r>
                      <w:fldChar w:fldCharType="end"/>
                    </w:r>
                  </w:p>
                </w:txbxContent>
              </v:textbox>
            </v:rect>
          </w:pict>
        </mc:Fallback>
      </mc:AlternateContent>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ta"/>
      <w:rPr/>
    </w:pPr>
    <w:r>
      <w:rPr/>
    </w:r>
  </w:p>
</w:ftr>
</file>

<file path=word/footer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ta"/>
      <w:rPr/>
    </w:pPr>
    <w:r>
      <w:rPr/>
    </w:r>
  </w:p>
</w:ftr>
</file>

<file path=word/footer4.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ta"/>
      <w:rPr/>
    </w:pPr>
    <w:r>
      <w:rPr/>
    </w:r>
  </w:p>
</w:ftr>
</file>

<file path=word/footer5.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ta"/>
      <w:rPr/>
    </w:pPr>
    <w:r>
      <w:rPr/>
    </w:r>
  </w:p>
</w:ftr>
</file>

<file path=word/footer6.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ta"/>
      <w:rPr/>
    </w:pPr>
    <w:r>
      <w:rPr/>
    </w:r>
  </w:p>
</w:ftr>
</file>

<file path=word/footer7.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ta"/>
      <w:rPr/>
    </w:pPr>
    <w:r>
      <w:rPr/>
    </w:r>
  </w:p>
</w:ftr>
</file>

<file path=word/footer8.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ta"/>
      <w:rPr/>
    </w:pPr>
    <w:r>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Telotextu"/>
      <w:spacing w:lineRule="auto" w:line="12"/>
      <w:rPr>
        <w:sz w:val="20"/>
      </w:rPr>
    </w:pPr>
    <w:r>
      <w:rPr>
        <w:sz w:val="20"/>
      </w:rPr>
    </w:r>
    <w:r>
      <mc:AlternateContent>
        <mc:Choice Requires="wps">
          <w:drawing>
            <wp:anchor behindDoc="1" distT="0" distB="0" distL="114300" distR="114300" simplePos="0" locked="0" layoutInCell="1" allowOverlap="1" relativeHeight="2">
              <wp:simplePos x="0" y="0"/>
              <wp:positionH relativeFrom="page">
                <wp:posOffset>886460</wp:posOffset>
              </wp:positionH>
              <wp:positionV relativeFrom="page">
                <wp:posOffset>464185</wp:posOffset>
              </wp:positionV>
              <wp:extent cx="1210310" cy="165735"/>
              <wp:effectExtent l="0" t="0" r="0" b="0"/>
              <wp:wrapNone/>
              <wp:docPr id="1" name=""/>
              <a:graphic xmlns:a="http://schemas.openxmlformats.org/drawingml/2006/main">
                <a:graphicData uri="http://schemas.microsoft.com/office/word/2010/wordprocessingShape">
                  <wps:wsp>
                    <wps:cNvSpPr txBox="1"/>
                    <wps:spPr>
                      <a:xfrm>
                        <a:off x="0" y="0"/>
                        <a:ext cx="1210310" cy="165735"/>
                      </a:xfrm>
                      <a:prstGeom prst="rect"/>
                    </wps:spPr>
                    <wps:txbx>
                      <w:txbxContent>
                        <w:p>
                          <w:pPr>
                            <w:pStyle w:val="Telotextu"/>
                            <w:spacing w:lineRule="exact" w:line="245"/>
                            <w:ind w:left="20" w:hanging="0"/>
                            <w:rPr/>
                          </w:pPr>
                          <w:r>
                            <w:rPr/>
                            <w:t>Výročná správa 2019</w:t>
                          </w:r>
                        </w:p>
                      </w:txbxContent>
                    </wps:txbx>
                    <wps:bodyPr anchor="t" lIns="0" tIns="0" rIns="0" bIns="0">
                      <a:noAutofit/>
                    </wps:bodyPr>
                  </wps:wsp>
                </a:graphicData>
              </a:graphic>
            </wp:anchor>
          </w:drawing>
        </mc:Choice>
        <mc:Fallback>
          <w:pict>
            <v:rect stroked="f" strokeweight="0pt" style="position:absolute;rotation:0;width:95.3pt;height:13.05pt;mso-wrap-distance-left:9pt;mso-wrap-distance-right:9pt;mso-wrap-distance-top:0pt;mso-wrap-distance-bottom:0pt;margin-top:36.55pt;mso-position-vertical-relative:page;margin-left:69.8pt;mso-position-horizontal-relative:page">
              <v:textbox inset="0in,0in,0in,0in">
                <w:txbxContent>
                  <w:p>
                    <w:pPr>
                      <w:pStyle w:val="Telotextu"/>
                      <w:spacing w:lineRule="exact" w:line="245"/>
                      <w:ind w:left="20" w:hanging="0"/>
                      <w:rPr/>
                    </w:pPr>
                    <w:r>
                      <w:rPr/>
                      <w:t>Výročná správa 2019</w:t>
                    </w:r>
                  </w:p>
                </w:txbxContent>
              </v:textbox>
            </v:rect>
          </w:pict>
        </mc:Fallback>
      </mc:AlternateContent>
    </w:r>
    <w:r>
      <mc:AlternateContent>
        <mc:Choice Requires="wps">
          <w:drawing>
            <wp:anchor behindDoc="1" distT="0" distB="0" distL="114300" distR="114300" simplePos="0" locked="0" layoutInCell="1" allowOverlap="1" relativeHeight="3">
              <wp:simplePos x="0" y="0"/>
              <wp:positionH relativeFrom="page">
                <wp:posOffset>3134995</wp:posOffset>
              </wp:positionH>
              <wp:positionV relativeFrom="page">
                <wp:posOffset>464185</wp:posOffset>
              </wp:positionV>
              <wp:extent cx="864235" cy="165735"/>
              <wp:effectExtent l="0" t="0" r="0" b="0"/>
              <wp:wrapNone/>
              <wp:docPr id="2" name=""/>
              <a:graphic xmlns:a="http://schemas.openxmlformats.org/drawingml/2006/main">
                <a:graphicData uri="http://schemas.microsoft.com/office/word/2010/wordprocessingShape">
                  <wps:wsp>
                    <wps:cNvSpPr txBox="1"/>
                    <wps:spPr>
                      <a:xfrm>
                        <a:off x="0" y="0"/>
                        <a:ext cx="864235" cy="165735"/>
                      </a:xfrm>
                      <a:prstGeom prst="rect"/>
                    </wps:spPr>
                    <wps:txbx>
                      <w:txbxContent>
                        <w:p>
                          <w:pPr>
                            <w:pStyle w:val="Telotextu"/>
                            <w:spacing w:lineRule="exact" w:line="245"/>
                            <w:ind w:left="20" w:hanging="0"/>
                            <w:rPr/>
                          </w:pPr>
                          <w:r>
                            <w:rPr/>
                            <w:t>IČO: 00222453</w:t>
                          </w:r>
                        </w:p>
                      </w:txbxContent>
                    </wps:txbx>
                    <wps:bodyPr anchor="t" lIns="0" tIns="0" rIns="0" bIns="0">
                      <a:noAutofit/>
                    </wps:bodyPr>
                  </wps:wsp>
                </a:graphicData>
              </a:graphic>
            </wp:anchor>
          </w:drawing>
        </mc:Choice>
        <mc:Fallback>
          <w:pict>
            <v:rect stroked="f" strokeweight="0pt" style="position:absolute;rotation:0;width:68.05pt;height:13.05pt;mso-wrap-distance-left:9pt;mso-wrap-distance-right:9pt;mso-wrap-distance-top:0pt;mso-wrap-distance-bottom:0pt;margin-top:36.55pt;mso-position-vertical-relative:page;margin-left:246.85pt;mso-position-horizontal-relative:page">
              <v:textbox inset="0in,0in,0in,0in">
                <w:txbxContent>
                  <w:p>
                    <w:pPr>
                      <w:pStyle w:val="Telotextu"/>
                      <w:spacing w:lineRule="exact" w:line="245"/>
                      <w:ind w:left="20" w:hanging="0"/>
                      <w:rPr/>
                    </w:pPr>
                    <w:r>
                      <w:rPr/>
                      <w:t>IČO: 00222453</w:t>
                    </w:r>
                  </w:p>
                </w:txbxContent>
              </v:textbox>
            </v:rect>
          </w:pict>
        </mc:Fallback>
      </mc:AlternateContent>
    </w:r>
    <w:r>
      <mc:AlternateContent>
        <mc:Choice Requires="wps">
          <w:drawing>
            <wp:anchor behindDoc="1" distT="0" distB="0" distL="114300" distR="114300" simplePos="0" locked="0" layoutInCell="1" allowOverlap="1" relativeHeight="4">
              <wp:simplePos x="0" y="0"/>
              <wp:positionH relativeFrom="page">
                <wp:posOffset>4933315</wp:posOffset>
              </wp:positionH>
              <wp:positionV relativeFrom="page">
                <wp:posOffset>464185</wp:posOffset>
              </wp:positionV>
              <wp:extent cx="998220" cy="165735"/>
              <wp:effectExtent l="0" t="0" r="0" b="0"/>
              <wp:wrapNone/>
              <wp:docPr id="3" name=""/>
              <a:graphic xmlns:a="http://schemas.openxmlformats.org/drawingml/2006/main">
                <a:graphicData uri="http://schemas.microsoft.com/office/word/2010/wordprocessingShape">
                  <wps:wsp>
                    <wps:cNvSpPr txBox="1"/>
                    <wps:spPr>
                      <a:xfrm>
                        <a:off x="0" y="0"/>
                        <a:ext cx="998220" cy="165735"/>
                      </a:xfrm>
                      <a:prstGeom prst="rect"/>
                    </wps:spPr>
                    <wps:txbx>
                      <w:txbxContent>
                        <w:p>
                          <w:pPr>
                            <w:pStyle w:val="Telotextu"/>
                            <w:spacing w:lineRule="exact" w:line="245"/>
                            <w:ind w:left="20" w:hanging="0"/>
                            <w:rPr/>
                          </w:pPr>
                          <w:r>
                            <w:rPr/>
                            <w:t>DIČ: 2020383266</w:t>
                          </w:r>
                        </w:p>
                      </w:txbxContent>
                    </wps:txbx>
                    <wps:bodyPr anchor="t" lIns="0" tIns="0" rIns="0" bIns="0">
                      <a:noAutofit/>
                    </wps:bodyPr>
                  </wps:wsp>
                </a:graphicData>
              </a:graphic>
            </wp:anchor>
          </w:drawing>
        </mc:Choice>
        <mc:Fallback>
          <w:pict>
            <v:rect stroked="f" strokeweight="0pt" style="position:absolute;rotation:0;width:78.6pt;height:13.05pt;mso-wrap-distance-left:9pt;mso-wrap-distance-right:9pt;mso-wrap-distance-top:0pt;mso-wrap-distance-bottom:0pt;margin-top:36.55pt;mso-position-vertical-relative:page;margin-left:388.45pt;mso-position-horizontal-relative:page">
              <v:textbox inset="0in,0in,0in,0in">
                <w:txbxContent>
                  <w:p>
                    <w:pPr>
                      <w:pStyle w:val="Telotextu"/>
                      <w:spacing w:lineRule="exact" w:line="245"/>
                      <w:ind w:left="20" w:hanging="0"/>
                      <w:rPr/>
                    </w:pPr>
                    <w:r>
                      <w:rPr/>
                      <w:t>DIČ: 2020383266</w:t>
                    </w:r>
                  </w:p>
                </w:txbxContent>
              </v:textbox>
            </v:rect>
          </w:pict>
        </mc:Fallback>
      </mc:AlternateContent>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Hlavika"/>
      <w:rPr/>
    </w:pPr>
    <w:r>
      <w:rPr/>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Hlavika"/>
      <w:rPr/>
    </w:pPr>
    <w:r>
      <w:rPr/>
    </w:r>
  </w:p>
</w:hdr>
</file>

<file path=word/header4.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Hlavika"/>
      <w:rPr/>
    </w:pPr>
    <w:r>
      <w:rPr/>
    </w:r>
  </w:p>
</w:hdr>
</file>

<file path=word/header5.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Hlavika"/>
      <w:rPr/>
    </w:pPr>
    <w:r>
      <w:rPr/>
    </w:r>
  </w:p>
</w:hdr>
</file>

<file path=word/header6.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Hlavika"/>
      <w:rPr/>
    </w:pPr>
    <w:r>
      <w:rPr/>
    </w:r>
  </w:p>
</w:hdr>
</file>

<file path=word/header7.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Hlavika"/>
      <w:rPr/>
    </w:pPr>
    <w:r>
      <w:rPr/>
    </w:r>
    <w:r>
      <mc:AlternateContent>
        <mc:Choice Requires="wps">
          <w:drawing>
            <wp:anchor behindDoc="0" distT="0" distB="0" distL="114300" distR="114300" simplePos="0" locked="0" layoutInCell="1" allowOverlap="1" relativeHeight="6">
              <wp:simplePos x="0" y="0"/>
              <wp:positionH relativeFrom="page">
                <wp:posOffset>828040</wp:posOffset>
              </wp:positionH>
              <wp:positionV relativeFrom="paragraph">
                <wp:posOffset>513715</wp:posOffset>
              </wp:positionV>
              <wp:extent cx="5908040" cy="1068705"/>
              <wp:effectExtent l="0" t="0" r="0" b="0"/>
              <wp:wrapNone/>
              <wp:docPr id="6" name=""/>
              <a:graphic xmlns:a="http://schemas.openxmlformats.org/drawingml/2006/main">
                <a:graphicData uri="http://schemas.microsoft.com/office/word/2010/wordprocessingShape">
                  <wps:wsp>
                    <wps:cNvSpPr txBox="1"/>
                    <wps:spPr>
                      <a:xfrm>
                        <a:off x="0" y="0"/>
                        <a:ext cx="5908040" cy="1068705"/>
                      </a:xfrm>
                      <a:prstGeom prst="rect"/>
                    </wps:spPr>
                    <wps:txbx>
                      <w:txbxContent>
                        <w:tbl>
                          <w:tblPr>
                            <w:tblStyle w:val="TableNormal"/>
                            <w:tblW w:w="9289" w:type="dxa"/>
                            <w:jc w:val="left"/>
                            <w:tblInd w:w="5"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108" w:type="dxa"/>
                              <w:bottom w:w="0" w:type="dxa"/>
                              <w:right w:w="108" w:type="dxa"/>
                            </w:tblCellMar>
                            <w:tblLook w:val="01e0"/>
                          </w:tblPr>
                          <w:tblGrid>
                            <w:gridCol w:w="5059"/>
                            <w:gridCol w:w="4229"/>
                          </w:tblGrid>
                          <w:tr>
                            <w:trPr>
                              <w:trHeight w:val="268" w:hRule="atLeast"/>
                            </w:trPr>
                            <w:tc>
                              <w:tcPr>
                                <w:tcW w:w="505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Druh</w:t>
                                </w:r>
                              </w:p>
                            </w:tc>
                            <w:tc>
                              <w:tcPr>
                                <w:tcW w:w="422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Plán na rok 2020</w:t>
                                </w:r>
                              </w:p>
                            </w:tc>
                          </w:tr>
                          <w:tr>
                            <w:trPr>
                              <w:trHeight w:val="268" w:hRule="atLeast"/>
                            </w:trPr>
                            <w:tc>
                              <w:tcPr>
                                <w:tcW w:w="505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Spotreba materiálu, energií</w:t>
                                </w:r>
                              </w:p>
                            </w:tc>
                            <w:tc>
                              <w:tcPr>
                                <w:tcW w:w="422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4" w:hanging="0"/>
                                  <w:jc w:val="right"/>
                                  <w:rPr/>
                                </w:pPr>
                                <w:r>
                                  <w:rPr/>
                                  <w:t>1 050 000</w:t>
                                </w:r>
                              </w:p>
                            </w:tc>
                          </w:tr>
                          <w:tr>
                            <w:trPr>
                              <w:trHeight w:val="268" w:hRule="atLeast"/>
                            </w:trPr>
                            <w:tc>
                              <w:tcPr>
                                <w:tcW w:w="505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služby</w:t>
                                </w:r>
                              </w:p>
                            </w:tc>
                            <w:tc>
                              <w:tcPr>
                                <w:tcW w:w="422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4" w:hanging="0"/>
                                  <w:jc w:val="right"/>
                                  <w:rPr/>
                                </w:pPr>
                                <w:r>
                                  <w:rPr/>
                                  <w:t>330 000</w:t>
                                </w:r>
                              </w:p>
                            </w:tc>
                          </w:tr>
                          <w:tr>
                            <w:trPr>
                              <w:trHeight w:val="268" w:hRule="atLeast"/>
                            </w:trPr>
                            <w:tc>
                              <w:tcPr>
                                <w:tcW w:w="505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osobné</w:t>
                                </w:r>
                              </w:p>
                            </w:tc>
                            <w:tc>
                              <w:tcPr>
                                <w:tcW w:w="422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4" w:hanging="0"/>
                                  <w:jc w:val="right"/>
                                  <w:rPr/>
                                </w:pPr>
                                <w:r>
                                  <w:rPr/>
                                  <w:t>690 000</w:t>
                                </w:r>
                              </w:p>
                            </w:tc>
                          </w:tr>
                          <w:tr>
                            <w:trPr>
                              <w:trHeight w:val="266" w:hRule="atLeast"/>
                            </w:trPr>
                            <w:tc>
                              <w:tcPr>
                                <w:tcW w:w="5059" w:type="dxa"/>
                                <w:tcBorders>
                                  <w:top w:val="single" w:sz="4" w:space="0" w:color="000001"/>
                                  <w:left w:val="single" w:sz="4" w:space="0" w:color="000001"/>
                                  <w:bottom w:val="single" w:sz="6" w:space="0" w:color="000001"/>
                                  <w:right w:val="single" w:sz="4" w:space="0" w:color="000001"/>
                                  <w:insideH w:val="single" w:sz="6" w:space="0" w:color="000001"/>
                                  <w:insideV w:val="single" w:sz="4" w:space="0" w:color="000001"/>
                                </w:tcBorders>
                                <w:shd w:fill="auto" w:val="clear"/>
                                <w:tcMar>
                                  <w:left w:w="108" w:type="dxa"/>
                                </w:tcMar>
                              </w:tcPr>
                              <w:p>
                                <w:pPr>
                                  <w:pStyle w:val="TableParagraph"/>
                                  <w:spacing w:lineRule="exact" w:line="246"/>
                                  <w:ind w:left="107" w:hanging="0"/>
                                  <w:rPr/>
                                </w:pPr>
                                <w:r>
                                  <w:rPr/>
                                  <w:t>dane a poplatky</w:t>
                                </w:r>
                              </w:p>
                            </w:tc>
                            <w:tc>
                              <w:tcPr>
                                <w:tcW w:w="4229" w:type="dxa"/>
                                <w:tcBorders>
                                  <w:top w:val="single" w:sz="4" w:space="0" w:color="000001"/>
                                  <w:left w:val="single" w:sz="4" w:space="0" w:color="000001"/>
                                  <w:bottom w:val="single" w:sz="6" w:space="0" w:color="000001"/>
                                  <w:right w:val="single" w:sz="4" w:space="0" w:color="000001"/>
                                  <w:insideH w:val="single" w:sz="6" w:space="0" w:color="000001"/>
                                  <w:insideV w:val="single" w:sz="4" w:space="0" w:color="000001"/>
                                </w:tcBorders>
                                <w:shd w:fill="auto" w:val="clear"/>
                                <w:tcMar>
                                  <w:left w:w="108" w:type="dxa"/>
                                </w:tcMar>
                              </w:tcPr>
                              <w:p>
                                <w:pPr>
                                  <w:pStyle w:val="TableParagraph"/>
                                  <w:spacing w:lineRule="exact" w:line="246"/>
                                  <w:ind w:right="94" w:hanging="0"/>
                                  <w:jc w:val="right"/>
                                  <w:rPr/>
                                </w:pPr>
                                <w:r>
                                  <w:rPr/>
                                  <w:t>110 200</w:t>
                                </w:r>
                              </w:p>
                            </w:tc>
                          </w:tr>
                          <w:tr>
                            <w:trPr>
                              <w:trHeight w:val="268" w:hRule="atLeast"/>
                            </w:trPr>
                            <w:tc>
                              <w:tcPr>
                                <w:tcW w:w="5059" w:type="dxa"/>
                                <w:tcBorders>
                                  <w:top w:val="single" w:sz="6"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spacing w:lineRule="exact" w:line="249"/>
                                  <w:ind w:left="107" w:hanging="0"/>
                                  <w:rPr/>
                                </w:pPr>
                                <w:r>
                                  <w:rPr/>
                                  <w:t>odpisy</w:t>
                                </w:r>
                              </w:p>
                            </w:tc>
                            <w:tc>
                              <w:tcPr>
                                <w:tcW w:w="4229" w:type="dxa"/>
                                <w:tcBorders>
                                  <w:top w:val="single" w:sz="6"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spacing w:lineRule="exact" w:line="249"/>
                                  <w:ind w:right="94" w:hanging="0"/>
                                  <w:jc w:val="right"/>
                                  <w:rPr/>
                                </w:pPr>
                                <w:r>
                                  <w:rPr/>
                                  <w:t>500 000</w:t>
                                </w:r>
                              </w:p>
                            </w:tc>
                          </w:tr>
                        </w:tbl>
                        <w:p>
                          <w:pPr>
                            <w:pStyle w:val="Telotextu"/>
                            <w:rPr/>
                          </w:pPr>
                          <w:r>
                            <w:rPr/>
                          </w:r>
                        </w:p>
                      </w:txbxContent>
                    </wps:txbx>
                    <wps:bodyPr anchor="t" lIns="0" tIns="0" rIns="0" bIns="0">
                      <a:noAutofit/>
                    </wps:bodyPr>
                  </wps:wsp>
                </a:graphicData>
              </a:graphic>
            </wp:anchor>
          </w:drawing>
        </mc:Choice>
        <mc:Fallback>
          <w:pict>
            <v:rect stroked="f" strokeweight="0pt" style="position:absolute;rotation:0;width:465.2pt;height:84.15pt;mso-wrap-distance-left:9pt;mso-wrap-distance-right:9pt;mso-wrap-distance-top:0pt;mso-wrap-distance-bottom:0pt;margin-top:40.45pt;mso-position-vertical-relative:text;margin-left:65.2pt;mso-position-horizontal-relative:page">
              <v:textbox inset="0in,0in,0in,0in">
                <w:txbxContent>
                  <w:tbl>
                    <w:tblPr>
                      <w:tblStyle w:val="TableNormal"/>
                      <w:tblW w:w="9289" w:type="dxa"/>
                      <w:jc w:val="left"/>
                      <w:tblInd w:w="5"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top w:w="0" w:type="dxa"/>
                        <w:left w:w="108" w:type="dxa"/>
                        <w:bottom w:w="0" w:type="dxa"/>
                        <w:right w:w="108" w:type="dxa"/>
                      </w:tblCellMar>
                      <w:tblLook w:val="01e0"/>
                    </w:tblPr>
                    <w:tblGrid>
                      <w:gridCol w:w="5059"/>
                      <w:gridCol w:w="4229"/>
                    </w:tblGrid>
                    <w:tr>
                      <w:trPr>
                        <w:trHeight w:val="268" w:hRule="atLeast"/>
                      </w:trPr>
                      <w:tc>
                        <w:tcPr>
                          <w:tcW w:w="505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Druh</w:t>
                          </w:r>
                        </w:p>
                      </w:tc>
                      <w:tc>
                        <w:tcPr>
                          <w:tcW w:w="422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Plán na rok 2020</w:t>
                          </w:r>
                        </w:p>
                      </w:tc>
                    </w:tr>
                    <w:tr>
                      <w:trPr>
                        <w:trHeight w:val="268" w:hRule="atLeast"/>
                      </w:trPr>
                      <w:tc>
                        <w:tcPr>
                          <w:tcW w:w="505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Spotreba materiálu, energií</w:t>
                          </w:r>
                        </w:p>
                      </w:tc>
                      <w:tc>
                        <w:tcPr>
                          <w:tcW w:w="422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4" w:hanging="0"/>
                            <w:jc w:val="right"/>
                            <w:rPr/>
                          </w:pPr>
                          <w:r>
                            <w:rPr/>
                            <w:t>1 050 000</w:t>
                          </w:r>
                        </w:p>
                      </w:tc>
                    </w:tr>
                    <w:tr>
                      <w:trPr>
                        <w:trHeight w:val="268" w:hRule="atLeast"/>
                      </w:trPr>
                      <w:tc>
                        <w:tcPr>
                          <w:tcW w:w="505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služby</w:t>
                          </w:r>
                        </w:p>
                      </w:tc>
                      <w:tc>
                        <w:tcPr>
                          <w:tcW w:w="422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4" w:hanging="0"/>
                            <w:jc w:val="right"/>
                            <w:rPr/>
                          </w:pPr>
                          <w:r>
                            <w:rPr/>
                            <w:t>330 000</w:t>
                          </w:r>
                        </w:p>
                      </w:tc>
                    </w:tr>
                    <w:tr>
                      <w:trPr>
                        <w:trHeight w:val="268" w:hRule="atLeast"/>
                      </w:trPr>
                      <w:tc>
                        <w:tcPr>
                          <w:tcW w:w="505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left="107" w:hanging="0"/>
                            <w:rPr/>
                          </w:pPr>
                          <w:r>
                            <w:rPr/>
                            <w:t>osobné</w:t>
                          </w:r>
                        </w:p>
                      </w:tc>
                      <w:tc>
                        <w:tcPr>
                          <w:tcW w:w="4229" w:type="dxa"/>
                          <w:tcBorders>
                            <w:top w:val="single" w:sz="4"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ind w:right="94" w:hanging="0"/>
                            <w:jc w:val="right"/>
                            <w:rPr/>
                          </w:pPr>
                          <w:r>
                            <w:rPr/>
                            <w:t>690 000</w:t>
                          </w:r>
                        </w:p>
                      </w:tc>
                    </w:tr>
                    <w:tr>
                      <w:trPr>
                        <w:trHeight w:val="266" w:hRule="atLeast"/>
                      </w:trPr>
                      <w:tc>
                        <w:tcPr>
                          <w:tcW w:w="5059" w:type="dxa"/>
                          <w:tcBorders>
                            <w:top w:val="single" w:sz="4" w:space="0" w:color="000001"/>
                            <w:left w:val="single" w:sz="4" w:space="0" w:color="000001"/>
                            <w:bottom w:val="single" w:sz="6" w:space="0" w:color="000001"/>
                            <w:right w:val="single" w:sz="4" w:space="0" w:color="000001"/>
                            <w:insideH w:val="single" w:sz="6" w:space="0" w:color="000001"/>
                            <w:insideV w:val="single" w:sz="4" w:space="0" w:color="000001"/>
                          </w:tcBorders>
                          <w:shd w:fill="auto" w:val="clear"/>
                          <w:tcMar>
                            <w:left w:w="108" w:type="dxa"/>
                          </w:tcMar>
                        </w:tcPr>
                        <w:p>
                          <w:pPr>
                            <w:pStyle w:val="TableParagraph"/>
                            <w:spacing w:lineRule="exact" w:line="246"/>
                            <w:ind w:left="107" w:hanging="0"/>
                            <w:rPr/>
                          </w:pPr>
                          <w:r>
                            <w:rPr/>
                            <w:t>dane a poplatky</w:t>
                          </w:r>
                        </w:p>
                      </w:tc>
                      <w:tc>
                        <w:tcPr>
                          <w:tcW w:w="4229" w:type="dxa"/>
                          <w:tcBorders>
                            <w:top w:val="single" w:sz="4" w:space="0" w:color="000001"/>
                            <w:left w:val="single" w:sz="4" w:space="0" w:color="000001"/>
                            <w:bottom w:val="single" w:sz="6" w:space="0" w:color="000001"/>
                            <w:right w:val="single" w:sz="4" w:space="0" w:color="000001"/>
                            <w:insideH w:val="single" w:sz="6" w:space="0" w:color="000001"/>
                            <w:insideV w:val="single" w:sz="4" w:space="0" w:color="000001"/>
                          </w:tcBorders>
                          <w:shd w:fill="auto" w:val="clear"/>
                          <w:tcMar>
                            <w:left w:w="108" w:type="dxa"/>
                          </w:tcMar>
                        </w:tcPr>
                        <w:p>
                          <w:pPr>
                            <w:pStyle w:val="TableParagraph"/>
                            <w:spacing w:lineRule="exact" w:line="246"/>
                            <w:ind w:right="94" w:hanging="0"/>
                            <w:jc w:val="right"/>
                            <w:rPr/>
                          </w:pPr>
                          <w:r>
                            <w:rPr/>
                            <w:t>110 200</w:t>
                          </w:r>
                        </w:p>
                      </w:tc>
                    </w:tr>
                    <w:tr>
                      <w:trPr>
                        <w:trHeight w:val="268" w:hRule="atLeast"/>
                      </w:trPr>
                      <w:tc>
                        <w:tcPr>
                          <w:tcW w:w="5059" w:type="dxa"/>
                          <w:tcBorders>
                            <w:top w:val="single" w:sz="6"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spacing w:lineRule="exact" w:line="249"/>
                            <w:ind w:left="107" w:hanging="0"/>
                            <w:rPr/>
                          </w:pPr>
                          <w:r>
                            <w:rPr/>
                            <w:t>odpisy</w:t>
                          </w:r>
                        </w:p>
                      </w:tc>
                      <w:tc>
                        <w:tcPr>
                          <w:tcW w:w="4229" w:type="dxa"/>
                          <w:tcBorders>
                            <w:top w:val="single" w:sz="6" w:space="0" w:color="000001"/>
                            <w:left w:val="single" w:sz="4" w:space="0" w:color="000001"/>
                            <w:bottom w:val="single" w:sz="4" w:space="0" w:color="000001"/>
                            <w:right w:val="single" w:sz="4" w:space="0" w:color="000001"/>
                            <w:insideH w:val="single" w:sz="4" w:space="0" w:color="000001"/>
                            <w:insideV w:val="single" w:sz="4" w:space="0" w:color="000001"/>
                          </w:tcBorders>
                          <w:shd w:fill="auto" w:val="clear"/>
                          <w:tcMar>
                            <w:left w:w="108" w:type="dxa"/>
                          </w:tcMar>
                        </w:tcPr>
                        <w:p>
                          <w:pPr>
                            <w:pStyle w:val="TableParagraph"/>
                            <w:spacing w:lineRule="exact" w:line="249"/>
                            <w:ind w:right="94" w:hanging="0"/>
                            <w:jc w:val="right"/>
                            <w:rPr/>
                          </w:pPr>
                          <w:r>
                            <w:rPr/>
                            <w:t>500 000</w:t>
                          </w:r>
                        </w:p>
                      </w:tc>
                    </w:tr>
                  </w:tbl>
                  <w:p>
                    <w:pPr>
                      <w:pStyle w:val="Telotextu"/>
                      <w:rPr/>
                    </w:pPr>
                    <w:r>
                      <w:rPr/>
                    </w:r>
                  </w:p>
                </w:txbxContent>
              </v:textbox>
            </v:rect>
          </w:pict>
        </mc:Fallback>
      </mc:AlternateContent>
    </w:r>
  </w:p>
</w:hdr>
</file>

<file path=word/header8.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Hlavika"/>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936" w:hanging="360"/>
      </w:pPr>
      <w:rPr>
        <w:sz w:val="22"/>
        <w:szCs w:val="22"/>
        <w:w w:val="100"/>
        <w:rFonts w:eastAsia="Calibri" w:cs="Calibri"/>
        <w:lang w:val="sk-SK" w:eastAsia="en-US" w:bidi="ar-SA"/>
      </w:rPr>
    </w:lvl>
    <w:lvl w:ilvl="1">
      <w:start w:val="1"/>
      <w:numFmt w:val="bullet"/>
      <w:lvlText w:val=""/>
      <w:lvlJc w:val="left"/>
      <w:pPr>
        <w:ind w:left="1800" w:hanging="360"/>
      </w:pPr>
      <w:rPr>
        <w:rFonts w:ascii="Symbol" w:hAnsi="Symbol" w:cs="Symbol" w:hint="default"/>
        <w:lang w:val="sk-SK" w:eastAsia="en-US" w:bidi="ar-SA"/>
      </w:rPr>
    </w:lvl>
    <w:lvl w:ilvl="2">
      <w:start w:val="1"/>
      <w:numFmt w:val="bullet"/>
      <w:lvlText w:val=""/>
      <w:lvlJc w:val="left"/>
      <w:pPr>
        <w:ind w:left="2661" w:hanging="360"/>
      </w:pPr>
      <w:rPr>
        <w:rFonts w:ascii="Symbol" w:hAnsi="Symbol" w:cs="Symbol" w:hint="default"/>
        <w:lang w:val="sk-SK" w:eastAsia="en-US" w:bidi="ar-SA"/>
      </w:rPr>
    </w:lvl>
    <w:lvl w:ilvl="3">
      <w:start w:val="1"/>
      <w:numFmt w:val="bullet"/>
      <w:lvlText w:val=""/>
      <w:lvlJc w:val="left"/>
      <w:pPr>
        <w:ind w:left="3521" w:hanging="360"/>
      </w:pPr>
      <w:rPr>
        <w:rFonts w:ascii="Symbol" w:hAnsi="Symbol" w:cs="Symbol" w:hint="default"/>
        <w:lang w:val="sk-SK" w:eastAsia="en-US" w:bidi="ar-SA"/>
      </w:rPr>
    </w:lvl>
    <w:lvl w:ilvl="4">
      <w:start w:val="1"/>
      <w:numFmt w:val="bullet"/>
      <w:lvlText w:val=""/>
      <w:lvlJc w:val="left"/>
      <w:pPr>
        <w:ind w:left="4382" w:hanging="360"/>
      </w:pPr>
      <w:rPr>
        <w:rFonts w:ascii="Symbol" w:hAnsi="Symbol" w:cs="Symbol" w:hint="default"/>
        <w:lang w:val="sk-SK" w:eastAsia="en-US" w:bidi="ar-SA"/>
      </w:rPr>
    </w:lvl>
    <w:lvl w:ilvl="5">
      <w:start w:val="1"/>
      <w:numFmt w:val="bullet"/>
      <w:lvlText w:val=""/>
      <w:lvlJc w:val="left"/>
      <w:pPr>
        <w:ind w:left="5243" w:hanging="360"/>
      </w:pPr>
      <w:rPr>
        <w:rFonts w:ascii="Symbol" w:hAnsi="Symbol" w:cs="Symbol" w:hint="default"/>
        <w:lang w:val="sk-SK" w:eastAsia="en-US" w:bidi="ar-SA"/>
      </w:rPr>
    </w:lvl>
    <w:lvl w:ilvl="6">
      <w:start w:val="1"/>
      <w:numFmt w:val="bullet"/>
      <w:lvlText w:val=""/>
      <w:lvlJc w:val="left"/>
      <w:pPr>
        <w:ind w:left="6103" w:hanging="360"/>
      </w:pPr>
      <w:rPr>
        <w:rFonts w:ascii="Symbol" w:hAnsi="Symbol" w:cs="Symbol" w:hint="default"/>
        <w:lang w:val="sk-SK" w:eastAsia="en-US" w:bidi="ar-SA"/>
      </w:rPr>
    </w:lvl>
    <w:lvl w:ilvl="7">
      <w:start w:val="1"/>
      <w:numFmt w:val="bullet"/>
      <w:lvlText w:val=""/>
      <w:lvlJc w:val="left"/>
      <w:pPr>
        <w:ind w:left="6964" w:hanging="360"/>
      </w:pPr>
      <w:rPr>
        <w:rFonts w:ascii="Symbol" w:hAnsi="Symbol" w:cs="Symbol" w:hint="default"/>
        <w:lang w:val="sk-SK" w:eastAsia="en-US" w:bidi="ar-SA"/>
      </w:rPr>
    </w:lvl>
    <w:lvl w:ilvl="8">
      <w:start w:val="1"/>
      <w:numFmt w:val="bullet"/>
      <w:lvlText w:val=""/>
      <w:lvlJc w:val="left"/>
      <w:pPr>
        <w:ind w:left="7825" w:hanging="360"/>
      </w:pPr>
      <w:rPr>
        <w:rFonts w:ascii="Symbol" w:hAnsi="Symbol" w:cs="Symbol" w:hint="default"/>
        <w:lang w:val="sk-SK" w:eastAsia="en-US" w:bidi="ar-SA"/>
      </w:rPr>
    </w:lvl>
  </w:abstractNum>
  <w:abstractNum w:abstractNumId="2">
    <w:lvl w:ilvl="0">
      <w:start w:val="5"/>
      <w:numFmt w:val="upperLetter"/>
      <w:lvlText w:val="%1."/>
      <w:lvlJc w:val="left"/>
      <w:pPr>
        <w:ind w:left="216" w:hanging="216"/>
      </w:pPr>
      <w:rPr>
        <w:sz w:val="22"/>
        <w:b/>
        <w:szCs w:val="22"/>
        <w:bCs/>
        <w:w w:val="100"/>
        <w:rFonts w:eastAsia="Calibri" w:cs="Calibri"/>
        <w:lang w:val="sk-SK" w:eastAsia="en-US" w:bidi="ar-SA"/>
      </w:rPr>
    </w:lvl>
    <w:lvl w:ilvl="1">
      <w:start w:val="1"/>
      <w:numFmt w:val="bullet"/>
      <w:lvlText w:val="-"/>
      <w:lvlJc w:val="left"/>
      <w:pPr>
        <w:ind w:left="936" w:hanging="360"/>
      </w:pPr>
      <w:rPr>
        <w:rFonts w:ascii="Calibri" w:hAnsi="Calibri" w:cs="Calibri" w:hint="default"/>
        <w:sz w:val="22"/>
        <w:szCs w:val="22"/>
        <w:w w:val="100"/>
        <w:rFonts w:cs="Calibri"/>
        <w:lang w:val="sk-SK" w:eastAsia="en-US" w:bidi="ar-SA"/>
      </w:rPr>
    </w:lvl>
    <w:lvl w:ilvl="2">
      <w:start w:val="1"/>
      <w:numFmt w:val="bullet"/>
      <w:lvlText w:val=""/>
      <w:lvlJc w:val="left"/>
      <w:pPr>
        <w:ind w:left="1896" w:hanging="360"/>
      </w:pPr>
      <w:rPr>
        <w:rFonts w:ascii="Symbol" w:hAnsi="Symbol" w:cs="Symbol" w:hint="default"/>
        <w:lang w:val="sk-SK" w:eastAsia="en-US" w:bidi="ar-SA"/>
      </w:rPr>
    </w:lvl>
    <w:lvl w:ilvl="3">
      <w:start w:val="1"/>
      <w:numFmt w:val="bullet"/>
      <w:lvlText w:val=""/>
      <w:lvlJc w:val="left"/>
      <w:pPr>
        <w:ind w:left="2852" w:hanging="360"/>
      </w:pPr>
      <w:rPr>
        <w:rFonts w:ascii="Symbol" w:hAnsi="Symbol" w:cs="Symbol" w:hint="default"/>
        <w:lang w:val="sk-SK" w:eastAsia="en-US" w:bidi="ar-SA"/>
      </w:rPr>
    </w:lvl>
    <w:lvl w:ilvl="4">
      <w:start w:val="1"/>
      <w:numFmt w:val="bullet"/>
      <w:lvlText w:val=""/>
      <w:lvlJc w:val="left"/>
      <w:pPr>
        <w:ind w:left="3808" w:hanging="360"/>
      </w:pPr>
      <w:rPr>
        <w:rFonts w:ascii="Symbol" w:hAnsi="Symbol" w:cs="Symbol" w:hint="default"/>
        <w:lang w:val="sk-SK" w:eastAsia="en-US" w:bidi="ar-SA"/>
      </w:rPr>
    </w:lvl>
    <w:lvl w:ilvl="5">
      <w:start w:val="1"/>
      <w:numFmt w:val="bullet"/>
      <w:lvlText w:val=""/>
      <w:lvlJc w:val="left"/>
      <w:pPr>
        <w:ind w:left="4765" w:hanging="360"/>
      </w:pPr>
      <w:rPr>
        <w:rFonts w:ascii="Symbol" w:hAnsi="Symbol" w:cs="Symbol" w:hint="default"/>
        <w:lang w:val="sk-SK" w:eastAsia="en-US" w:bidi="ar-SA"/>
      </w:rPr>
    </w:lvl>
    <w:lvl w:ilvl="6">
      <w:start w:val="1"/>
      <w:numFmt w:val="bullet"/>
      <w:lvlText w:val=""/>
      <w:lvlJc w:val="left"/>
      <w:pPr>
        <w:ind w:left="5721" w:hanging="360"/>
      </w:pPr>
      <w:rPr>
        <w:rFonts w:ascii="Symbol" w:hAnsi="Symbol" w:cs="Symbol" w:hint="default"/>
        <w:lang w:val="sk-SK" w:eastAsia="en-US" w:bidi="ar-SA"/>
      </w:rPr>
    </w:lvl>
    <w:lvl w:ilvl="7">
      <w:start w:val="1"/>
      <w:numFmt w:val="bullet"/>
      <w:lvlText w:val=""/>
      <w:lvlJc w:val="left"/>
      <w:pPr>
        <w:ind w:left="6677" w:hanging="360"/>
      </w:pPr>
      <w:rPr>
        <w:rFonts w:ascii="Symbol" w:hAnsi="Symbol" w:cs="Symbol" w:hint="default"/>
        <w:lang w:val="sk-SK" w:eastAsia="en-US" w:bidi="ar-SA"/>
      </w:rPr>
    </w:lvl>
    <w:lvl w:ilvl="8">
      <w:start w:val="1"/>
      <w:numFmt w:val="bullet"/>
      <w:lvlText w:val=""/>
      <w:lvlJc w:val="left"/>
      <w:pPr>
        <w:ind w:left="7633" w:hanging="360"/>
      </w:pPr>
      <w:rPr>
        <w:rFonts w:ascii="Symbol" w:hAnsi="Symbol" w:cs="Symbol" w:hint="default"/>
        <w:lang w:val="sk-SK" w:eastAsia="en-US" w:bidi="ar-SA"/>
      </w:rPr>
    </w:lvl>
  </w:abstractNum>
  <w:abstractNum w:abstractNumId="3">
    <w:lvl w:ilvl="0">
      <w:start w:val="1"/>
      <w:numFmt w:val="upperLetter"/>
      <w:lvlText w:val="%1."/>
      <w:lvlJc w:val="left"/>
      <w:pPr>
        <w:ind w:left="410" w:hanging="194"/>
      </w:pPr>
      <w:rPr>
        <w:sz w:val="20"/>
        <w:spacing w:val="-1"/>
        <w:b/>
        <w:szCs w:val="20"/>
        <w:bCs/>
        <w:w w:val="100"/>
        <w:rFonts w:eastAsia="Calibri" w:cs="Calibri"/>
        <w:lang w:val="sk-SK" w:eastAsia="en-US" w:bidi="ar-SA"/>
      </w:rPr>
    </w:lvl>
    <w:lvl w:ilvl="1">
      <w:start w:val="1"/>
      <w:numFmt w:val="bullet"/>
      <w:lvlText w:val=""/>
      <w:lvlJc w:val="left"/>
      <w:pPr>
        <w:ind w:left="1332" w:hanging="194"/>
      </w:pPr>
      <w:rPr>
        <w:rFonts w:ascii="Symbol" w:hAnsi="Symbol" w:cs="Symbol" w:hint="default"/>
        <w:lang w:val="sk-SK" w:eastAsia="en-US" w:bidi="ar-SA"/>
      </w:rPr>
    </w:lvl>
    <w:lvl w:ilvl="2">
      <w:start w:val="1"/>
      <w:numFmt w:val="bullet"/>
      <w:lvlText w:val=""/>
      <w:lvlJc w:val="left"/>
      <w:pPr>
        <w:ind w:left="2245" w:hanging="194"/>
      </w:pPr>
      <w:rPr>
        <w:rFonts w:ascii="Symbol" w:hAnsi="Symbol" w:cs="Symbol" w:hint="default"/>
        <w:lang w:val="sk-SK" w:eastAsia="en-US" w:bidi="ar-SA"/>
      </w:rPr>
    </w:lvl>
    <w:lvl w:ilvl="3">
      <w:start w:val="1"/>
      <w:numFmt w:val="bullet"/>
      <w:lvlText w:val=""/>
      <w:lvlJc w:val="left"/>
      <w:pPr>
        <w:ind w:left="3157" w:hanging="194"/>
      </w:pPr>
      <w:rPr>
        <w:rFonts w:ascii="Symbol" w:hAnsi="Symbol" w:cs="Symbol" w:hint="default"/>
        <w:lang w:val="sk-SK" w:eastAsia="en-US" w:bidi="ar-SA"/>
      </w:rPr>
    </w:lvl>
    <w:lvl w:ilvl="4">
      <w:start w:val="1"/>
      <w:numFmt w:val="bullet"/>
      <w:lvlText w:val=""/>
      <w:lvlJc w:val="left"/>
      <w:pPr>
        <w:ind w:left="4070" w:hanging="194"/>
      </w:pPr>
      <w:rPr>
        <w:rFonts w:ascii="Symbol" w:hAnsi="Symbol" w:cs="Symbol" w:hint="default"/>
        <w:lang w:val="sk-SK" w:eastAsia="en-US" w:bidi="ar-SA"/>
      </w:rPr>
    </w:lvl>
    <w:lvl w:ilvl="5">
      <w:start w:val="1"/>
      <w:numFmt w:val="bullet"/>
      <w:lvlText w:val=""/>
      <w:lvlJc w:val="left"/>
      <w:pPr>
        <w:ind w:left="4983" w:hanging="194"/>
      </w:pPr>
      <w:rPr>
        <w:rFonts w:ascii="Symbol" w:hAnsi="Symbol" w:cs="Symbol" w:hint="default"/>
        <w:lang w:val="sk-SK" w:eastAsia="en-US" w:bidi="ar-SA"/>
      </w:rPr>
    </w:lvl>
    <w:lvl w:ilvl="6">
      <w:start w:val="1"/>
      <w:numFmt w:val="bullet"/>
      <w:lvlText w:val=""/>
      <w:lvlJc w:val="left"/>
      <w:pPr>
        <w:ind w:left="5895" w:hanging="194"/>
      </w:pPr>
      <w:rPr>
        <w:rFonts w:ascii="Symbol" w:hAnsi="Symbol" w:cs="Symbol" w:hint="default"/>
        <w:lang w:val="sk-SK" w:eastAsia="en-US" w:bidi="ar-SA"/>
      </w:rPr>
    </w:lvl>
    <w:lvl w:ilvl="7">
      <w:start w:val="1"/>
      <w:numFmt w:val="bullet"/>
      <w:lvlText w:val=""/>
      <w:lvlJc w:val="left"/>
      <w:pPr>
        <w:ind w:left="6808" w:hanging="194"/>
      </w:pPr>
      <w:rPr>
        <w:rFonts w:ascii="Symbol" w:hAnsi="Symbol" w:cs="Symbol" w:hint="default"/>
        <w:lang w:val="sk-SK" w:eastAsia="en-US" w:bidi="ar-SA"/>
      </w:rPr>
    </w:lvl>
    <w:lvl w:ilvl="8">
      <w:start w:val="1"/>
      <w:numFmt w:val="bullet"/>
      <w:lvlText w:val=""/>
      <w:lvlJc w:val="left"/>
      <w:pPr>
        <w:ind w:left="7721" w:hanging="194"/>
      </w:pPr>
      <w:rPr>
        <w:rFonts w:ascii="Symbol" w:hAnsi="Symbol" w:cs="Symbol" w:hint="default"/>
        <w:lang w:val="sk-SK" w:eastAsia="en-US" w:bidi="ar-SA"/>
      </w:rPr>
    </w:lvl>
  </w:abstractNum>
  <w:abstractNum w:abstractNumId="4">
    <w:lvl w:ilvl="0">
      <w:start w:val="1"/>
      <w:numFmt w:val="upperLetter"/>
      <w:lvlText w:val="%1."/>
      <w:lvlJc w:val="left"/>
      <w:pPr>
        <w:ind w:left="461" w:hanging="245"/>
      </w:pPr>
      <w:rPr>
        <w:sz w:val="22"/>
        <w:b/>
        <w:szCs w:val="22"/>
        <w:bCs/>
        <w:w w:val="100"/>
        <w:rFonts w:eastAsia="Calibri" w:cs="Calibri"/>
        <w:lang w:val="sk-SK" w:eastAsia="en-US" w:bidi="ar-SA"/>
      </w:rPr>
    </w:lvl>
    <w:lvl w:ilvl="1">
      <w:start w:val="1"/>
      <w:numFmt w:val="bullet"/>
      <w:lvlText w:val=""/>
      <w:lvlJc w:val="left"/>
      <w:pPr>
        <w:ind w:left="1368" w:hanging="245"/>
      </w:pPr>
      <w:rPr>
        <w:rFonts w:ascii="Symbol" w:hAnsi="Symbol" w:cs="Symbol" w:hint="default"/>
        <w:lang w:val="sk-SK" w:eastAsia="en-US" w:bidi="ar-SA"/>
      </w:rPr>
    </w:lvl>
    <w:lvl w:ilvl="2">
      <w:start w:val="1"/>
      <w:numFmt w:val="bullet"/>
      <w:lvlText w:val=""/>
      <w:lvlJc w:val="left"/>
      <w:pPr>
        <w:ind w:left="2277" w:hanging="245"/>
      </w:pPr>
      <w:rPr>
        <w:rFonts w:ascii="Symbol" w:hAnsi="Symbol" w:cs="Symbol" w:hint="default"/>
        <w:lang w:val="sk-SK" w:eastAsia="en-US" w:bidi="ar-SA"/>
      </w:rPr>
    </w:lvl>
    <w:lvl w:ilvl="3">
      <w:start w:val="1"/>
      <w:numFmt w:val="bullet"/>
      <w:lvlText w:val=""/>
      <w:lvlJc w:val="left"/>
      <w:pPr>
        <w:ind w:left="3185" w:hanging="245"/>
      </w:pPr>
      <w:rPr>
        <w:rFonts w:ascii="Symbol" w:hAnsi="Symbol" w:cs="Symbol" w:hint="default"/>
        <w:lang w:val="sk-SK" w:eastAsia="en-US" w:bidi="ar-SA"/>
      </w:rPr>
    </w:lvl>
    <w:lvl w:ilvl="4">
      <w:start w:val="1"/>
      <w:numFmt w:val="bullet"/>
      <w:lvlText w:val=""/>
      <w:lvlJc w:val="left"/>
      <w:pPr>
        <w:ind w:left="4094" w:hanging="245"/>
      </w:pPr>
      <w:rPr>
        <w:rFonts w:ascii="Symbol" w:hAnsi="Symbol" w:cs="Symbol" w:hint="default"/>
        <w:lang w:val="sk-SK" w:eastAsia="en-US" w:bidi="ar-SA"/>
      </w:rPr>
    </w:lvl>
    <w:lvl w:ilvl="5">
      <w:start w:val="1"/>
      <w:numFmt w:val="bullet"/>
      <w:lvlText w:val=""/>
      <w:lvlJc w:val="left"/>
      <w:pPr>
        <w:ind w:left="5003" w:hanging="245"/>
      </w:pPr>
      <w:rPr>
        <w:rFonts w:ascii="Symbol" w:hAnsi="Symbol" w:cs="Symbol" w:hint="default"/>
        <w:lang w:val="sk-SK" w:eastAsia="en-US" w:bidi="ar-SA"/>
      </w:rPr>
    </w:lvl>
    <w:lvl w:ilvl="6">
      <w:start w:val="1"/>
      <w:numFmt w:val="bullet"/>
      <w:lvlText w:val=""/>
      <w:lvlJc w:val="left"/>
      <w:pPr>
        <w:ind w:left="5911" w:hanging="245"/>
      </w:pPr>
      <w:rPr>
        <w:rFonts w:ascii="Symbol" w:hAnsi="Symbol" w:cs="Symbol" w:hint="default"/>
        <w:lang w:val="sk-SK" w:eastAsia="en-US" w:bidi="ar-SA"/>
      </w:rPr>
    </w:lvl>
    <w:lvl w:ilvl="7">
      <w:start w:val="1"/>
      <w:numFmt w:val="bullet"/>
      <w:lvlText w:val=""/>
      <w:lvlJc w:val="left"/>
      <w:pPr>
        <w:ind w:left="6820" w:hanging="245"/>
      </w:pPr>
      <w:rPr>
        <w:rFonts w:ascii="Symbol" w:hAnsi="Symbol" w:cs="Symbol" w:hint="default"/>
        <w:lang w:val="sk-SK" w:eastAsia="en-US" w:bidi="ar-SA"/>
      </w:rPr>
    </w:lvl>
    <w:lvl w:ilvl="8">
      <w:start w:val="1"/>
      <w:numFmt w:val="bullet"/>
      <w:lvlText w:val=""/>
      <w:lvlJc w:val="left"/>
      <w:pPr>
        <w:ind w:left="7729" w:hanging="245"/>
      </w:pPr>
      <w:rPr>
        <w:rFonts w:ascii="Symbol" w:hAnsi="Symbol" w:cs="Symbol" w:hint="default"/>
        <w:lang w:val="sk-SK" w:eastAsia="en-US" w:bidi="ar-SA"/>
      </w:rPr>
    </w:lvl>
  </w:abstractNum>
  <w:abstractNum w:abstractNumId="5">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w="http://schemas.openxmlformats.org/wordprocessingml/2006/main">
  <w:zoom w:percent="100"/>
  <w:defaultTabStop w:val="720"/>
  <w:compat/>
  <w:themeFontLang w:val="sk-SK"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uiPriority w:val="1"/>
    <w:qFormat/>
    <w:rsid w:val="00a5622e"/>
    <w:pPr>
      <w:widowControl/>
      <w:bidi w:val="0"/>
      <w:jc w:val="left"/>
    </w:pPr>
    <w:rPr>
      <w:rFonts w:ascii="Calibri" w:hAnsi="Calibri" w:eastAsia="Calibri" w:cs="Calibri" w:asciiTheme="minorHAnsi" w:eastAsiaTheme="minorHAnsi" w:hAnsiTheme="minorHAnsi"/>
      <w:color w:val="auto"/>
      <w:sz w:val="22"/>
      <w:szCs w:val="22"/>
      <w:lang w:val="sk-SK" w:eastAsia="en-US" w:bidi="ar-SA"/>
    </w:rPr>
  </w:style>
  <w:style w:type="paragraph" w:styleId="Nadpis1" w:customStyle="1">
    <w:name w:val="Heading 1"/>
    <w:basedOn w:val="Normal"/>
    <w:uiPriority w:val="1"/>
    <w:qFormat/>
    <w:rsid w:val="00a5622e"/>
    <w:pPr>
      <w:ind w:left="216" w:hanging="0"/>
      <w:outlineLvl w:val="1"/>
    </w:pPr>
    <w:rPr>
      <w:b/>
      <w:bCs/>
    </w:rPr>
  </w:style>
  <w:style w:type="character" w:styleId="DefaultParagraphFont" w:default="1">
    <w:name w:val="Default Paragraph Font"/>
    <w:uiPriority w:val="1"/>
    <w:semiHidden/>
    <w:unhideWhenUsed/>
    <w:qFormat/>
    <w:rPr/>
  </w:style>
  <w:style w:type="character" w:styleId="HlavikaChar" w:customStyle="1">
    <w:name w:val="Hlavička Char"/>
    <w:basedOn w:val="DefaultParagraphFont"/>
    <w:link w:val="Hlavika"/>
    <w:uiPriority w:val="99"/>
    <w:semiHidden/>
    <w:qFormat/>
    <w:rsid w:val="00a92de4"/>
    <w:rPr>
      <w:rFonts w:ascii="Calibri" w:hAnsi="Calibri" w:eastAsia="Calibri" w:cs="Calibri"/>
      <w:lang w:val="sk-SK"/>
    </w:rPr>
  </w:style>
  <w:style w:type="character" w:styleId="PtaChar" w:customStyle="1">
    <w:name w:val="Päta Char"/>
    <w:basedOn w:val="DefaultParagraphFont"/>
    <w:link w:val="Pta"/>
    <w:uiPriority w:val="99"/>
    <w:semiHidden/>
    <w:qFormat/>
    <w:rsid w:val="00a92de4"/>
    <w:rPr>
      <w:rFonts w:ascii="Calibri" w:hAnsi="Calibri" w:eastAsia="Calibri" w:cs="Calibri"/>
      <w:lang w:val="sk-SK"/>
    </w:rPr>
  </w:style>
  <w:style w:type="character" w:styleId="ListLabel1">
    <w:name w:val="ListLabel 1"/>
    <w:qFormat/>
    <w:rPr>
      <w:rFonts w:eastAsia="Calibri" w:cs="Calibri"/>
      <w:w w:val="100"/>
      <w:sz w:val="22"/>
      <w:szCs w:val="22"/>
      <w:lang w:val="sk-SK" w:eastAsia="en-US" w:bidi="ar-SA"/>
    </w:rPr>
  </w:style>
  <w:style w:type="character" w:styleId="ListLabel2">
    <w:name w:val="ListLabel 2"/>
    <w:qFormat/>
    <w:rPr>
      <w:lang w:val="sk-SK" w:eastAsia="en-US" w:bidi="ar-SA"/>
    </w:rPr>
  </w:style>
  <w:style w:type="character" w:styleId="ListLabel3">
    <w:name w:val="ListLabel 3"/>
    <w:qFormat/>
    <w:rPr>
      <w:lang w:val="sk-SK" w:eastAsia="en-US" w:bidi="ar-SA"/>
    </w:rPr>
  </w:style>
  <w:style w:type="character" w:styleId="ListLabel4">
    <w:name w:val="ListLabel 4"/>
    <w:qFormat/>
    <w:rPr>
      <w:lang w:val="sk-SK" w:eastAsia="en-US" w:bidi="ar-SA"/>
    </w:rPr>
  </w:style>
  <w:style w:type="character" w:styleId="ListLabel5">
    <w:name w:val="ListLabel 5"/>
    <w:qFormat/>
    <w:rPr>
      <w:lang w:val="sk-SK" w:eastAsia="en-US" w:bidi="ar-SA"/>
    </w:rPr>
  </w:style>
  <w:style w:type="character" w:styleId="ListLabel6">
    <w:name w:val="ListLabel 6"/>
    <w:qFormat/>
    <w:rPr>
      <w:lang w:val="sk-SK" w:eastAsia="en-US" w:bidi="ar-SA"/>
    </w:rPr>
  </w:style>
  <w:style w:type="character" w:styleId="ListLabel7">
    <w:name w:val="ListLabel 7"/>
    <w:qFormat/>
    <w:rPr>
      <w:lang w:val="sk-SK" w:eastAsia="en-US" w:bidi="ar-SA"/>
    </w:rPr>
  </w:style>
  <w:style w:type="character" w:styleId="ListLabel8">
    <w:name w:val="ListLabel 8"/>
    <w:qFormat/>
    <w:rPr>
      <w:lang w:val="sk-SK" w:eastAsia="en-US" w:bidi="ar-SA"/>
    </w:rPr>
  </w:style>
  <w:style w:type="character" w:styleId="ListLabel9">
    <w:name w:val="ListLabel 9"/>
    <w:qFormat/>
    <w:rPr>
      <w:lang w:val="sk-SK" w:eastAsia="en-US" w:bidi="ar-SA"/>
    </w:rPr>
  </w:style>
  <w:style w:type="character" w:styleId="ListLabel10">
    <w:name w:val="ListLabel 10"/>
    <w:qFormat/>
    <w:rPr>
      <w:rFonts w:eastAsia="Calibri" w:cs="Calibri"/>
      <w:b/>
      <w:bCs/>
      <w:w w:val="100"/>
      <w:sz w:val="22"/>
      <w:szCs w:val="22"/>
      <w:lang w:val="sk-SK" w:eastAsia="en-US" w:bidi="ar-SA"/>
    </w:rPr>
  </w:style>
  <w:style w:type="character" w:styleId="ListLabel11">
    <w:name w:val="ListLabel 11"/>
    <w:qFormat/>
    <w:rPr>
      <w:rFonts w:eastAsia="Calibri" w:cs="Calibri"/>
      <w:w w:val="100"/>
      <w:sz w:val="22"/>
      <w:szCs w:val="22"/>
      <w:lang w:val="sk-SK" w:eastAsia="en-US" w:bidi="ar-SA"/>
    </w:rPr>
  </w:style>
  <w:style w:type="character" w:styleId="ListLabel12">
    <w:name w:val="ListLabel 12"/>
    <w:qFormat/>
    <w:rPr>
      <w:lang w:val="sk-SK" w:eastAsia="en-US" w:bidi="ar-SA"/>
    </w:rPr>
  </w:style>
  <w:style w:type="character" w:styleId="ListLabel13">
    <w:name w:val="ListLabel 13"/>
    <w:qFormat/>
    <w:rPr>
      <w:lang w:val="sk-SK" w:eastAsia="en-US" w:bidi="ar-SA"/>
    </w:rPr>
  </w:style>
  <w:style w:type="character" w:styleId="ListLabel14">
    <w:name w:val="ListLabel 14"/>
    <w:qFormat/>
    <w:rPr>
      <w:lang w:val="sk-SK" w:eastAsia="en-US" w:bidi="ar-SA"/>
    </w:rPr>
  </w:style>
  <w:style w:type="character" w:styleId="ListLabel15">
    <w:name w:val="ListLabel 15"/>
    <w:qFormat/>
    <w:rPr>
      <w:lang w:val="sk-SK" w:eastAsia="en-US" w:bidi="ar-SA"/>
    </w:rPr>
  </w:style>
  <w:style w:type="character" w:styleId="ListLabel16">
    <w:name w:val="ListLabel 16"/>
    <w:qFormat/>
    <w:rPr>
      <w:lang w:val="sk-SK" w:eastAsia="en-US" w:bidi="ar-SA"/>
    </w:rPr>
  </w:style>
  <w:style w:type="character" w:styleId="ListLabel17">
    <w:name w:val="ListLabel 17"/>
    <w:qFormat/>
    <w:rPr>
      <w:lang w:val="sk-SK" w:eastAsia="en-US" w:bidi="ar-SA"/>
    </w:rPr>
  </w:style>
  <w:style w:type="character" w:styleId="ListLabel18">
    <w:name w:val="ListLabel 18"/>
    <w:qFormat/>
    <w:rPr>
      <w:lang w:val="sk-SK" w:eastAsia="en-US" w:bidi="ar-SA"/>
    </w:rPr>
  </w:style>
  <w:style w:type="character" w:styleId="ListLabel19">
    <w:name w:val="ListLabel 19"/>
    <w:qFormat/>
    <w:rPr>
      <w:rFonts w:eastAsia="Calibri" w:cs="Calibri"/>
      <w:b/>
      <w:bCs/>
      <w:spacing w:val="-1"/>
      <w:w w:val="100"/>
      <w:sz w:val="20"/>
      <w:szCs w:val="20"/>
      <w:lang w:val="sk-SK" w:eastAsia="en-US" w:bidi="ar-SA"/>
    </w:rPr>
  </w:style>
  <w:style w:type="character" w:styleId="ListLabel20">
    <w:name w:val="ListLabel 20"/>
    <w:qFormat/>
    <w:rPr>
      <w:lang w:val="sk-SK" w:eastAsia="en-US" w:bidi="ar-SA"/>
    </w:rPr>
  </w:style>
  <w:style w:type="character" w:styleId="ListLabel21">
    <w:name w:val="ListLabel 21"/>
    <w:qFormat/>
    <w:rPr>
      <w:lang w:val="sk-SK" w:eastAsia="en-US" w:bidi="ar-SA"/>
    </w:rPr>
  </w:style>
  <w:style w:type="character" w:styleId="ListLabel22">
    <w:name w:val="ListLabel 22"/>
    <w:qFormat/>
    <w:rPr>
      <w:lang w:val="sk-SK" w:eastAsia="en-US" w:bidi="ar-SA"/>
    </w:rPr>
  </w:style>
  <w:style w:type="character" w:styleId="ListLabel23">
    <w:name w:val="ListLabel 23"/>
    <w:qFormat/>
    <w:rPr>
      <w:lang w:val="sk-SK" w:eastAsia="en-US" w:bidi="ar-SA"/>
    </w:rPr>
  </w:style>
  <w:style w:type="character" w:styleId="ListLabel24">
    <w:name w:val="ListLabel 24"/>
    <w:qFormat/>
    <w:rPr>
      <w:lang w:val="sk-SK" w:eastAsia="en-US" w:bidi="ar-SA"/>
    </w:rPr>
  </w:style>
  <w:style w:type="character" w:styleId="ListLabel25">
    <w:name w:val="ListLabel 25"/>
    <w:qFormat/>
    <w:rPr>
      <w:lang w:val="sk-SK" w:eastAsia="en-US" w:bidi="ar-SA"/>
    </w:rPr>
  </w:style>
  <w:style w:type="character" w:styleId="ListLabel26">
    <w:name w:val="ListLabel 26"/>
    <w:qFormat/>
    <w:rPr>
      <w:lang w:val="sk-SK" w:eastAsia="en-US" w:bidi="ar-SA"/>
    </w:rPr>
  </w:style>
  <w:style w:type="character" w:styleId="ListLabel27">
    <w:name w:val="ListLabel 27"/>
    <w:qFormat/>
    <w:rPr>
      <w:lang w:val="sk-SK" w:eastAsia="en-US" w:bidi="ar-SA"/>
    </w:rPr>
  </w:style>
  <w:style w:type="character" w:styleId="ListLabel28">
    <w:name w:val="ListLabel 28"/>
    <w:qFormat/>
    <w:rPr>
      <w:rFonts w:eastAsia="Calibri" w:cs="Calibri"/>
      <w:b/>
      <w:bCs/>
      <w:w w:val="100"/>
      <w:sz w:val="22"/>
      <w:szCs w:val="22"/>
      <w:lang w:val="sk-SK" w:eastAsia="en-US" w:bidi="ar-SA"/>
    </w:rPr>
  </w:style>
  <w:style w:type="character" w:styleId="ListLabel29">
    <w:name w:val="ListLabel 29"/>
    <w:qFormat/>
    <w:rPr>
      <w:lang w:val="sk-SK" w:eastAsia="en-US" w:bidi="ar-SA"/>
    </w:rPr>
  </w:style>
  <w:style w:type="character" w:styleId="ListLabel30">
    <w:name w:val="ListLabel 30"/>
    <w:qFormat/>
    <w:rPr>
      <w:lang w:val="sk-SK" w:eastAsia="en-US" w:bidi="ar-SA"/>
    </w:rPr>
  </w:style>
  <w:style w:type="character" w:styleId="ListLabel31">
    <w:name w:val="ListLabel 31"/>
    <w:qFormat/>
    <w:rPr>
      <w:lang w:val="sk-SK" w:eastAsia="en-US" w:bidi="ar-SA"/>
    </w:rPr>
  </w:style>
  <w:style w:type="character" w:styleId="ListLabel32">
    <w:name w:val="ListLabel 32"/>
    <w:qFormat/>
    <w:rPr>
      <w:lang w:val="sk-SK" w:eastAsia="en-US" w:bidi="ar-SA"/>
    </w:rPr>
  </w:style>
  <w:style w:type="character" w:styleId="ListLabel33">
    <w:name w:val="ListLabel 33"/>
    <w:qFormat/>
    <w:rPr>
      <w:lang w:val="sk-SK" w:eastAsia="en-US" w:bidi="ar-SA"/>
    </w:rPr>
  </w:style>
  <w:style w:type="character" w:styleId="ListLabel34">
    <w:name w:val="ListLabel 34"/>
    <w:qFormat/>
    <w:rPr>
      <w:lang w:val="sk-SK" w:eastAsia="en-US" w:bidi="ar-SA"/>
    </w:rPr>
  </w:style>
  <w:style w:type="character" w:styleId="ListLabel35">
    <w:name w:val="ListLabel 35"/>
    <w:qFormat/>
    <w:rPr>
      <w:lang w:val="sk-SK" w:eastAsia="en-US" w:bidi="ar-SA"/>
    </w:rPr>
  </w:style>
  <w:style w:type="character" w:styleId="ListLabel36">
    <w:name w:val="ListLabel 36"/>
    <w:qFormat/>
    <w:rPr>
      <w:lang w:val="sk-SK" w:eastAsia="en-US" w:bidi="ar-SA"/>
    </w:rPr>
  </w:style>
  <w:style w:type="paragraph" w:styleId="Nadpis">
    <w:name w:val="Nadpis"/>
    <w:basedOn w:val="Normal"/>
    <w:next w:val="Telotextu"/>
    <w:qFormat/>
    <w:pPr>
      <w:keepNext/>
      <w:spacing w:before="240" w:after="120"/>
    </w:pPr>
    <w:rPr>
      <w:rFonts w:ascii="Liberation Sans" w:hAnsi="Liberation Sans" w:eastAsia="Microsoft YaHei" w:cs="Arial"/>
      <w:sz w:val="28"/>
      <w:szCs w:val="28"/>
    </w:rPr>
  </w:style>
  <w:style w:type="paragraph" w:styleId="Telotextu">
    <w:name w:val="Body Text"/>
    <w:basedOn w:val="Normal"/>
    <w:uiPriority w:val="1"/>
    <w:qFormat/>
    <w:rsid w:val="00a5622e"/>
    <w:pPr/>
    <w:rPr/>
  </w:style>
  <w:style w:type="paragraph" w:styleId="Zoznam">
    <w:name w:val="List"/>
    <w:basedOn w:val="Telotextu"/>
    <w:pPr/>
    <w:rPr>
      <w:rFonts w:cs="Arial"/>
    </w:rPr>
  </w:style>
  <w:style w:type="paragraph" w:styleId="Popis">
    <w:name w:val="Caption"/>
    <w:basedOn w:val="Normal"/>
    <w:qFormat/>
    <w:pPr>
      <w:suppressLineNumbers/>
      <w:spacing w:before="120" w:after="120"/>
    </w:pPr>
    <w:rPr>
      <w:rFonts w:cs="Arial"/>
      <w:i/>
      <w:iCs/>
      <w:sz w:val="24"/>
      <w:szCs w:val="24"/>
    </w:rPr>
  </w:style>
  <w:style w:type="paragraph" w:styleId="Index">
    <w:name w:val="Index"/>
    <w:basedOn w:val="Normal"/>
    <w:qFormat/>
    <w:pPr>
      <w:suppressLineNumbers/>
    </w:pPr>
    <w:rPr>
      <w:rFonts w:cs="Arial"/>
    </w:rPr>
  </w:style>
  <w:style w:type="paragraph" w:styleId="Nzov">
    <w:name w:val="Title"/>
    <w:basedOn w:val="Normal"/>
    <w:uiPriority w:val="1"/>
    <w:qFormat/>
    <w:rsid w:val="00a5622e"/>
    <w:pPr>
      <w:ind w:left="2463" w:right="2505" w:hanging="0"/>
      <w:jc w:val="center"/>
    </w:pPr>
    <w:rPr>
      <w:b/>
      <w:bCs/>
      <w:sz w:val="40"/>
      <w:szCs w:val="40"/>
    </w:rPr>
  </w:style>
  <w:style w:type="paragraph" w:styleId="ListParagraph">
    <w:name w:val="List Paragraph"/>
    <w:basedOn w:val="Normal"/>
    <w:uiPriority w:val="1"/>
    <w:qFormat/>
    <w:rsid w:val="00a5622e"/>
    <w:pPr>
      <w:ind w:left="216" w:hanging="361"/>
    </w:pPr>
    <w:rPr/>
  </w:style>
  <w:style w:type="paragraph" w:styleId="TableParagraph" w:customStyle="1">
    <w:name w:val="Table Paragraph"/>
    <w:basedOn w:val="Normal"/>
    <w:uiPriority w:val="1"/>
    <w:qFormat/>
    <w:rsid w:val="00a5622e"/>
    <w:pPr>
      <w:spacing w:lineRule="exact" w:line="248"/>
    </w:pPr>
    <w:rPr/>
  </w:style>
  <w:style w:type="paragraph" w:styleId="Hlavika">
    <w:name w:val="Header"/>
    <w:basedOn w:val="Normal"/>
    <w:link w:val="HlavikaChar"/>
    <w:uiPriority w:val="99"/>
    <w:semiHidden/>
    <w:unhideWhenUsed/>
    <w:rsid w:val="00a92de4"/>
    <w:pPr>
      <w:tabs>
        <w:tab w:val="center" w:pos="4536" w:leader="none"/>
        <w:tab w:val="right" w:pos="9072" w:leader="none"/>
      </w:tabs>
    </w:pPr>
    <w:rPr/>
  </w:style>
  <w:style w:type="paragraph" w:styleId="Pta">
    <w:name w:val="Footer"/>
    <w:basedOn w:val="Normal"/>
    <w:link w:val="PtaChar"/>
    <w:uiPriority w:val="99"/>
    <w:semiHidden/>
    <w:unhideWhenUsed/>
    <w:rsid w:val="00a92de4"/>
    <w:pPr>
      <w:tabs>
        <w:tab w:val="center" w:pos="4536" w:leader="none"/>
        <w:tab w:val="right" w:pos="9072" w:leader="none"/>
      </w:tabs>
    </w:pPr>
    <w:rPr/>
  </w:style>
  <w:style w:type="paragraph" w:styleId="Obsahrmca">
    <w:name w:val="Obsah rámca"/>
    <w:basedOn w:val="Normal"/>
    <w:qFormat/>
    <w:pPr/>
    <w:rPr/>
  </w:style>
  <w:style w:type="numbering" w:styleId="NoList" w:default="1">
    <w:name w:val="No List"/>
    <w:uiPriority w:val="99"/>
    <w:semiHidden/>
    <w:unhideWhenUsed/>
    <w:qFormat/>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table" w:customStyle="1" w:styleId="TableNormal">
    <w:name w:val="Table Normal"/>
    <w:uiPriority w:val="2"/>
    <w:semiHidden/>
    <w:unhideWhenUsed/>
    <w:qFormat/>
    <w:rsid w:val="00a5622e"/>
    <w:tblPr>
      <w:tblInd w:w="0" w:type="dxa"/>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footer" Target="footer1.xml"/><Relationship Id="rId4" Type="http://schemas.openxmlformats.org/officeDocument/2006/relationships/header" Target="header2.xml"/><Relationship Id="rId5" Type="http://schemas.openxmlformats.org/officeDocument/2006/relationships/footer" Target="footer2.xml"/><Relationship Id="rId6" Type="http://schemas.openxmlformats.org/officeDocument/2006/relationships/header" Target="header3.xml"/><Relationship Id="rId7" Type="http://schemas.openxmlformats.org/officeDocument/2006/relationships/footer" Target="footer3.xml"/><Relationship Id="rId8" Type="http://schemas.openxmlformats.org/officeDocument/2006/relationships/header" Target="header4.xml"/><Relationship Id="rId9" Type="http://schemas.openxmlformats.org/officeDocument/2006/relationships/footer" Target="footer4.xml"/><Relationship Id="rId10" Type="http://schemas.openxmlformats.org/officeDocument/2006/relationships/header" Target="header5.xml"/><Relationship Id="rId11" Type="http://schemas.openxmlformats.org/officeDocument/2006/relationships/footer" Target="footer5.xml"/><Relationship Id="rId12" Type="http://schemas.openxmlformats.org/officeDocument/2006/relationships/header" Target="header6.xml"/><Relationship Id="rId13" Type="http://schemas.openxmlformats.org/officeDocument/2006/relationships/footer" Target="footer6.xml"/><Relationship Id="rId14" Type="http://schemas.openxmlformats.org/officeDocument/2006/relationships/header" Target="header7.xml"/><Relationship Id="rId15" Type="http://schemas.openxmlformats.org/officeDocument/2006/relationships/footer" Target="footer7.xml"/><Relationship Id="rId16" Type="http://schemas.openxmlformats.org/officeDocument/2006/relationships/header" Target="header8.xml"/><Relationship Id="rId17" Type="http://schemas.openxmlformats.org/officeDocument/2006/relationships/footer" Target="footer8.xml"/><Relationship Id="rId18" Type="http://schemas.openxmlformats.org/officeDocument/2006/relationships/numbering" Target="numbering.xml"/><Relationship Id="rId19" Type="http://schemas.openxmlformats.org/officeDocument/2006/relationships/fontTable" Target="fontTable.xml"/><Relationship Id="rId20" Type="http://schemas.openxmlformats.org/officeDocument/2006/relationships/settings" Target="settings.xml"/><Relationship Id="rId21" Type="http://schemas.openxmlformats.org/officeDocument/2006/relationships/theme" Target="theme/theme1.xml"/><Relationship Id="rId22"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35CD522-EF20-4A70-9D5C-8F11AA82F3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171</TotalTime>
  <Application>LibreOffice/5.1.3.2$Windows_X86_64 LibreOffice_project/644e4637d1d8544fd9f56425bd6cec110e49301b</Application>
  <Pages>10</Pages>
  <Words>1853</Words>
  <Characters>10959</Characters>
  <CharactersWithSpaces>12470</CharactersWithSpaces>
  <Paragraphs>369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2020-03-06T11:44:00Z</dcterms:created>
  <dc:creator>PC</dc:creator>
  <dc:description/>
  <dc:language>sk-SK</dc:language>
  <cp:lastModifiedBy/>
  <cp:lastPrinted>2020-03-09T12:35:00Z</cp:lastPrinted>
  <dcterms:modified xsi:type="dcterms:W3CDTF">2020-06-17T09:03:01Z</dcterms:modified>
  <cp:revision>24</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reated">
    <vt:filetime>2019-03-21T00:00:00Z</vt:filetime>
  </property>
  <property fmtid="{D5CDD505-2E9C-101B-9397-08002B2CF9AE}" pid="4" name="Creator">
    <vt:lpwstr>Microsoft® Office Word 2007</vt:lpwstr>
  </property>
  <property fmtid="{D5CDD505-2E9C-101B-9397-08002B2CF9AE}" pid="5" name="DocSecurity">
    <vt:i4>0</vt:i4>
  </property>
  <property fmtid="{D5CDD505-2E9C-101B-9397-08002B2CF9AE}" pid="6" name="HyperlinksChanged">
    <vt:bool>0</vt:bool>
  </property>
  <property fmtid="{D5CDD505-2E9C-101B-9397-08002B2CF9AE}" pid="7" name="LastSaved">
    <vt:filetime>2020-03-03T00:00:00Z</vt:filetime>
  </property>
  <property fmtid="{D5CDD505-2E9C-101B-9397-08002B2CF9AE}" pid="8" name="LinksUpToDate">
    <vt:bool>0</vt:bool>
  </property>
  <property fmtid="{D5CDD505-2E9C-101B-9397-08002B2CF9AE}" pid="9" name="ScaleCrop">
    <vt:bool>0</vt:bool>
  </property>
  <property fmtid="{D5CDD505-2E9C-101B-9397-08002B2CF9AE}" pid="10" name="ShareDoc">
    <vt:bool>0</vt:bool>
  </property>
</Properties>
</file>