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1E50" w:rsidRDefault="006E5507">
      <w:pPr>
        <w:pStyle w:val="Heading1"/>
        <w:spacing w:before="73"/>
      </w:pPr>
      <w:bookmarkStart w:id="0" w:name="_GoBack"/>
      <w:bookmarkEnd w:id="0"/>
      <w:r>
        <w:t>Čl. I - (2)</w:t>
      </w:r>
    </w:p>
    <w:p w:rsidR="00CB1E50" w:rsidRDefault="006E5507">
      <w:pPr>
        <w:pStyle w:val="BodyText"/>
        <w:spacing w:before="110"/>
        <w:ind w:left="163" w:right="2084"/>
      </w:pPr>
      <w:r>
        <w:t>Informácie o obchodnom mene, sídle, právnej forme a možno uviesť aj iné vhodné údaje o účtovnej jednotke, v ktorej je účtovná jednotka neobmedzene ručiacim spoločníkom.</w:t>
      </w:r>
    </w:p>
    <w:p w:rsidR="00CB1E50" w:rsidRDefault="00152905">
      <w:pPr>
        <w:pStyle w:val="BodyText"/>
        <w:spacing w:before="107"/>
        <w:ind w:left="163" w:right="991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9498624" behindDoc="1" locked="0" layoutInCell="1" allowOverlap="1">
                <wp:simplePos x="0" y="0"/>
                <wp:positionH relativeFrom="page">
                  <wp:posOffset>366395</wp:posOffset>
                </wp:positionH>
                <wp:positionV relativeFrom="paragraph">
                  <wp:posOffset>41275</wp:posOffset>
                </wp:positionV>
                <wp:extent cx="6840220" cy="895350"/>
                <wp:effectExtent l="0" t="0" r="0" b="0"/>
                <wp:wrapNone/>
                <wp:docPr id="21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895350"/>
                        </a:xfrm>
                        <a:custGeom>
                          <a:avLst/>
                          <a:gdLst>
                            <a:gd name="T0" fmla="+- 0 577 577"/>
                            <a:gd name="T1" fmla="*/ T0 w 10772"/>
                            <a:gd name="T2" fmla="+- 0 65 65"/>
                            <a:gd name="T3" fmla="*/ 65 h 1410"/>
                            <a:gd name="T4" fmla="+- 0 11349 577"/>
                            <a:gd name="T5" fmla="*/ T4 w 10772"/>
                            <a:gd name="T6" fmla="+- 0 65 65"/>
                            <a:gd name="T7" fmla="*/ 65 h 1410"/>
                            <a:gd name="T8" fmla="+- 0 11349 577"/>
                            <a:gd name="T9" fmla="*/ T8 w 10772"/>
                            <a:gd name="T10" fmla="+- 0 65 65"/>
                            <a:gd name="T11" fmla="*/ 65 h 1410"/>
                            <a:gd name="T12" fmla="+- 0 11349 577"/>
                            <a:gd name="T13" fmla="*/ T12 w 10772"/>
                            <a:gd name="T14" fmla="+- 0 1475 65"/>
                            <a:gd name="T15" fmla="*/ 1475 h 1410"/>
                            <a:gd name="T16" fmla="+- 0 577 577"/>
                            <a:gd name="T17" fmla="*/ T16 w 10772"/>
                            <a:gd name="T18" fmla="+- 0 1475 65"/>
                            <a:gd name="T19" fmla="*/ 1475 h 1410"/>
                            <a:gd name="T20" fmla="+- 0 11349 577"/>
                            <a:gd name="T21" fmla="*/ T20 w 10772"/>
                            <a:gd name="T22" fmla="+- 0 1475 65"/>
                            <a:gd name="T23" fmla="*/ 1475 h 1410"/>
                            <a:gd name="T24" fmla="+- 0 577 577"/>
                            <a:gd name="T25" fmla="*/ T24 w 10772"/>
                            <a:gd name="T26" fmla="+- 0 65 65"/>
                            <a:gd name="T27" fmla="*/ 65 h 1410"/>
                            <a:gd name="T28" fmla="+- 0 577 577"/>
                            <a:gd name="T29" fmla="*/ T28 w 10772"/>
                            <a:gd name="T30" fmla="+- 0 1475 65"/>
                            <a:gd name="T31" fmla="*/ 1475 h 14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0772" h="1410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  <a:moveTo>
                                <a:pt x="10772" y="0"/>
                              </a:moveTo>
                              <a:lnTo>
                                <a:pt x="10772" y="1410"/>
                              </a:lnTo>
                              <a:moveTo>
                                <a:pt x="0" y="1410"/>
                              </a:moveTo>
                              <a:lnTo>
                                <a:pt x="10772" y="1410"/>
                              </a:lnTo>
                              <a:moveTo>
                                <a:pt x="0" y="0"/>
                              </a:moveTo>
                              <a:lnTo>
                                <a:pt x="0" y="141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2" o:spid="_x0000_s1026" style="position:absolute;margin-left:28.85pt;margin-top:3.25pt;width:538.6pt;height:70.5pt;z-index:-25381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" path="m,l10772,t,l10772,1410m,1410r10772,m,l,1410e" filled="f">
                <v:path arrowok="t" o:connecttype="custom" o:connectlocs="0,41275;6840220,41275;6840220,41275;6840220,936625;0,936625;6840220,936625;0,41275;0,936625" o:connectangles="0,0,0,0,0,0,0,0"/>
                <w10:wrap anchorx="page"/>
              </v:shape>
            </w:pict>
          </mc:Fallback>
        </mc:AlternateContent>
      </w:r>
      <w:r w:rsidR="006E5507">
        <w:t xml:space="preserve">'Spoločnosť </w:t>
      </w:r>
      <w:r w:rsidR="00782CC5">
        <w:t>Aurora, j.s.a</w:t>
      </w:r>
      <w:r w:rsidR="006E5507">
        <w:t xml:space="preserve">. (ďalej len Spoločnosť) bola do obchodného registra zapísaná </w:t>
      </w:r>
      <w:r w:rsidR="006E5507" w:rsidRPr="006E5507">
        <w:rPr>
          <w:b/>
        </w:rPr>
        <w:t>1</w:t>
      </w:r>
      <w:r w:rsidR="00782CC5" w:rsidRPr="006E5507">
        <w:rPr>
          <w:b/>
        </w:rPr>
        <w:t>7</w:t>
      </w:r>
      <w:r w:rsidR="006E5507" w:rsidRPr="006E5507">
        <w:rPr>
          <w:b/>
        </w:rPr>
        <w:t xml:space="preserve">. </w:t>
      </w:r>
      <w:r w:rsidR="00782CC5" w:rsidRPr="006E5507">
        <w:rPr>
          <w:b/>
        </w:rPr>
        <w:t>októbra</w:t>
      </w:r>
      <w:r w:rsidR="006E5507" w:rsidRPr="006E5507">
        <w:rPr>
          <w:b/>
        </w:rPr>
        <w:t xml:space="preserve"> 20</w:t>
      </w:r>
      <w:r w:rsidR="00782CC5" w:rsidRPr="006E5507">
        <w:rPr>
          <w:b/>
        </w:rPr>
        <w:t>1</w:t>
      </w:r>
      <w:r w:rsidR="006E5507" w:rsidRPr="006E5507">
        <w:rPr>
          <w:b/>
        </w:rPr>
        <w:t>9</w:t>
      </w:r>
      <w:r w:rsidR="006E5507">
        <w:t xml:space="preserve"> (Obchodný register Okresného súdu Bratislava I, oddiel </w:t>
      </w:r>
      <w:r w:rsidR="00782CC5">
        <w:t>j.s.a.</w:t>
      </w:r>
      <w:r w:rsidR="006E5507">
        <w:t xml:space="preserve">, vložka </w:t>
      </w:r>
      <w:r w:rsidR="00782CC5">
        <w:t>95/B</w:t>
      </w:r>
      <w:r w:rsidR="006E5507">
        <w:t>).</w:t>
      </w:r>
    </w:p>
    <w:p w:rsidR="00CB1E50" w:rsidRDefault="00CB1E50">
      <w:pPr>
        <w:pStyle w:val="BodyText"/>
        <w:spacing w:before="9"/>
        <w:rPr>
          <w:sz w:val="19"/>
        </w:rPr>
      </w:pPr>
    </w:p>
    <w:p w:rsidR="00CB1E50" w:rsidRDefault="006E5507">
      <w:pPr>
        <w:pStyle w:val="BodyText"/>
        <w:spacing w:before="1"/>
        <w:ind w:left="163" w:right="7621"/>
      </w:pPr>
      <w:r>
        <w:t>Hlavnými činnosťami Spoločnosti sú: počítačové služby</w:t>
      </w:r>
    </w:p>
    <w:p w:rsidR="00CB1E50" w:rsidRDefault="00065E6E">
      <w:pPr>
        <w:pStyle w:val="BodyText"/>
        <w:spacing w:line="228" w:lineRule="exact"/>
        <w:ind w:left="163"/>
      </w:pPr>
      <w:r>
        <w:t>s</w:t>
      </w:r>
      <w:r w:rsidR="00782CC5">
        <w:t>prostredkovateľská činnosť v oblasti obchodu a služieb</w:t>
      </w:r>
    </w:p>
    <w:p w:rsidR="00782CC5" w:rsidRDefault="00782CC5">
      <w:pPr>
        <w:pStyle w:val="BodyText"/>
        <w:spacing w:line="228" w:lineRule="exact"/>
        <w:ind w:left="163"/>
      </w:pPr>
    </w:p>
    <w:p w:rsidR="00CB1E50" w:rsidRDefault="006E5507">
      <w:pPr>
        <w:pStyle w:val="BodyText"/>
        <w:tabs>
          <w:tab w:val="left" w:pos="1164"/>
        </w:tabs>
        <w:spacing w:before="34"/>
        <w:ind w:left="163"/>
      </w:pPr>
      <w:r>
        <w:rPr>
          <w:b/>
        </w:rPr>
        <w:t>Čl. I - (6)</w:t>
      </w:r>
      <w:r>
        <w:rPr>
          <w:b/>
        </w:rPr>
        <w:tab/>
      </w:r>
      <w:r>
        <w:t>Priemerný prepočítaný počet zamestnancov účtovnej jednotky počas účtovného obdobia,</w:t>
      </w:r>
      <w:r>
        <w:rPr>
          <w:spacing w:val="-1"/>
        </w:rPr>
        <w:t xml:space="preserve"> </w:t>
      </w:r>
      <w:r>
        <w:t>počet</w:t>
      </w:r>
    </w:p>
    <w:p w:rsidR="00CB1E50" w:rsidRDefault="006E5507">
      <w:pPr>
        <w:pStyle w:val="BodyText"/>
        <w:ind w:left="163" w:right="1490"/>
        <w:jc w:val="both"/>
      </w:pPr>
      <w:r>
        <w:t>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</w:t>
      </w:r>
    </w:p>
    <w:p w:rsidR="00CB1E50" w:rsidRDefault="006E5507">
      <w:pPr>
        <w:pStyle w:val="BodyText"/>
        <w:spacing w:before="43" w:after="5"/>
        <w:ind w:left="163"/>
        <w:jc w:val="both"/>
      </w:pPr>
      <w:r>
        <w:t>Tabuľka 1: Informácie k Čl. I odst. 6 o počte zamestnancov</w:t>
      </w:r>
    </w:p>
    <w:tbl>
      <w:tblPr>
        <w:tblStyle w:val="TableNormal1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2"/>
        <w:gridCol w:w="3175"/>
        <w:gridCol w:w="3345"/>
      </w:tblGrid>
      <w:tr w:rsidR="00CB1E50">
        <w:trPr>
          <w:trHeight w:val="552"/>
        </w:trPr>
        <w:tc>
          <w:tcPr>
            <w:tcW w:w="4252" w:type="dxa"/>
          </w:tcPr>
          <w:p w:rsidR="00CB1E50" w:rsidRDefault="006E5507">
            <w:pPr>
              <w:pStyle w:val="TableParagraph"/>
              <w:spacing w:before="168"/>
              <w:ind w:left="1470" w:right="14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</w:tcPr>
          <w:p w:rsidR="00CB1E50" w:rsidRDefault="006E5507">
            <w:pPr>
              <w:pStyle w:val="TableParagraph"/>
              <w:spacing w:before="168"/>
              <w:ind w:left="55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345" w:type="dxa"/>
          </w:tcPr>
          <w:p w:rsidR="00CB1E50" w:rsidRDefault="006E5507">
            <w:pPr>
              <w:pStyle w:val="TableParagraph"/>
              <w:spacing w:before="63"/>
              <w:ind w:left="31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CB1E50" w:rsidRDefault="006E5507">
            <w:pPr>
              <w:pStyle w:val="TableParagraph"/>
              <w:spacing w:before="3"/>
              <w:ind w:left="125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</w:tr>
      <w:tr w:rsidR="00CB1E50">
        <w:trPr>
          <w:trHeight w:val="351"/>
        </w:trPr>
        <w:tc>
          <w:tcPr>
            <w:tcW w:w="4252" w:type="dxa"/>
            <w:tcBorders>
              <w:bottom w:val="single" w:sz="8" w:space="0" w:color="000000"/>
            </w:tcBorders>
          </w:tcPr>
          <w:p w:rsidR="00CB1E50" w:rsidRDefault="006E5507">
            <w:pPr>
              <w:pStyle w:val="TableParagraph"/>
              <w:spacing w:before="58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:rsidR="00CB1E50" w:rsidRDefault="00782CC5">
            <w:pPr>
              <w:pStyle w:val="TableParagraph"/>
              <w:spacing w:before="58"/>
              <w:ind w:right="57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:rsidR="00CB1E50" w:rsidRDefault="00782CC5">
            <w:pPr>
              <w:pStyle w:val="TableParagraph"/>
              <w:spacing w:before="58"/>
              <w:ind w:right="56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B1E50">
        <w:trPr>
          <w:trHeight w:val="574"/>
        </w:trPr>
        <w:tc>
          <w:tcPr>
            <w:tcW w:w="4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B1E50" w:rsidRDefault="006E5507">
            <w:pPr>
              <w:pStyle w:val="TableParagraph"/>
              <w:spacing w:before="55"/>
              <w:ind w:left="46" w:right="666"/>
              <w:jc w:val="left"/>
              <w:rPr>
                <w:sz w:val="20"/>
              </w:rPr>
            </w:pPr>
            <w:r>
              <w:rPr>
                <w:sz w:val="20"/>
              </w:rPr>
              <w:t>Stav zamestnancov ku dňu, ku ktorému sa zostavuje účtovná závierka,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:rsidR="00CB1E50" w:rsidRDefault="00782CC5">
            <w:pPr>
              <w:pStyle w:val="TableParagraph"/>
              <w:spacing w:before="168"/>
              <w:ind w:right="5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:rsidR="00CB1E50" w:rsidRDefault="00782CC5">
            <w:pPr>
              <w:pStyle w:val="TableParagraph"/>
              <w:spacing w:before="168"/>
              <w:ind w:right="56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B1E50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:rsidR="00CB1E50" w:rsidRDefault="006E5507">
            <w:pPr>
              <w:pStyle w:val="TableParagraph"/>
              <w:spacing w:before="69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Počet vedúcich zamestnancov</w:t>
            </w:r>
          </w:p>
        </w:tc>
        <w:tc>
          <w:tcPr>
            <w:tcW w:w="3175" w:type="dxa"/>
          </w:tcPr>
          <w:p w:rsidR="00CB1E50" w:rsidRDefault="00782CC5">
            <w:pPr>
              <w:pStyle w:val="TableParagraph"/>
              <w:spacing w:before="69"/>
              <w:ind w:right="5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</w:tcPr>
          <w:p w:rsidR="00CB1E50" w:rsidRDefault="00782CC5">
            <w:pPr>
              <w:pStyle w:val="TableParagraph"/>
              <w:spacing w:before="69"/>
              <w:ind w:right="56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CB1E50" w:rsidRDefault="006E5507">
      <w:pPr>
        <w:pStyle w:val="Heading1"/>
        <w:spacing w:before="147"/>
        <w:ind w:left="2342" w:right="2429"/>
        <w:jc w:val="center"/>
      </w:pPr>
      <w:r>
        <w:t>Čl. II</w:t>
      </w:r>
    </w:p>
    <w:p w:rsidR="00CB1E50" w:rsidRDefault="006E5507">
      <w:pPr>
        <w:pStyle w:val="BodyText"/>
        <w:spacing w:before="54"/>
        <w:ind w:left="2296" w:right="2429"/>
        <w:jc w:val="center"/>
      </w:pPr>
      <w:r>
        <w:t>Informácie o prijatých postupoch</w:t>
      </w:r>
    </w:p>
    <w:p w:rsidR="00CB1E50" w:rsidRDefault="00CB1E50">
      <w:pPr>
        <w:pStyle w:val="BodyText"/>
        <w:spacing w:before="2"/>
        <w:rPr>
          <w:sz w:val="21"/>
        </w:rPr>
      </w:pPr>
    </w:p>
    <w:p w:rsidR="00CB1E50" w:rsidRDefault="006E5507">
      <w:pPr>
        <w:pStyle w:val="BodyText"/>
        <w:spacing w:before="93"/>
        <w:ind w:left="163"/>
      </w:pPr>
      <w:r>
        <w:rPr>
          <w:b/>
        </w:rPr>
        <w:t xml:space="preserve">(1) </w:t>
      </w:r>
      <w:r>
        <w:t>Informácia, či je účtovná závierka zostavená za splnenia predpokladu, že účtovná jednotka bude nepretržite</w:t>
      </w:r>
    </w:p>
    <w:p w:rsidR="00CB1E50" w:rsidRDefault="00152905">
      <w:pPr>
        <w:pStyle w:val="BodyText"/>
        <w:ind w:left="163" w:right="889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8240" behindDoc="1" locked="0" layoutInCell="1" allowOverlap="1">
                <wp:simplePos x="0" y="0"/>
                <wp:positionH relativeFrom="page">
                  <wp:posOffset>366395</wp:posOffset>
                </wp:positionH>
                <wp:positionV relativeFrom="paragraph">
                  <wp:posOffset>368300</wp:posOffset>
                </wp:positionV>
                <wp:extent cx="6840220" cy="180340"/>
                <wp:effectExtent l="0" t="0" r="0" b="0"/>
                <wp:wrapTopAndBottom/>
                <wp:docPr id="20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0220" cy="1803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B1E50" w:rsidRDefault="006E5507">
                            <w:pPr>
                              <w:pStyle w:val="BodyText"/>
                              <w:spacing w:before="34"/>
                              <w:ind w:left="38"/>
                            </w:pPr>
                            <w:r>
                              <w:t>Účtovná závierka bola zostavená za predpokladu nepretržitého trvania Spoločnosti.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1" o:spid="_x0000_s1026" type="#_x0000_t202" style="position:absolute;left:0;text-align:left;margin-left:28.85pt;margin-top:29pt;width:538.6pt;height:14.2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" filled="f">
                <v:textbox inset="0,0,0,0">
                  <w:txbxContent>
                    <w:p w:rsidR="00CB1E50" w:rsidRDefault="006E5507">
                      <w:pPr>
                        <w:pStyle w:val="Zkladntext"/>
                        <w:spacing w:before="34"/>
                        <w:ind w:left="38"/>
                      </w:pPr>
                      <w:proofErr w:type="gramStart"/>
                      <w:r>
                        <w:t>Účtovná závierka bola zostavená za predpokladu nepretržitého trvania Spoločnosti.</w:t>
                      </w:r>
                      <w:proofErr w:type="gramEnd"/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6E5507">
        <w:t>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:rsidR="00CB1E50" w:rsidRDefault="00CB1E50">
      <w:pPr>
        <w:sectPr w:rsidR="00CB1E50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:rsidR="00CB1E50" w:rsidRDefault="00152905">
      <w:pPr>
        <w:pStyle w:val="BodyText"/>
        <w:spacing w:before="64"/>
        <w:jc w:val="right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0" t="0" r="0" b="0"/>
                <wp:wrapNone/>
                <wp:docPr id="19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B1E50" w:rsidRDefault="006E5507">
                            <w:pPr>
                              <w:pStyle w:val="BodyText"/>
                              <w:spacing w:before="44"/>
                              <w:ind w:left="38"/>
                            </w:pPr>
                            <w:r>
                              <w:t xml:space="preserve">Poznámky Úč MÚJ </w:t>
                            </w:r>
                            <w:r w:rsidR="00065E6E">
                              <w:t>Aurora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27" type="#_x0000_t202" style="position:absolute;left:0;text-align:left;margin-left:28.85pt;margin-top:.6pt;width:124.75pt;height:17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" filled="f">
                <v:textbox inset="0,0,0,0">
                  <w:txbxContent>
                    <w:p w:rsidR="00CB1E50" w:rsidRDefault="006E5507">
                      <w:pPr>
                        <w:pStyle w:val="Zkladntext"/>
                        <w:spacing w:before="44"/>
                        <w:ind w:left="38"/>
                      </w:pPr>
                      <w:r>
                        <w:t xml:space="preserve">Poznámky Úč MÚJ </w:t>
                      </w:r>
                      <w:r w:rsidR="00065E6E">
                        <w:t>Aurora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E5507">
        <w:t>IČO</w:t>
      </w:r>
    </w:p>
    <w:p w:rsidR="00CB1E50" w:rsidRDefault="006E5507">
      <w:pPr>
        <w:spacing w:before="64"/>
        <w:jc w:val="right"/>
        <w:rPr>
          <w:sz w:val="20"/>
        </w:rPr>
      </w:pPr>
      <w:r>
        <w:br w:type="column"/>
      </w:r>
      <w:r>
        <w:rPr>
          <w:w w:val="95"/>
          <w:sz w:val="20"/>
        </w:rPr>
        <w:lastRenderedPageBreak/>
        <w:t>DIČ</w:t>
      </w:r>
    </w:p>
    <w:p w:rsidR="00CB1E50" w:rsidRDefault="006E5507">
      <w:pPr>
        <w:pStyle w:val="BodyText"/>
        <w:spacing w:before="64"/>
        <w:ind w:right="252"/>
        <w:jc w:val="right"/>
      </w:pPr>
      <w:r>
        <w:br w:type="column"/>
      </w:r>
      <w:r>
        <w:lastRenderedPageBreak/>
        <w:t>str.2</w:t>
      </w:r>
    </w:p>
    <w:p w:rsidR="00CB1E50" w:rsidRDefault="00CB1E50">
      <w:pPr>
        <w:jc w:val="right"/>
        <w:sectPr w:rsidR="00CB1E50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CB1E50" w:rsidRDefault="00CB1E50">
      <w:pPr>
        <w:pStyle w:val="BodyText"/>
        <w:spacing w:before="4"/>
        <w:rPr>
          <w:sz w:val="10"/>
        </w:rPr>
      </w:pPr>
    </w:p>
    <w:p w:rsidR="00CB1E50" w:rsidRDefault="00152905">
      <w:pPr>
        <w:pStyle w:val="BodyText"/>
        <w:spacing w:before="94"/>
        <w:ind w:left="163" w:right="1109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page">
                  <wp:posOffset>2953385</wp:posOffset>
                </wp:positionH>
                <wp:positionV relativeFrom="paragraph">
                  <wp:posOffset>-259715</wp:posOffset>
                </wp:positionV>
                <wp:extent cx="1166495" cy="225425"/>
                <wp:effectExtent l="0" t="0" r="0" b="0"/>
                <wp:wrapNone/>
                <wp:docPr id="18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CB1E50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</w:tr>
                            <w:tr w:rsidR="00065E6E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:rsidR="00065E6E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065E6E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065E6E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CB1E50" w:rsidRDefault="00CB1E50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9" o:spid="_x0000_s1028" type="#_x0000_t202" style="position:absolute;left:0;text-align:left;margin-left:232.55pt;margin-top:-20.45pt;width:91.85pt;height:17.75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CB1E50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</w:tr>
                      <w:tr w:rsidR="00065E6E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:rsidR="00065E6E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:rsidR="00065E6E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:rsidR="00065E6E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CB1E50" w:rsidRDefault="00CB1E50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page">
                  <wp:posOffset>5293360</wp:posOffset>
                </wp:positionH>
                <wp:positionV relativeFrom="paragraph">
                  <wp:posOffset>-259715</wp:posOffset>
                </wp:positionV>
                <wp:extent cx="1454785" cy="225425"/>
                <wp:effectExtent l="0" t="0" r="0" b="0"/>
                <wp:wrapNone/>
                <wp:docPr id="17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78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CB1E50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:rsidR="00CB1E50" w:rsidRDefault="006E5507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CB1E50" w:rsidRDefault="006E5507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CB1E50" w:rsidRDefault="00065E6E">
                                  <w:pPr>
                                    <w:pStyle w:val="TableParagraph"/>
                                    <w:spacing w:before="44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CB1E50" w:rsidRDefault="00065E6E">
                                  <w:pPr>
                                    <w:pStyle w:val="TableParagraph"/>
                                    <w:spacing w:before="44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:rsidR="00CB1E50" w:rsidRDefault="00CB1E50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29" type="#_x0000_t202" style="position:absolute;left:0;text-align:left;margin-left:416.8pt;margin-top:-20.45pt;width:114.55pt;height:17.7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CB1E50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:rsidR="00CB1E50" w:rsidRDefault="006E5507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CB1E50" w:rsidRDefault="006E5507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CB1E50" w:rsidRDefault="00065E6E">
                            <w:pPr>
                              <w:pStyle w:val="TableParagraph"/>
                              <w:spacing w:before="44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CB1E50" w:rsidRDefault="00065E6E">
                            <w:pPr>
                              <w:pStyle w:val="TableParagraph"/>
                              <w:spacing w:before="44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</w:tr>
                    </w:tbl>
                    <w:p w:rsidR="00CB1E50" w:rsidRDefault="00CB1E50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6E5507">
        <w:rPr>
          <w:b/>
        </w:rPr>
        <w:t xml:space="preserve">Čl.II - (2) </w:t>
      </w:r>
      <w:r w:rsidR="006E5507">
        <w:t>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</w:t>
      </w:r>
    </w:p>
    <w:p w:rsidR="00CB1E50" w:rsidRDefault="00152905">
      <w:pPr>
        <w:pStyle w:val="BodyText"/>
        <w:ind w:left="163" w:right="2003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9499648" behindDoc="1" locked="0" layoutInCell="1" allowOverlap="1">
                <wp:simplePos x="0" y="0"/>
                <wp:positionH relativeFrom="page">
                  <wp:posOffset>366395</wp:posOffset>
                </wp:positionH>
                <wp:positionV relativeFrom="paragraph">
                  <wp:posOffset>327660</wp:posOffset>
                </wp:positionV>
                <wp:extent cx="6840220" cy="7448550"/>
                <wp:effectExtent l="0" t="0" r="0" b="0"/>
                <wp:wrapNone/>
                <wp:docPr id="16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7448550"/>
                        </a:xfrm>
                        <a:custGeom>
                          <a:avLst/>
                          <a:gdLst>
                            <a:gd name="T0" fmla="+- 0 577 577"/>
                            <a:gd name="T1" fmla="*/ T0 w 10772"/>
                            <a:gd name="T2" fmla="+- 0 516 516"/>
                            <a:gd name="T3" fmla="*/ 516 h 11730"/>
                            <a:gd name="T4" fmla="+- 0 11349 577"/>
                            <a:gd name="T5" fmla="*/ T4 w 10772"/>
                            <a:gd name="T6" fmla="+- 0 516 516"/>
                            <a:gd name="T7" fmla="*/ 516 h 11730"/>
                            <a:gd name="T8" fmla="+- 0 11349 577"/>
                            <a:gd name="T9" fmla="*/ T8 w 10772"/>
                            <a:gd name="T10" fmla="+- 0 516 516"/>
                            <a:gd name="T11" fmla="*/ 516 h 11730"/>
                            <a:gd name="T12" fmla="+- 0 11349 577"/>
                            <a:gd name="T13" fmla="*/ T12 w 10772"/>
                            <a:gd name="T14" fmla="+- 0 12246 516"/>
                            <a:gd name="T15" fmla="*/ 12246 h 11730"/>
                            <a:gd name="T16" fmla="+- 0 577 577"/>
                            <a:gd name="T17" fmla="*/ T16 w 10772"/>
                            <a:gd name="T18" fmla="+- 0 12246 516"/>
                            <a:gd name="T19" fmla="*/ 12246 h 11730"/>
                            <a:gd name="T20" fmla="+- 0 11349 577"/>
                            <a:gd name="T21" fmla="*/ T20 w 10772"/>
                            <a:gd name="T22" fmla="+- 0 12246 516"/>
                            <a:gd name="T23" fmla="*/ 12246 h 11730"/>
                            <a:gd name="T24" fmla="+- 0 577 577"/>
                            <a:gd name="T25" fmla="*/ T24 w 10772"/>
                            <a:gd name="T26" fmla="+- 0 516 516"/>
                            <a:gd name="T27" fmla="*/ 516 h 11730"/>
                            <a:gd name="T28" fmla="+- 0 577 577"/>
                            <a:gd name="T29" fmla="*/ T28 w 10772"/>
                            <a:gd name="T30" fmla="+- 0 12246 516"/>
                            <a:gd name="T31" fmla="*/ 12246 h 117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0772" h="11730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  <a:moveTo>
                                <a:pt x="10772" y="0"/>
                              </a:moveTo>
                              <a:lnTo>
                                <a:pt x="10772" y="11730"/>
                              </a:lnTo>
                              <a:moveTo>
                                <a:pt x="0" y="11730"/>
                              </a:moveTo>
                              <a:lnTo>
                                <a:pt x="10772" y="11730"/>
                              </a:lnTo>
                              <a:moveTo>
                                <a:pt x="0" y="0"/>
                              </a:moveTo>
                              <a:lnTo>
                                <a:pt x="0" y="1173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7" o:spid="_x0000_s1026" style="position:absolute;margin-left:28.85pt;margin-top:25.8pt;width:538.6pt;height:586.5pt;z-index:-25381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17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" path="m,l10772,t,l10772,11730m,11730r10772,m,l,11730e" filled="f">
                <v:path arrowok="t" o:connecttype="custom" o:connectlocs="0,327660;6840220,327660;6840220,327660;6840220,7776210;0,7776210;6840220,7776210;0,327660;0,7776210" o:connectangles="0,0,0,0,0,0,0,0"/>
                <w10:wrap anchorx="page"/>
              </v:shape>
            </w:pict>
          </mc:Fallback>
        </mc:AlternateContent>
      </w:r>
      <w:r w:rsidR="006E5507">
        <w:t>a účtovných metód nie sú hodnoty za bezprostredne predchádzajúce účtovné obdobie v jednotlivých súčastiach účtovnej závierky porovnateľné, uvádza sa vysvetlenie o neporovnateľných hodnotách.</w:t>
      </w:r>
    </w:p>
    <w:p w:rsidR="00CB1E50" w:rsidRDefault="006E5507">
      <w:pPr>
        <w:pStyle w:val="BodyText"/>
        <w:spacing w:before="94" w:line="230" w:lineRule="exact"/>
        <w:ind w:left="163"/>
      </w:pPr>
      <w:r>
        <w:t>'1. - 7. Dlhodobý nehmotný majetok a dlhodobý hmotný majetok</w:t>
      </w:r>
    </w:p>
    <w:p w:rsidR="00CB1E50" w:rsidRDefault="006E5507">
      <w:pPr>
        <w:pStyle w:val="BodyText"/>
        <w:ind w:left="163" w:right="625"/>
      </w:pPr>
      <w:r>
        <w:t>Dlhodobý majetok nakupovaný sa oceňuje obstarávacou cenou, ktorá zahŕňa cenu obstarania a náklady súvisiace s obstaraním (clo, prepravu, montáž, poistné a pod.)</w:t>
      </w:r>
    </w:p>
    <w:p w:rsidR="00CB1E50" w:rsidRDefault="00CB1E50">
      <w:pPr>
        <w:pStyle w:val="BodyText"/>
        <w:spacing w:before="8"/>
        <w:rPr>
          <w:sz w:val="19"/>
        </w:rPr>
      </w:pPr>
    </w:p>
    <w:p w:rsidR="00CB1E50" w:rsidRDefault="006E5507">
      <w:pPr>
        <w:pStyle w:val="BodyText"/>
        <w:spacing w:before="1"/>
        <w:ind w:left="163"/>
      </w:pPr>
      <w:r>
        <w:t>Dlhodobý majetok Spoločnosť vlastnou činnosťou nevytvárala.</w:t>
      </w:r>
    </w:p>
    <w:p w:rsidR="00CB1E50" w:rsidRDefault="00CB1E50">
      <w:pPr>
        <w:pStyle w:val="BodyText"/>
        <w:spacing w:before="9"/>
        <w:rPr>
          <w:sz w:val="19"/>
        </w:rPr>
      </w:pPr>
    </w:p>
    <w:p w:rsidR="00CB1E50" w:rsidRDefault="006E5507">
      <w:pPr>
        <w:pStyle w:val="BodyText"/>
        <w:spacing w:before="1"/>
        <w:ind w:left="163"/>
      </w:pPr>
      <w:r>
        <w:t>Dlhodobý nehmotný majetok, ktorého obstarávacia cena je 2400 EUR a vyššia, Spoločnosť neeviduje.</w:t>
      </w:r>
    </w:p>
    <w:p w:rsidR="00CB1E50" w:rsidRDefault="00CB1E50">
      <w:pPr>
        <w:pStyle w:val="BodyText"/>
        <w:spacing w:before="9"/>
        <w:rPr>
          <w:sz w:val="19"/>
        </w:rPr>
      </w:pPr>
    </w:p>
    <w:p w:rsidR="00CB1E50" w:rsidRDefault="006E5507">
      <w:pPr>
        <w:pStyle w:val="BodyText"/>
        <w:ind w:left="163" w:right="776"/>
      </w:pPr>
      <w:r>
        <w:t xml:space="preserve">Drobný dlhodobý nehmotný majetok, ktorého obstarávacia cena je 2400 EUR a nižšia, sa odpisuje jednorázovo </w:t>
      </w:r>
      <w:r>
        <w:rPr>
          <w:spacing w:val="-6"/>
        </w:rPr>
        <w:t xml:space="preserve">pri </w:t>
      </w:r>
      <w:r>
        <w:t>obstaraní do používania na účet</w:t>
      </w:r>
      <w:r>
        <w:rPr>
          <w:spacing w:val="-1"/>
        </w:rPr>
        <w:t xml:space="preserve"> </w:t>
      </w:r>
      <w:r>
        <w:t>518.</w:t>
      </w:r>
    </w:p>
    <w:p w:rsidR="00CB1E50" w:rsidRDefault="00CB1E50">
      <w:pPr>
        <w:pStyle w:val="BodyText"/>
        <w:spacing w:before="9"/>
        <w:rPr>
          <w:sz w:val="19"/>
        </w:rPr>
      </w:pPr>
    </w:p>
    <w:p w:rsidR="00CB1E50" w:rsidRDefault="006E5507">
      <w:pPr>
        <w:pStyle w:val="BodyText"/>
        <w:spacing w:before="1"/>
        <w:ind w:left="163" w:right="889"/>
      </w:pPr>
      <w:r>
        <w:t xml:space="preserve">Drobný dlhodobý hmotný majetok, ktorého obstarávacia cena je 1700 EUR a nižšia, sa odpisuje jednorazovo </w:t>
      </w:r>
      <w:r>
        <w:rPr>
          <w:spacing w:val="-6"/>
        </w:rPr>
        <w:t xml:space="preserve">pri </w:t>
      </w:r>
      <w:r>
        <w:t>obstaraní do používania na účet</w:t>
      </w:r>
      <w:r>
        <w:rPr>
          <w:spacing w:val="-1"/>
        </w:rPr>
        <w:t xml:space="preserve"> </w:t>
      </w:r>
      <w:r>
        <w:t>501.</w:t>
      </w:r>
    </w:p>
    <w:p w:rsidR="00CB1E50" w:rsidRDefault="00CB1E50">
      <w:pPr>
        <w:pStyle w:val="BodyText"/>
        <w:spacing w:before="9"/>
        <w:rPr>
          <w:sz w:val="19"/>
        </w:rPr>
      </w:pPr>
    </w:p>
    <w:p w:rsidR="00CB1E50" w:rsidRDefault="006E5507">
      <w:pPr>
        <w:pStyle w:val="BodyText"/>
        <w:ind w:left="163" w:right="280"/>
      </w:pPr>
      <w:r>
        <w:t>8. Zásoby nakupované sa oceňujú obstarávacou cenou, ktorá zahŕňa cenu obstarania a náklady súvisiace s obstaraním (clo, prepravu, poistné, provízie , skonto a pod.). Nakupované zásoby pri výdaji zo skladu sa oceňujú váženým aritmetickým priemerom z obstarávacích cien.</w:t>
      </w:r>
    </w:p>
    <w:p w:rsidR="00CB1E50" w:rsidRDefault="00CB1E50">
      <w:pPr>
        <w:pStyle w:val="BodyText"/>
        <w:spacing w:before="8"/>
        <w:rPr>
          <w:sz w:val="19"/>
        </w:rPr>
      </w:pPr>
    </w:p>
    <w:p w:rsidR="00CB1E50" w:rsidRDefault="006E5507">
      <w:pPr>
        <w:pStyle w:val="BodyText"/>
        <w:ind w:left="163"/>
      </w:pPr>
      <w:r>
        <w:t>9.-10. Spoločnosť nevytvárala zásoby vlastnou činnosťou ani neobstarala iným spôsobom.</w:t>
      </w:r>
    </w:p>
    <w:p w:rsidR="00CB1E50" w:rsidRDefault="00CB1E50">
      <w:pPr>
        <w:pStyle w:val="BodyText"/>
        <w:spacing w:before="10"/>
        <w:rPr>
          <w:sz w:val="19"/>
        </w:rPr>
      </w:pPr>
    </w:p>
    <w:p w:rsidR="00CB1E50" w:rsidRDefault="006E5507">
      <w:pPr>
        <w:pStyle w:val="ListParagraph"/>
        <w:numPr>
          <w:ilvl w:val="0"/>
          <w:numId w:val="4"/>
        </w:numPr>
        <w:tabs>
          <w:tab w:val="left" w:pos="497"/>
        </w:tabs>
        <w:spacing w:line="230" w:lineRule="exact"/>
        <w:rPr>
          <w:sz w:val="20"/>
        </w:rPr>
      </w:pPr>
      <w:r>
        <w:rPr>
          <w:sz w:val="20"/>
        </w:rPr>
        <w:t>Zákazková výroba</w:t>
      </w:r>
    </w:p>
    <w:p w:rsidR="00CB1E50" w:rsidRDefault="006E5507">
      <w:pPr>
        <w:pStyle w:val="BodyText"/>
        <w:spacing w:line="230" w:lineRule="exact"/>
        <w:ind w:left="163"/>
      </w:pPr>
      <w:r>
        <w:t>Spoločnosť neuskutočňovala zákazkovú výrobu a ani neuskutočňuje zákazkovú výstavbu nehnuteľností.</w:t>
      </w:r>
    </w:p>
    <w:p w:rsidR="00CB1E50" w:rsidRDefault="00CB1E50">
      <w:pPr>
        <w:pStyle w:val="BodyText"/>
        <w:spacing w:before="10"/>
        <w:rPr>
          <w:sz w:val="19"/>
        </w:rPr>
      </w:pPr>
    </w:p>
    <w:p w:rsidR="00CB1E50" w:rsidRDefault="006E5507">
      <w:pPr>
        <w:pStyle w:val="ListParagraph"/>
        <w:numPr>
          <w:ilvl w:val="0"/>
          <w:numId w:val="4"/>
        </w:numPr>
        <w:tabs>
          <w:tab w:val="left" w:pos="497"/>
        </w:tabs>
        <w:spacing w:line="230" w:lineRule="exact"/>
        <w:rPr>
          <w:sz w:val="20"/>
        </w:rPr>
      </w:pPr>
      <w:r>
        <w:rPr>
          <w:sz w:val="20"/>
        </w:rPr>
        <w:t>Pohľadávky</w:t>
      </w:r>
    </w:p>
    <w:p w:rsidR="00CB1E50" w:rsidRDefault="006E5507">
      <w:pPr>
        <w:pStyle w:val="BodyText"/>
        <w:ind w:left="163" w:right="497"/>
      </w:pPr>
      <w:r>
        <w:t>Pohľadávky pri ich vzniku sa oceňujú ich menovitou hodnotou. Toto ocenenie sa znižuje o pochybné a nevymožiteľné pohľadávky tvorbou opravnej položky k pohľadávkam.</w:t>
      </w:r>
    </w:p>
    <w:p w:rsidR="00CB1E50" w:rsidRDefault="00CB1E50">
      <w:pPr>
        <w:pStyle w:val="BodyText"/>
        <w:spacing w:before="9"/>
        <w:rPr>
          <w:sz w:val="19"/>
        </w:rPr>
      </w:pPr>
    </w:p>
    <w:p w:rsidR="00CB1E50" w:rsidRDefault="006E5507">
      <w:pPr>
        <w:pStyle w:val="ListParagraph"/>
        <w:numPr>
          <w:ilvl w:val="0"/>
          <w:numId w:val="3"/>
        </w:numPr>
        <w:tabs>
          <w:tab w:val="left" w:pos="497"/>
        </w:tabs>
        <w:ind w:right="588" w:firstLine="0"/>
        <w:rPr>
          <w:sz w:val="20"/>
        </w:rPr>
      </w:pPr>
      <w:r>
        <w:rPr>
          <w:sz w:val="20"/>
        </w:rPr>
        <w:t xml:space="preserve">Náklady budúcich období a príjmy budúcich období sa vykazujú vo výške, ktorá je potrebná na dodržanie </w:t>
      </w:r>
      <w:r>
        <w:rPr>
          <w:spacing w:val="-3"/>
          <w:sz w:val="20"/>
        </w:rPr>
        <w:t xml:space="preserve">zásady </w:t>
      </w:r>
      <w:r>
        <w:rPr>
          <w:sz w:val="20"/>
        </w:rPr>
        <w:t>vecnej a časovej súvislosti s účtovným</w:t>
      </w:r>
      <w:r>
        <w:rPr>
          <w:spacing w:val="-1"/>
          <w:sz w:val="20"/>
        </w:rPr>
        <w:t xml:space="preserve"> </w:t>
      </w:r>
      <w:r>
        <w:rPr>
          <w:sz w:val="20"/>
        </w:rPr>
        <w:t>obdobím.</w:t>
      </w:r>
    </w:p>
    <w:p w:rsidR="00CB1E50" w:rsidRDefault="00CB1E50">
      <w:pPr>
        <w:pStyle w:val="BodyText"/>
        <w:rPr>
          <w:sz w:val="22"/>
        </w:rPr>
      </w:pPr>
    </w:p>
    <w:p w:rsidR="00CB1E50" w:rsidRDefault="00CB1E50">
      <w:pPr>
        <w:pStyle w:val="BodyText"/>
        <w:spacing w:before="8"/>
        <w:rPr>
          <w:sz w:val="17"/>
        </w:rPr>
      </w:pPr>
    </w:p>
    <w:p w:rsidR="00CB1E50" w:rsidRDefault="006E5507">
      <w:pPr>
        <w:pStyle w:val="ListParagraph"/>
        <w:numPr>
          <w:ilvl w:val="0"/>
          <w:numId w:val="3"/>
        </w:numPr>
        <w:tabs>
          <w:tab w:val="left" w:pos="497"/>
        </w:tabs>
        <w:ind w:right="301" w:firstLine="0"/>
        <w:rPr>
          <w:sz w:val="20"/>
        </w:rPr>
      </w:pPr>
      <w:r>
        <w:rPr>
          <w:sz w:val="20"/>
        </w:rPr>
        <w:t xml:space="preserve">Rezervy sú záväzky s neurčitým časovým vymedzením alebo výškou , tvoria sa na krytie známych rizík alebo strát </w:t>
      </w:r>
      <w:r>
        <w:rPr>
          <w:spacing w:val="-18"/>
          <w:sz w:val="20"/>
        </w:rPr>
        <w:t xml:space="preserve">z </w:t>
      </w:r>
      <w:r>
        <w:rPr>
          <w:sz w:val="20"/>
        </w:rPr>
        <w:t>podnikania. Oceňujú sa v očakávanej výške</w:t>
      </w:r>
      <w:r>
        <w:rPr>
          <w:spacing w:val="-1"/>
          <w:sz w:val="20"/>
        </w:rPr>
        <w:t xml:space="preserve"> </w:t>
      </w:r>
      <w:r>
        <w:rPr>
          <w:sz w:val="20"/>
        </w:rPr>
        <w:t>záväzku.</w:t>
      </w:r>
    </w:p>
    <w:p w:rsidR="00CB1E50" w:rsidRDefault="00CB1E50">
      <w:pPr>
        <w:pStyle w:val="BodyText"/>
        <w:spacing w:before="9"/>
        <w:rPr>
          <w:sz w:val="19"/>
        </w:rPr>
      </w:pPr>
    </w:p>
    <w:p w:rsidR="00CB1E50" w:rsidRDefault="006E5507">
      <w:pPr>
        <w:pStyle w:val="ListParagraph"/>
        <w:numPr>
          <w:ilvl w:val="0"/>
          <w:numId w:val="3"/>
        </w:numPr>
        <w:tabs>
          <w:tab w:val="left" w:pos="497"/>
        </w:tabs>
        <w:ind w:right="478" w:firstLine="0"/>
        <w:rPr>
          <w:sz w:val="20"/>
        </w:rPr>
      </w:pPr>
      <w:r>
        <w:rPr>
          <w:sz w:val="20"/>
        </w:rPr>
        <w:t xml:space="preserve">Výdavky budúcich období a výnosy budúcich období sa vykazujú vo výške, ktorá je potrebná na dodržanie </w:t>
      </w:r>
      <w:r>
        <w:rPr>
          <w:spacing w:val="-4"/>
          <w:sz w:val="20"/>
        </w:rPr>
        <w:t xml:space="preserve">zásady </w:t>
      </w:r>
      <w:r>
        <w:rPr>
          <w:sz w:val="20"/>
        </w:rPr>
        <w:t>vecnej a časovej súvislosti s</w:t>
      </w:r>
      <w:r>
        <w:rPr>
          <w:spacing w:val="-1"/>
          <w:sz w:val="20"/>
        </w:rPr>
        <w:t xml:space="preserve"> </w:t>
      </w:r>
      <w:r>
        <w:rPr>
          <w:sz w:val="20"/>
        </w:rPr>
        <w:t>účtovným</w:t>
      </w:r>
    </w:p>
    <w:p w:rsidR="00CB1E50" w:rsidRDefault="006E5507">
      <w:pPr>
        <w:pStyle w:val="BodyText"/>
        <w:spacing w:line="228" w:lineRule="exact"/>
        <w:ind w:left="163"/>
      </w:pPr>
      <w:r>
        <w:t>obdobím.</w:t>
      </w:r>
    </w:p>
    <w:p w:rsidR="00CB1E50" w:rsidRDefault="00CB1E50">
      <w:pPr>
        <w:pStyle w:val="BodyText"/>
        <w:spacing w:before="10"/>
        <w:rPr>
          <w:sz w:val="19"/>
        </w:rPr>
      </w:pPr>
    </w:p>
    <w:p w:rsidR="00CB1E50" w:rsidRDefault="006E5507">
      <w:pPr>
        <w:pStyle w:val="ListParagraph"/>
        <w:numPr>
          <w:ilvl w:val="0"/>
          <w:numId w:val="3"/>
        </w:numPr>
        <w:tabs>
          <w:tab w:val="left" w:pos="497"/>
        </w:tabs>
        <w:spacing w:line="230" w:lineRule="exact"/>
        <w:ind w:left="497"/>
        <w:rPr>
          <w:sz w:val="20"/>
        </w:rPr>
      </w:pPr>
      <w:r>
        <w:rPr>
          <w:sz w:val="20"/>
        </w:rPr>
        <w:t>Deriváty</w:t>
      </w:r>
    </w:p>
    <w:p w:rsidR="00CB1E50" w:rsidRDefault="006E5507">
      <w:pPr>
        <w:pStyle w:val="BodyText"/>
        <w:spacing w:line="230" w:lineRule="exact"/>
        <w:ind w:left="163"/>
      </w:pPr>
      <w:r>
        <w:t>Spoločnosť o derivátoch neúčtuje.</w:t>
      </w:r>
    </w:p>
    <w:p w:rsidR="00CB1E50" w:rsidRDefault="00CB1E50">
      <w:pPr>
        <w:pStyle w:val="BodyText"/>
        <w:spacing w:before="10"/>
        <w:rPr>
          <w:sz w:val="19"/>
        </w:rPr>
      </w:pPr>
    </w:p>
    <w:p w:rsidR="00CB1E50" w:rsidRDefault="006E5507">
      <w:pPr>
        <w:pStyle w:val="ListParagraph"/>
        <w:numPr>
          <w:ilvl w:val="0"/>
          <w:numId w:val="3"/>
        </w:numPr>
        <w:tabs>
          <w:tab w:val="left" w:pos="497"/>
        </w:tabs>
        <w:spacing w:line="230" w:lineRule="exact"/>
        <w:ind w:left="497"/>
        <w:rPr>
          <w:sz w:val="20"/>
        </w:rPr>
      </w:pPr>
      <w:r>
        <w:rPr>
          <w:sz w:val="20"/>
        </w:rPr>
        <w:t>Majetok a záväzky zabezpečené</w:t>
      </w:r>
      <w:r>
        <w:rPr>
          <w:spacing w:val="-1"/>
          <w:sz w:val="20"/>
        </w:rPr>
        <w:t xml:space="preserve"> </w:t>
      </w:r>
      <w:r>
        <w:rPr>
          <w:sz w:val="20"/>
        </w:rPr>
        <w:t>derivátmi</w:t>
      </w:r>
    </w:p>
    <w:p w:rsidR="00CB1E50" w:rsidRDefault="006E5507">
      <w:pPr>
        <w:pStyle w:val="BodyText"/>
        <w:spacing w:line="230" w:lineRule="exact"/>
        <w:ind w:left="163"/>
      </w:pPr>
      <w:r>
        <w:t>Spoločnosť nemá anji majetok ani záväzky zabezpečené derivátmi.</w:t>
      </w:r>
    </w:p>
    <w:p w:rsidR="00CB1E50" w:rsidRDefault="00CB1E50">
      <w:pPr>
        <w:pStyle w:val="BodyText"/>
        <w:spacing w:before="10"/>
        <w:rPr>
          <w:sz w:val="19"/>
        </w:rPr>
      </w:pPr>
    </w:p>
    <w:p w:rsidR="00CB1E50" w:rsidRDefault="006E5507">
      <w:pPr>
        <w:pStyle w:val="ListParagraph"/>
        <w:numPr>
          <w:ilvl w:val="0"/>
          <w:numId w:val="3"/>
        </w:numPr>
        <w:tabs>
          <w:tab w:val="left" w:pos="497"/>
        </w:tabs>
        <w:spacing w:line="230" w:lineRule="exact"/>
        <w:ind w:left="497"/>
        <w:rPr>
          <w:sz w:val="20"/>
        </w:rPr>
      </w:pPr>
      <w:r>
        <w:rPr>
          <w:sz w:val="20"/>
        </w:rPr>
        <w:t>Prenajatý majetok a majetok obstaraný na základe zmluvy o kúpe prenajatej</w:t>
      </w:r>
      <w:r>
        <w:rPr>
          <w:spacing w:val="-1"/>
          <w:sz w:val="20"/>
        </w:rPr>
        <w:t xml:space="preserve"> </w:t>
      </w:r>
      <w:r>
        <w:rPr>
          <w:sz w:val="20"/>
        </w:rPr>
        <w:t>veci</w:t>
      </w:r>
    </w:p>
    <w:p w:rsidR="00CB1E50" w:rsidRDefault="006E5507">
      <w:pPr>
        <w:pStyle w:val="BodyText"/>
        <w:spacing w:line="230" w:lineRule="exact"/>
        <w:ind w:left="163"/>
      </w:pPr>
      <w:r>
        <w:t>Spoločnosť neprenajímala majetok prenajatý na základe ani finančného ani operatívneho prenájmu (lízingu).</w:t>
      </w:r>
    </w:p>
    <w:p w:rsidR="00CB1E50" w:rsidRDefault="00CB1E50">
      <w:pPr>
        <w:pStyle w:val="BodyText"/>
        <w:spacing w:before="10"/>
        <w:rPr>
          <w:sz w:val="19"/>
        </w:rPr>
      </w:pPr>
    </w:p>
    <w:p w:rsidR="00CB1E50" w:rsidRPr="00B430CA" w:rsidRDefault="006E5507" w:rsidP="00B430CA">
      <w:pPr>
        <w:pStyle w:val="ListParagraph"/>
        <w:numPr>
          <w:ilvl w:val="0"/>
          <w:numId w:val="3"/>
        </w:numPr>
        <w:tabs>
          <w:tab w:val="left" w:pos="497"/>
        </w:tabs>
        <w:spacing w:line="717" w:lineRule="auto"/>
        <w:ind w:right="6116" w:firstLine="0"/>
        <w:rPr>
          <w:sz w:val="20"/>
        </w:rPr>
        <w:sectPr w:rsidR="00CB1E50" w:rsidRPr="00B430CA">
          <w:type w:val="continuous"/>
          <w:pgSz w:w="11910" w:h="16850"/>
          <w:pgMar w:top="540" w:right="380" w:bottom="280" w:left="460" w:header="708" w:footer="708" w:gutter="0"/>
          <w:cols w:space="708"/>
        </w:sectPr>
      </w:pPr>
      <w:r>
        <w:rPr>
          <w:sz w:val="20"/>
        </w:rPr>
        <w:t xml:space="preserve">Spoločnosť nemá majetok obstaraný v </w:t>
      </w:r>
      <w:r>
        <w:rPr>
          <w:spacing w:val="-2"/>
          <w:sz w:val="20"/>
        </w:rPr>
        <w:t xml:space="preserve">privatizácii. </w:t>
      </w:r>
    </w:p>
    <w:p w:rsidR="00CB1E50" w:rsidRDefault="00152905" w:rsidP="00065E6E">
      <w:pPr>
        <w:pStyle w:val="BodyText"/>
        <w:spacing w:before="64"/>
        <w:ind w:left="1440"/>
        <w:jc w:val="right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0" t="0" r="0" b="0"/>
                <wp:wrapNone/>
                <wp:docPr id="15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B1E50" w:rsidRDefault="006E5507">
                            <w:pPr>
                              <w:pStyle w:val="BodyText"/>
                              <w:spacing w:before="44"/>
                              <w:ind w:left="38"/>
                            </w:pPr>
                            <w:r>
                              <w:t xml:space="preserve">Poznámky Úč MÚJ </w:t>
                            </w:r>
                            <w:r w:rsidR="00065E6E">
                              <w:t>Aurora</w:t>
                            </w:r>
                            <w:r w:rsidR="00065E6E"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30" type="#_x0000_t202" style="position:absolute;left:0;text-align:left;margin-left:28.85pt;margin-top:.6pt;width:124.75pt;height:17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" filled="f">
                <v:textbox inset="0,0,0,0">
                  <w:txbxContent>
                    <w:p w:rsidR="00CB1E50" w:rsidRDefault="006E5507">
                      <w:pPr>
                        <w:pStyle w:val="Zkladntext"/>
                        <w:spacing w:before="44"/>
                        <w:ind w:left="38"/>
                      </w:pPr>
                      <w:r>
                        <w:t xml:space="preserve">Poznámky Úč MÚJ </w:t>
                      </w:r>
                      <w:r w:rsidR="00065E6E">
                        <w:t>Aurora</w:t>
                      </w:r>
                      <w:r w:rsidR="00065E6E">
                        <w:tab/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065E6E" w:rsidRDefault="00065E6E">
      <w:pPr>
        <w:pStyle w:val="BodyText"/>
        <w:spacing w:before="64"/>
        <w:jc w:val="right"/>
      </w:pPr>
    </w:p>
    <w:p w:rsidR="00CB1E50" w:rsidRDefault="006E5507">
      <w:pPr>
        <w:spacing w:before="64"/>
        <w:jc w:val="right"/>
        <w:rPr>
          <w:sz w:val="20"/>
        </w:rPr>
      </w:pPr>
      <w:r>
        <w:br w:type="column"/>
      </w:r>
    </w:p>
    <w:p w:rsidR="00CB1E50" w:rsidRDefault="006E5507">
      <w:pPr>
        <w:pStyle w:val="BodyText"/>
        <w:spacing w:before="64"/>
        <w:ind w:right="252"/>
        <w:jc w:val="right"/>
      </w:pPr>
      <w:r>
        <w:br w:type="column"/>
      </w:r>
      <w:r>
        <w:lastRenderedPageBreak/>
        <w:t>str.3</w:t>
      </w:r>
    </w:p>
    <w:p w:rsidR="00CB1E50" w:rsidRDefault="00CB1E50">
      <w:pPr>
        <w:jc w:val="right"/>
        <w:sectPr w:rsidR="00CB1E50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CB1E50" w:rsidRDefault="00CB1E50">
      <w:pPr>
        <w:pStyle w:val="BodyText"/>
        <w:spacing w:before="4"/>
        <w:rPr>
          <w:sz w:val="10"/>
        </w:rPr>
      </w:pPr>
    </w:p>
    <w:p w:rsidR="00CB1E50" w:rsidRDefault="006E5507">
      <w:pPr>
        <w:spacing w:before="34"/>
        <w:ind w:left="163"/>
        <w:rPr>
          <w:sz w:val="20"/>
        </w:rPr>
      </w:pPr>
      <w:r>
        <w:rPr>
          <w:b/>
          <w:sz w:val="20"/>
        </w:rPr>
        <w:t>Čl.III - t)</w:t>
      </w:r>
      <w:r>
        <w:rPr>
          <w:sz w:val="20"/>
        </w:rPr>
        <w:t>zložkách krátkodobého finančného majetku,</w:t>
      </w:r>
    </w:p>
    <w:p w:rsidR="00CB1E50" w:rsidRDefault="006E5507">
      <w:pPr>
        <w:pStyle w:val="Heading1"/>
        <w:spacing w:before="53" w:after="5"/>
      </w:pPr>
      <w:r>
        <w:t>Tabuľka 21: Informácie k Čl. III odst.1 písm t) o krátkodobom finančnom majetku</w:t>
      </w:r>
    </w:p>
    <w:tbl>
      <w:tblPr>
        <w:tblStyle w:val="TableNormal1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80"/>
        <w:gridCol w:w="2779"/>
      </w:tblGrid>
      <w:tr w:rsidR="00CB1E50">
        <w:trPr>
          <w:trHeight w:val="551"/>
        </w:trPr>
        <w:tc>
          <w:tcPr>
            <w:tcW w:w="5216" w:type="dxa"/>
          </w:tcPr>
          <w:p w:rsidR="00CB1E50" w:rsidRDefault="006E5507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80" w:type="dxa"/>
          </w:tcPr>
          <w:p w:rsidR="00CB1E50" w:rsidRDefault="006E5507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9" w:type="dxa"/>
          </w:tcPr>
          <w:p w:rsidR="00CB1E50" w:rsidRDefault="006E5507">
            <w:pPr>
              <w:pStyle w:val="TableParagraph"/>
              <w:spacing w:before="63" w:line="242" w:lineRule="auto"/>
              <w:ind w:left="650" w:right="43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B1E50">
        <w:trPr>
          <w:trHeight w:val="268"/>
        </w:trPr>
        <w:tc>
          <w:tcPr>
            <w:tcW w:w="5216" w:type="dxa"/>
          </w:tcPr>
          <w:p w:rsidR="00CB1E50" w:rsidRDefault="006E5507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Pokladnica, ceniny</w:t>
            </w:r>
          </w:p>
        </w:tc>
        <w:tc>
          <w:tcPr>
            <w:tcW w:w="2780" w:type="dxa"/>
          </w:tcPr>
          <w:p w:rsidR="00CB1E50" w:rsidRDefault="00B430CA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1</w:t>
            </w:r>
          </w:p>
        </w:tc>
        <w:tc>
          <w:tcPr>
            <w:tcW w:w="2779" w:type="dxa"/>
          </w:tcPr>
          <w:p w:rsidR="00CB1E50" w:rsidRDefault="00B430CA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B1E50">
        <w:trPr>
          <w:trHeight w:val="268"/>
        </w:trPr>
        <w:tc>
          <w:tcPr>
            <w:tcW w:w="5216" w:type="dxa"/>
          </w:tcPr>
          <w:p w:rsidR="00CB1E50" w:rsidRDefault="006E5507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Bežné účty v banke alebo v pobočke zahraničnej banky</w:t>
            </w:r>
          </w:p>
        </w:tc>
        <w:tc>
          <w:tcPr>
            <w:tcW w:w="2780" w:type="dxa"/>
          </w:tcPr>
          <w:p w:rsidR="00CB1E50" w:rsidRDefault="00B430CA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9" w:type="dxa"/>
          </w:tcPr>
          <w:p w:rsidR="00CB1E50" w:rsidRDefault="00B430CA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B1E50">
        <w:trPr>
          <w:trHeight w:val="435"/>
        </w:trPr>
        <w:tc>
          <w:tcPr>
            <w:tcW w:w="5216" w:type="dxa"/>
            <w:tcBorders>
              <w:bottom w:val="single" w:sz="12" w:space="0" w:color="000000"/>
            </w:tcBorders>
          </w:tcPr>
          <w:p w:rsidR="00CB1E50" w:rsidRDefault="006E5507">
            <w:pPr>
              <w:pStyle w:val="TableParagraph"/>
              <w:spacing w:before="4" w:line="210" w:lineRule="atLeast"/>
              <w:ind w:left="46" w:right="472"/>
              <w:jc w:val="left"/>
              <w:rPr>
                <w:sz w:val="18"/>
              </w:rPr>
            </w:pPr>
            <w:r>
              <w:rPr>
                <w:sz w:val="18"/>
              </w:rPr>
              <w:t>Vkladové účty v banke alebo v pobočke zahraničnej banky termínované</w:t>
            </w:r>
          </w:p>
        </w:tc>
        <w:tc>
          <w:tcPr>
            <w:tcW w:w="2780" w:type="dxa"/>
            <w:tcBorders>
              <w:bottom w:val="single" w:sz="12" w:space="0" w:color="000000"/>
            </w:tcBorders>
          </w:tcPr>
          <w:p w:rsidR="00CB1E50" w:rsidRDefault="006E5507">
            <w:pPr>
              <w:pStyle w:val="TableParagraph"/>
              <w:spacing w:before="112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9" w:type="dxa"/>
            <w:tcBorders>
              <w:bottom w:val="single" w:sz="12" w:space="0" w:color="000000"/>
            </w:tcBorders>
          </w:tcPr>
          <w:p w:rsidR="00CB1E50" w:rsidRDefault="006E5507">
            <w:pPr>
              <w:pStyle w:val="TableParagraph"/>
              <w:spacing w:before="112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>
        <w:trPr>
          <w:trHeight w:val="266"/>
        </w:trPr>
        <w:tc>
          <w:tcPr>
            <w:tcW w:w="5216" w:type="dxa"/>
            <w:tcBorders>
              <w:top w:val="single" w:sz="12" w:space="0" w:color="000000"/>
            </w:tcBorders>
          </w:tcPr>
          <w:p w:rsidR="00CB1E50" w:rsidRDefault="006E5507">
            <w:pPr>
              <w:pStyle w:val="TableParagraph"/>
              <w:spacing w:before="24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Peniaze na ceste</w:t>
            </w:r>
          </w:p>
        </w:tc>
        <w:tc>
          <w:tcPr>
            <w:tcW w:w="2780" w:type="dxa"/>
            <w:tcBorders>
              <w:top w:val="single" w:sz="12" w:space="0" w:color="000000"/>
            </w:tcBorders>
          </w:tcPr>
          <w:p w:rsidR="00CB1E50" w:rsidRDefault="006E5507">
            <w:pPr>
              <w:pStyle w:val="TableParagraph"/>
              <w:spacing w:before="24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9" w:type="dxa"/>
            <w:tcBorders>
              <w:top w:val="single" w:sz="12" w:space="0" w:color="000000"/>
            </w:tcBorders>
          </w:tcPr>
          <w:p w:rsidR="00CB1E50" w:rsidRDefault="006E5507">
            <w:pPr>
              <w:pStyle w:val="TableParagraph"/>
              <w:spacing w:before="24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>
        <w:trPr>
          <w:trHeight w:val="281"/>
        </w:trPr>
        <w:tc>
          <w:tcPr>
            <w:tcW w:w="5216" w:type="dxa"/>
            <w:tcBorders>
              <w:bottom w:val="double" w:sz="2" w:space="0" w:color="000000"/>
            </w:tcBorders>
          </w:tcPr>
          <w:p w:rsidR="00CB1E50" w:rsidRDefault="006E5507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80" w:type="dxa"/>
            <w:tcBorders>
              <w:bottom w:val="double" w:sz="2" w:space="0" w:color="000000"/>
            </w:tcBorders>
          </w:tcPr>
          <w:p w:rsidR="00CB1E50" w:rsidRDefault="00B430CA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1</w:t>
            </w:r>
          </w:p>
        </w:tc>
        <w:tc>
          <w:tcPr>
            <w:tcW w:w="2779" w:type="dxa"/>
            <w:tcBorders>
              <w:bottom w:val="double" w:sz="2" w:space="0" w:color="000000"/>
            </w:tcBorders>
          </w:tcPr>
          <w:p w:rsidR="00CB1E50" w:rsidRDefault="00B430CA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:rsidR="00CB1E50" w:rsidRDefault="00CB1E50">
      <w:pPr>
        <w:rPr>
          <w:sz w:val="18"/>
        </w:rPr>
      </w:pPr>
    </w:p>
    <w:p w:rsidR="00065E6E" w:rsidRDefault="00065E6E">
      <w:pPr>
        <w:rPr>
          <w:sz w:val="18"/>
        </w:rPr>
      </w:pPr>
    </w:p>
    <w:p w:rsidR="00065E6E" w:rsidRDefault="00065E6E">
      <w:pPr>
        <w:rPr>
          <w:sz w:val="18"/>
        </w:rPr>
      </w:pPr>
    </w:p>
    <w:p w:rsidR="00065E6E" w:rsidRDefault="00065E6E" w:rsidP="00065E6E">
      <w:pPr>
        <w:spacing w:before="34" w:line="230" w:lineRule="exact"/>
        <w:ind w:left="163"/>
        <w:rPr>
          <w:sz w:val="20"/>
        </w:rPr>
      </w:pPr>
      <w:r>
        <w:rPr>
          <w:b/>
          <w:sz w:val="20"/>
        </w:rPr>
        <w:t>Čl.III - (2) - c)</w:t>
      </w:r>
      <w:r>
        <w:rPr>
          <w:sz w:val="20"/>
        </w:rPr>
        <w:t>výške záväzkov do lehoty splatnosti a po lehote splatnosti,</w:t>
      </w:r>
    </w:p>
    <w:p w:rsidR="00065E6E" w:rsidRDefault="00065E6E" w:rsidP="00065E6E">
      <w:pPr>
        <w:pStyle w:val="BodyText"/>
        <w:ind w:left="385" w:hanging="223"/>
      </w:pPr>
      <w:r>
        <w:rPr>
          <w:b/>
        </w:rPr>
        <w:t>Čl.III - (2) - d)</w:t>
      </w:r>
      <w:r>
        <w:t>štruktúre záväzkov podľa zostatkovej doby splatnosti v členení v nadväznosti na položky súvahy; uvádza sa hodnota záväzkov so zostatkovou dobou splatnosti viac ako päť rokov,</w:t>
      </w:r>
    </w:p>
    <w:p w:rsidR="00065E6E" w:rsidRDefault="00065E6E" w:rsidP="00065E6E">
      <w:pPr>
        <w:pStyle w:val="Heading1"/>
        <w:spacing w:after="7" w:line="218" w:lineRule="exact"/>
      </w:pPr>
      <w:r>
        <w:t>Tabuľka 26: Informácie k Čl. III odst. 2 písm. c) a d) o záväzkoch</w:t>
      </w:r>
    </w:p>
    <w:tbl>
      <w:tblPr>
        <w:tblStyle w:val="TableNormal1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65E6E" w:rsidTr="00A40ADB">
        <w:trPr>
          <w:trHeight w:val="551"/>
        </w:trPr>
        <w:tc>
          <w:tcPr>
            <w:tcW w:w="5216" w:type="dxa"/>
          </w:tcPr>
          <w:p w:rsidR="00065E6E" w:rsidRDefault="00065E6E" w:rsidP="00A40ADB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65E6E" w:rsidTr="00A40ADB">
        <w:trPr>
          <w:trHeight w:val="268"/>
        </w:trPr>
        <w:tc>
          <w:tcPr>
            <w:tcW w:w="5216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:rsidTr="00A40ADB">
        <w:trPr>
          <w:trHeight w:val="268"/>
        </w:trPr>
        <w:tc>
          <w:tcPr>
            <w:tcW w:w="5216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:rsidTr="00A40ADB">
        <w:trPr>
          <w:trHeight w:val="268"/>
        </w:trPr>
        <w:tc>
          <w:tcPr>
            <w:tcW w:w="5216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:rsidTr="00A40ADB">
        <w:trPr>
          <w:trHeight w:val="268"/>
        </w:trPr>
        <w:tc>
          <w:tcPr>
            <w:tcW w:w="5216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1041,31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:rsidTr="00A40ADB">
        <w:trPr>
          <w:trHeight w:val="438"/>
        </w:trPr>
        <w:tc>
          <w:tcPr>
            <w:tcW w:w="5216" w:type="dxa"/>
          </w:tcPr>
          <w:p w:rsidR="00065E6E" w:rsidRDefault="00065E6E" w:rsidP="00A40ADB">
            <w:pPr>
              <w:pStyle w:val="TableParagraph"/>
              <w:spacing w:before="4" w:line="210" w:lineRule="atLeast"/>
              <w:ind w:left="46" w:right="512"/>
              <w:jc w:val="left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spacing w:before="112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1041,31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spacing w:before="112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:rsidTr="00A40ADB">
        <w:trPr>
          <w:trHeight w:val="268"/>
        </w:trPr>
        <w:tc>
          <w:tcPr>
            <w:tcW w:w="5216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065E6E" w:rsidRDefault="00065E6E">
      <w:pPr>
        <w:rPr>
          <w:sz w:val="18"/>
        </w:rPr>
      </w:pPr>
    </w:p>
    <w:p w:rsidR="00065E6E" w:rsidRDefault="00065E6E">
      <w:pPr>
        <w:rPr>
          <w:sz w:val="18"/>
        </w:rPr>
      </w:pPr>
    </w:p>
    <w:p w:rsidR="00065E6E" w:rsidRDefault="00065E6E" w:rsidP="00065E6E">
      <w:pPr>
        <w:pStyle w:val="Heading1"/>
        <w:spacing w:before="10" w:after="5"/>
      </w:pPr>
      <w:r>
        <w:t>Tabuľka 33: Informácia k Čl. III odst. 5 písm a) až g) o daniach z príjmov</w:t>
      </w:r>
    </w:p>
    <w:tbl>
      <w:tblPr>
        <w:tblStyle w:val="TableNormal1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81"/>
        <w:gridCol w:w="1644"/>
        <w:gridCol w:w="1644"/>
        <w:gridCol w:w="907"/>
        <w:gridCol w:w="1644"/>
        <w:gridCol w:w="1644"/>
        <w:gridCol w:w="907"/>
      </w:tblGrid>
      <w:tr w:rsidR="00065E6E" w:rsidTr="00A40ADB">
        <w:trPr>
          <w:trHeight w:val="495"/>
        </w:trPr>
        <w:tc>
          <w:tcPr>
            <w:tcW w:w="2381" w:type="dxa"/>
            <w:vMerge w:val="restart"/>
          </w:tcPr>
          <w:p w:rsidR="00065E6E" w:rsidRDefault="00065E6E" w:rsidP="00A40ADB">
            <w:pPr>
              <w:pStyle w:val="TableParagraph"/>
              <w:spacing w:before="2"/>
              <w:jc w:val="left"/>
              <w:rPr>
                <w:b/>
                <w:sz w:val="25"/>
              </w:rPr>
            </w:pPr>
          </w:p>
          <w:p w:rsidR="00065E6E" w:rsidRDefault="00065E6E" w:rsidP="00A40ADB">
            <w:pPr>
              <w:pStyle w:val="TableParagraph"/>
              <w:spacing w:before="1" w:line="242" w:lineRule="auto"/>
              <w:ind w:left="844" w:right="849" w:hanging="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195" w:type="dxa"/>
            <w:gridSpan w:val="3"/>
          </w:tcPr>
          <w:p w:rsidR="00065E6E" w:rsidRDefault="00065E6E" w:rsidP="00A40ADB">
            <w:pPr>
              <w:pStyle w:val="TableParagraph"/>
              <w:spacing w:before="140"/>
              <w:ind w:left="107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4195" w:type="dxa"/>
            <w:gridSpan w:val="3"/>
          </w:tcPr>
          <w:p w:rsidR="00065E6E" w:rsidRDefault="00065E6E" w:rsidP="00A40ADB">
            <w:pPr>
              <w:pStyle w:val="TableParagraph"/>
              <w:spacing w:before="35" w:line="242" w:lineRule="auto"/>
              <w:ind w:left="1760" w:right="375" w:hanging="138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65E6E" w:rsidTr="00A40ADB">
        <w:trPr>
          <w:trHeight w:val="495"/>
        </w:trPr>
        <w:tc>
          <w:tcPr>
            <w:tcW w:w="2381" w:type="dxa"/>
            <w:vMerge/>
            <w:tcBorders>
              <w:top w:val="nil"/>
            </w:tcBorders>
          </w:tcPr>
          <w:p w:rsidR="00065E6E" w:rsidRDefault="00065E6E" w:rsidP="00A40ADB"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spacing w:before="140"/>
              <w:ind w:left="28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spacing w:before="140"/>
              <w:ind w:left="105" w:right="1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Daň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spacing w:before="35" w:line="242" w:lineRule="auto"/>
              <w:ind w:left="288" w:right="263" w:hanging="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Daň v %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spacing w:before="140"/>
              <w:ind w:left="28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spacing w:before="140"/>
              <w:ind w:left="105" w:right="1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Daň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spacing w:before="35" w:line="242" w:lineRule="auto"/>
              <w:ind w:left="289" w:right="262" w:hanging="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Daň v %</w:t>
            </w:r>
          </w:p>
        </w:tc>
      </w:tr>
      <w:tr w:rsidR="00065E6E" w:rsidTr="00A40ADB">
        <w:trPr>
          <w:trHeight w:val="268"/>
        </w:trPr>
        <w:tc>
          <w:tcPr>
            <w:tcW w:w="2381" w:type="dxa"/>
          </w:tcPr>
          <w:p w:rsidR="00065E6E" w:rsidRDefault="00065E6E" w:rsidP="00A40ADB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ind w:left="389"/>
              <w:jc w:val="left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ind w:left="389"/>
              <w:jc w:val="left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065E6E" w:rsidTr="00A40ADB">
        <w:trPr>
          <w:trHeight w:val="551"/>
        </w:trPr>
        <w:tc>
          <w:tcPr>
            <w:tcW w:w="2381" w:type="dxa"/>
          </w:tcPr>
          <w:p w:rsidR="00065E6E" w:rsidRDefault="00065E6E" w:rsidP="00A40ADB">
            <w:pPr>
              <w:pStyle w:val="TableParagraph"/>
              <w:spacing w:before="63" w:line="242" w:lineRule="auto"/>
              <w:ind w:left="46" w:right="18"/>
              <w:jc w:val="left"/>
              <w:rPr>
                <w:sz w:val="18"/>
              </w:rPr>
            </w:pPr>
            <w:r>
              <w:rPr>
                <w:sz w:val="18"/>
              </w:rPr>
              <w:t>Výsledok hospodárenia pred zdanením, z toho: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spacing w:before="168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-1041,31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spacing w:before="168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spacing w:before="168"/>
              <w:ind w:left="396"/>
              <w:jc w:val="lef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:rsidR="00065E6E" w:rsidRDefault="006A7D36" w:rsidP="00A40ADB">
            <w:pPr>
              <w:pStyle w:val="TableParagraph"/>
              <w:spacing w:before="168"/>
              <w:ind w:right="59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spacing w:before="168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spacing w:before="168"/>
              <w:ind w:left="397"/>
              <w:jc w:val="lef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065E6E" w:rsidTr="00A40ADB">
        <w:trPr>
          <w:trHeight w:val="268"/>
        </w:trPr>
        <w:tc>
          <w:tcPr>
            <w:tcW w:w="2381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Teoretická daň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:rsidTr="00A40ADB">
        <w:trPr>
          <w:trHeight w:val="268"/>
        </w:trPr>
        <w:tc>
          <w:tcPr>
            <w:tcW w:w="2381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Daňovo neuznané náklady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:rsidTr="00A40ADB">
        <w:trPr>
          <w:trHeight w:val="268"/>
        </w:trPr>
        <w:tc>
          <w:tcPr>
            <w:tcW w:w="2381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Výnosy nepodliehajúce dani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:rsidTr="00A40ADB">
        <w:trPr>
          <w:trHeight w:val="381"/>
        </w:trPr>
        <w:tc>
          <w:tcPr>
            <w:tcW w:w="2381" w:type="dxa"/>
          </w:tcPr>
          <w:p w:rsidR="00065E6E" w:rsidRDefault="00065E6E" w:rsidP="00A40ADB">
            <w:pPr>
              <w:pStyle w:val="TableParagraph"/>
              <w:spacing w:before="0" w:line="186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Vplyv nevykázanej odloženej</w:t>
            </w:r>
          </w:p>
          <w:p w:rsidR="00065E6E" w:rsidRDefault="00065E6E" w:rsidP="00A40ADB">
            <w:pPr>
              <w:pStyle w:val="TableParagraph"/>
              <w:spacing w:before="3" w:line="173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daňovej straty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:rsidTr="00A40ADB">
        <w:trPr>
          <w:trHeight w:val="268"/>
        </w:trPr>
        <w:tc>
          <w:tcPr>
            <w:tcW w:w="2381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Umorenie daňovej straty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:rsidTr="00A40ADB">
        <w:trPr>
          <w:trHeight w:val="268"/>
        </w:trPr>
        <w:tc>
          <w:tcPr>
            <w:tcW w:w="2381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Zmena sadzby dane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:rsidTr="00A40ADB">
        <w:trPr>
          <w:trHeight w:val="268"/>
        </w:trPr>
        <w:tc>
          <w:tcPr>
            <w:tcW w:w="2381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:rsidTr="00A40ADB">
        <w:trPr>
          <w:trHeight w:val="268"/>
        </w:trPr>
        <w:tc>
          <w:tcPr>
            <w:tcW w:w="2381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-1041,31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:rsidTr="00A40ADB">
        <w:trPr>
          <w:trHeight w:val="268"/>
        </w:trPr>
        <w:tc>
          <w:tcPr>
            <w:tcW w:w="2381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Splatná daň z prijímov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ind w:right="58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:rsidTr="00A40ADB">
        <w:trPr>
          <w:trHeight w:val="268"/>
        </w:trPr>
        <w:tc>
          <w:tcPr>
            <w:tcW w:w="2381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Odložená daň z príjmov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:rsidTr="00A40ADB">
        <w:trPr>
          <w:trHeight w:val="268"/>
        </w:trPr>
        <w:tc>
          <w:tcPr>
            <w:tcW w:w="2381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Celková daň z príjmov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:rsidR="00065E6E" w:rsidRDefault="00065E6E" w:rsidP="00A40ADB">
            <w:pPr>
              <w:pStyle w:val="TableParagraph"/>
              <w:ind w:right="58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:rsidR="00065E6E" w:rsidRDefault="00065E6E">
      <w:pPr>
        <w:rPr>
          <w:sz w:val="18"/>
        </w:rPr>
        <w:sectPr w:rsidR="00065E6E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:rsidR="00CB1E50" w:rsidRDefault="00152905">
      <w:pPr>
        <w:pStyle w:val="BodyText"/>
        <w:spacing w:before="64"/>
        <w:jc w:val="right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0" t="0" r="0" b="0"/>
                <wp:wrapNone/>
                <wp:docPr id="1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B1E50" w:rsidRDefault="006E5507">
                            <w:pPr>
                              <w:pStyle w:val="BodyText"/>
                              <w:spacing w:before="44"/>
                              <w:ind w:left="38"/>
                            </w:pPr>
                            <w:r>
                              <w:t xml:space="preserve">Poznámky Úč MÚJ </w:t>
                            </w:r>
                            <w:r w:rsidR="00065E6E">
                              <w:t>Aurora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1" type="#_x0000_t202" style="position:absolute;left:0;text-align:left;margin-left:28.85pt;margin-top:.6pt;width:124.75pt;height:17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" filled="f">
                <v:textbox inset="0,0,0,0">
                  <w:txbxContent>
                    <w:p w:rsidR="00CB1E50" w:rsidRDefault="006E5507">
                      <w:pPr>
                        <w:pStyle w:val="Zkladntext"/>
                        <w:spacing w:before="44"/>
                        <w:ind w:left="38"/>
                      </w:pPr>
                      <w:r>
                        <w:t xml:space="preserve">Poznámky Úč MÚJ </w:t>
                      </w:r>
                      <w:r w:rsidR="00065E6E">
                        <w:t>Aurora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page">
                  <wp:posOffset>2953385</wp:posOffset>
                </wp:positionH>
                <wp:positionV relativeFrom="paragraph">
                  <wp:posOffset>2540</wp:posOffset>
                </wp:positionV>
                <wp:extent cx="1166495" cy="225425"/>
                <wp:effectExtent l="0" t="0" r="0" b="0"/>
                <wp:wrapNone/>
                <wp:docPr id="1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CB1E50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:rsidR="00CB1E50" w:rsidRDefault="000F7A7D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CB1E50" w:rsidRDefault="000F7A7D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CB1E50" w:rsidRDefault="000F7A7D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:rsidR="00CB1E50" w:rsidRDefault="00CB1E50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2" type="#_x0000_t202" style="position:absolute;left:0;text-align:left;margin-left:232.55pt;margin-top:.2pt;width:91.85pt;height:17.75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CB1E50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:rsidR="00CB1E50" w:rsidRDefault="000F7A7D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CB1E50" w:rsidRDefault="000F7A7D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CB1E50" w:rsidRDefault="000F7A7D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</w:tr>
                    </w:tbl>
                    <w:p w:rsidR="00CB1E50" w:rsidRDefault="00CB1E50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6E5507">
        <w:t>IČO</w:t>
      </w:r>
    </w:p>
    <w:p w:rsidR="00CB1E50" w:rsidRDefault="006E5507">
      <w:pPr>
        <w:spacing w:before="64"/>
        <w:jc w:val="right"/>
        <w:rPr>
          <w:sz w:val="20"/>
        </w:rPr>
      </w:pPr>
      <w:r>
        <w:br w:type="column"/>
      </w:r>
    </w:p>
    <w:p w:rsidR="00CB1E50" w:rsidRDefault="006E5507">
      <w:pPr>
        <w:pStyle w:val="BodyText"/>
        <w:spacing w:before="64"/>
        <w:ind w:right="252"/>
        <w:jc w:val="right"/>
      </w:pPr>
      <w:r>
        <w:br w:type="column"/>
      </w:r>
      <w:r>
        <w:lastRenderedPageBreak/>
        <w:t>str.4</w:t>
      </w:r>
    </w:p>
    <w:p w:rsidR="00CB1E50" w:rsidRDefault="00CB1E50">
      <w:pPr>
        <w:jc w:val="right"/>
        <w:sectPr w:rsidR="00CB1E50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CB1E50" w:rsidRDefault="00CB1E50">
      <w:pPr>
        <w:pStyle w:val="BodyText"/>
        <w:spacing w:before="3"/>
        <w:rPr>
          <w:sz w:val="15"/>
        </w:rPr>
      </w:pPr>
    </w:p>
    <w:p w:rsidR="00CB1E50" w:rsidRDefault="00CB1E50">
      <w:pPr>
        <w:rPr>
          <w:sz w:val="18"/>
        </w:rPr>
      </w:pPr>
    </w:p>
    <w:p w:rsidR="00CB1E50" w:rsidRDefault="006E5507">
      <w:pPr>
        <w:spacing w:before="34"/>
        <w:ind w:left="2343" w:right="2429"/>
        <w:jc w:val="center"/>
        <w:rPr>
          <w:b/>
          <w:sz w:val="20"/>
        </w:rPr>
      </w:pPr>
      <w:r>
        <w:rPr>
          <w:b/>
          <w:sz w:val="20"/>
        </w:rPr>
        <w:t>Čl. IV</w:t>
      </w:r>
    </w:p>
    <w:p w:rsidR="00CB1E50" w:rsidRDefault="006E5507">
      <w:pPr>
        <w:pStyle w:val="BodyText"/>
        <w:spacing w:before="110"/>
        <w:ind w:left="2551" w:right="2429"/>
        <w:jc w:val="center"/>
      </w:pPr>
      <w:r>
        <w:t>Informácie, ktoré vysvetľujú a dopĺňajú položky výkazu ziskov a strát</w:t>
      </w:r>
    </w:p>
    <w:p w:rsidR="00CB1E50" w:rsidRDefault="00CB1E50">
      <w:pPr>
        <w:pStyle w:val="BodyText"/>
        <w:spacing w:before="6"/>
        <w:rPr>
          <w:sz w:val="18"/>
        </w:rPr>
      </w:pPr>
    </w:p>
    <w:p w:rsidR="00CB1E50" w:rsidRDefault="006E5507">
      <w:pPr>
        <w:pStyle w:val="BodyText"/>
        <w:spacing w:before="96" w:line="235" w:lineRule="exact"/>
        <w:ind w:left="163"/>
      </w:pPr>
      <w:r>
        <w:rPr>
          <w:b/>
          <w:position w:val="1"/>
        </w:rPr>
        <w:t xml:space="preserve">(1) </w:t>
      </w:r>
      <w:r>
        <w:t>K položkám výnosov a nákladov sa v poznámkach uvádzajú doplňujúce a vysvetľujúce informácie o</w:t>
      </w:r>
    </w:p>
    <w:p w:rsidR="00CB1E50" w:rsidRDefault="006E5507">
      <w:pPr>
        <w:pStyle w:val="BodyText"/>
        <w:ind w:left="385" w:right="625" w:hanging="223"/>
      </w:pPr>
      <w:r>
        <w:rPr>
          <w:b/>
          <w:position w:val="1"/>
        </w:rPr>
        <w:t xml:space="preserve">a) </w:t>
      </w:r>
      <w:r>
        <w:t>sume tržieb za vlastné výkony a tovar s uvedením ich opisu a hodnoty tržieb podľa jednotlivých typov výrobkov a služieb účtovnej jednotky,</w:t>
      </w:r>
    </w:p>
    <w:p w:rsidR="00CB1E50" w:rsidRDefault="006E5507">
      <w:pPr>
        <w:pStyle w:val="Heading1"/>
        <w:spacing w:before="174" w:after="4"/>
      </w:pPr>
      <w:r>
        <w:t>Tabuľka 37: Informácie k Čl. IV odst. 1 písm. a) o sume tržieb</w:t>
      </w:r>
    </w:p>
    <w:tbl>
      <w:tblPr>
        <w:tblStyle w:val="TableNormal1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CB1E50">
        <w:trPr>
          <w:trHeight w:val="268"/>
        </w:trPr>
        <w:tc>
          <w:tcPr>
            <w:tcW w:w="5216" w:type="dxa"/>
            <w:vMerge w:val="restart"/>
          </w:tcPr>
          <w:p w:rsidR="00CB1E50" w:rsidRDefault="00CB1E50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:rsidR="00CB1E50" w:rsidRDefault="006E5507">
            <w:pPr>
              <w:pStyle w:val="TableParagraph"/>
              <w:spacing w:before="0"/>
              <w:ind w:left="117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Typ výrobku, tovaru alebo služby</w:t>
            </w:r>
          </w:p>
        </w:tc>
        <w:tc>
          <w:tcPr>
            <w:tcW w:w="5556" w:type="dxa"/>
            <w:gridSpan w:val="2"/>
          </w:tcPr>
          <w:p w:rsidR="00CB1E50" w:rsidRDefault="006E5507">
            <w:pPr>
              <w:pStyle w:val="TableParagraph"/>
              <w:ind w:left="2114" w:right="21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výnosov</w:t>
            </w:r>
          </w:p>
        </w:tc>
      </w:tr>
      <w:tr w:rsidR="00CB1E50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:rsidR="00CB1E50" w:rsidRDefault="00CB1E50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:rsidR="00CB1E50" w:rsidRDefault="006E5507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CB1E50" w:rsidRDefault="006E5507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B1E50">
        <w:trPr>
          <w:trHeight w:val="268"/>
        </w:trPr>
        <w:tc>
          <w:tcPr>
            <w:tcW w:w="5216" w:type="dxa"/>
          </w:tcPr>
          <w:p w:rsidR="00CB1E50" w:rsidRDefault="006E5507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 za služby</w:t>
            </w:r>
          </w:p>
        </w:tc>
        <w:tc>
          <w:tcPr>
            <w:tcW w:w="2778" w:type="dxa"/>
          </w:tcPr>
          <w:p w:rsidR="00CB1E50" w:rsidRDefault="00065E6E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:rsidR="00CB1E50" w:rsidRDefault="00065E6E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B1E50">
        <w:trPr>
          <w:trHeight w:val="268"/>
        </w:trPr>
        <w:tc>
          <w:tcPr>
            <w:tcW w:w="5216" w:type="dxa"/>
          </w:tcPr>
          <w:p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>
        <w:trPr>
          <w:trHeight w:val="268"/>
        </w:trPr>
        <w:tc>
          <w:tcPr>
            <w:tcW w:w="5216" w:type="dxa"/>
          </w:tcPr>
          <w:p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>
        <w:trPr>
          <w:trHeight w:val="268"/>
        </w:trPr>
        <w:tc>
          <w:tcPr>
            <w:tcW w:w="5216" w:type="dxa"/>
          </w:tcPr>
          <w:p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>
        <w:trPr>
          <w:trHeight w:val="268"/>
        </w:trPr>
        <w:tc>
          <w:tcPr>
            <w:tcW w:w="5216" w:type="dxa"/>
          </w:tcPr>
          <w:p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>
        <w:trPr>
          <w:trHeight w:val="268"/>
        </w:trPr>
        <w:tc>
          <w:tcPr>
            <w:tcW w:w="5216" w:type="dxa"/>
          </w:tcPr>
          <w:p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CB1E50" w:rsidRDefault="00CB1E50">
      <w:pPr>
        <w:rPr>
          <w:sz w:val="18"/>
        </w:rPr>
      </w:pPr>
    </w:p>
    <w:p w:rsidR="00065E6E" w:rsidRDefault="00065E6E">
      <w:pPr>
        <w:rPr>
          <w:sz w:val="18"/>
        </w:rPr>
      </w:pPr>
    </w:p>
    <w:p w:rsidR="00065E6E" w:rsidRPr="00065E6E" w:rsidRDefault="00065E6E">
      <w:pPr>
        <w:rPr>
          <w:sz w:val="18"/>
        </w:rPr>
      </w:pPr>
      <w:r w:rsidRPr="00065E6E">
        <w:t>Čl. IV - (1) - e)</w:t>
      </w:r>
      <w:r w:rsidRPr="00065E6E">
        <w:rPr>
          <w:position w:val="2"/>
        </w:rPr>
        <w:t xml:space="preserve">celkovej sume osobných nákladov, a to v členení na mzdy, ostatné náklady na závislú činnosť, </w:t>
      </w:r>
      <w:r w:rsidRPr="00065E6E">
        <w:t>sociálne poistenie, zdravotné poistenie, sociálne zabezpečenie</w:t>
      </w:r>
    </w:p>
    <w:p w:rsidR="00065E6E" w:rsidRDefault="00065E6E" w:rsidP="00065E6E">
      <w:pPr>
        <w:pStyle w:val="Heading1"/>
        <w:spacing w:before="72" w:after="5"/>
      </w:pPr>
      <w:r>
        <w:t>Tabuľka 41: Informácie k Čl. IV odst. 1 písm. e) o celkovej sume osobných nákladov</w:t>
      </w:r>
    </w:p>
    <w:tbl>
      <w:tblPr>
        <w:tblStyle w:val="TableNormal1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65E6E" w:rsidTr="00A40ADB">
        <w:trPr>
          <w:trHeight w:val="268"/>
        </w:trPr>
        <w:tc>
          <w:tcPr>
            <w:tcW w:w="5216" w:type="dxa"/>
            <w:vMerge w:val="restart"/>
          </w:tcPr>
          <w:p w:rsidR="00065E6E" w:rsidRDefault="00065E6E" w:rsidP="00A40ADB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:rsidR="00065E6E" w:rsidRDefault="00065E6E" w:rsidP="00A40ADB">
            <w:pPr>
              <w:pStyle w:val="TableParagraph"/>
              <w:spacing w:before="0"/>
              <w:ind w:left="1881" w:right="18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Osobné náklady</w:t>
            </w:r>
          </w:p>
        </w:tc>
        <w:tc>
          <w:tcPr>
            <w:tcW w:w="5556" w:type="dxa"/>
            <w:gridSpan w:val="2"/>
          </w:tcPr>
          <w:p w:rsidR="00065E6E" w:rsidRDefault="00065E6E" w:rsidP="00A40ADB">
            <w:pPr>
              <w:pStyle w:val="TableParagraph"/>
              <w:ind w:left="165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Suma osobných nákladov</w:t>
            </w:r>
          </w:p>
        </w:tc>
      </w:tr>
      <w:tr w:rsidR="00065E6E" w:rsidTr="00A40ADB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:rsidR="00065E6E" w:rsidRDefault="00065E6E" w:rsidP="00A40ADB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65E6E" w:rsidTr="00A40ADB">
        <w:trPr>
          <w:trHeight w:val="268"/>
        </w:trPr>
        <w:tc>
          <w:tcPr>
            <w:tcW w:w="5216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Mzdové náklady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:rsidTr="00A40ADB">
        <w:trPr>
          <w:trHeight w:val="268"/>
        </w:trPr>
        <w:tc>
          <w:tcPr>
            <w:tcW w:w="5216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Ostatné osobné nákl. na záv.činn.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:rsidTr="00A40ADB">
        <w:trPr>
          <w:trHeight w:val="268"/>
        </w:trPr>
        <w:tc>
          <w:tcPr>
            <w:tcW w:w="5216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Sociálne poistné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59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:rsidTr="00A40ADB">
        <w:trPr>
          <w:trHeight w:val="268"/>
        </w:trPr>
        <w:tc>
          <w:tcPr>
            <w:tcW w:w="5216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Zdravotné poistné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59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:rsidTr="00A40ADB">
        <w:trPr>
          <w:trHeight w:val="268"/>
        </w:trPr>
        <w:tc>
          <w:tcPr>
            <w:tcW w:w="5216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065E6E" w:rsidRDefault="00065E6E">
      <w:pPr>
        <w:rPr>
          <w:sz w:val="18"/>
        </w:rPr>
      </w:pPr>
    </w:p>
    <w:p w:rsidR="00065E6E" w:rsidRDefault="00065E6E">
      <w:pPr>
        <w:rPr>
          <w:sz w:val="18"/>
        </w:rPr>
      </w:pPr>
    </w:p>
    <w:p w:rsidR="00065E6E" w:rsidRDefault="00065E6E">
      <w:pPr>
        <w:rPr>
          <w:sz w:val="18"/>
        </w:rPr>
      </w:pPr>
    </w:p>
    <w:p w:rsidR="00065E6E" w:rsidRDefault="00065E6E" w:rsidP="00065E6E">
      <w:pPr>
        <w:pStyle w:val="BodyText"/>
        <w:spacing w:before="80"/>
        <w:ind w:left="441" w:hanging="278"/>
      </w:pPr>
      <w:r>
        <w:rPr>
          <w:b/>
          <w:position w:val="1"/>
        </w:rPr>
        <w:t xml:space="preserve">Čl. IV - (4) </w:t>
      </w:r>
      <w:r>
        <w:t>V poznámkach sa uvádza členenie čistého obratu podľa § 2 ods. 14 zákona podľa jednotlivých typov výrobkov, tovarov, služieb alebo iných činností účtovnej jednotky a hlavných geografických oblastí odbytu, ak sa tieto činnosti</w:t>
      </w:r>
    </w:p>
    <w:p w:rsidR="00065E6E" w:rsidRDefault="00065E6E" w:rsidP="00065E6E">
      <w:pPr>
        <w:pStyle w:val="BodyText"/>
        <w:ind w:left="441" w:right="559"/>
      </w:pPr>
      <w:r>
        <w:t>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zahrňovaných do čistého obratu.</w:t>
      </w:r>
    </w:p>
    <w:p w:rsidR="00065E6E" w:rsidRDefault="00065E6E" w:rsidP="00065E6E">
      <w:pPr>
        <w:pStyle w:val="Heading1"/>
        <w:spacing w:before="41" w:after="5"/>
      </w:pPr>
      <w:r>
        <w:t>Tabuľka 47: Informácie k čl. IV odst. 4 o čistom obrate</w:t>
      </w:r>
    </w:p>
    <w:tbl>
      <w:tblPr>
        <w:tblStyle w:val="TableNormal1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65E6E" w:rsidTr="00A40ADB">
        <w:trPr>
          <w:trHeight w:val="551"/>
        </w:trPr>
        <w:tc>
          <w:tcPr>
            <w:tcW w:w="5216" w:type="dxa"/>
          </w:tcPr>
          <w:p w:rsidR="00065E6E" w:rsidRDefault="00065E6E" w:rsidP="00A40ADB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65E6E" w:rsidTr="00A40ADB">
        <w:trPr>
          <w:trHeight w:val="268"/>
        </w:trPr>
        <w:tc>
          <w:tcPr>
            <w:tcW w:w="5216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:rsidTr="00A40ADB">
        <w:trPr>
          <w:trHeight w:val="268"/>
        </w:trPr>
        <w:tc>
          <w:tcPr>
            <w:tcW w:w="5216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:rsidTr="00A40ADB">
        <w:trPr>
          <w:trHeight w:val="268"/>
        </w:trPr>
        <w:tc>
          <w:tcPr>
            <w:tcW w:w="5216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 za tovar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:rsidTr="00A40ADB">
        <w:trPr>
          <w:trHeight w:val="268"/>
        </w:trPr>
        <w:tc>
          <w:tcPr>
            <w:tcW w:w="5216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:rsidTr="00A40ADB">
        <w:trPr>
          <w:trHeight w:val="268"/>
        </w:trPr>
        <w:tc>
          <w:tcPr>
            <w:tcW w:w="5216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Výnosy z nehnuteľností na predaj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:rsidTr="00A40ADB">
        <w:trPr>
          <w:trHeight w:val="268"/>
        </w:trPr>
        <w:tc>
          <w:tcPr>
            <w:tcW w:w="5216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 výnosy súvisiace s bežnou činnosťou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58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:rsidTr="00A40ADB">
        <w:trPr>
          <w:trHeight w:val="268"/>
        </w:trPr>
        <w:tc>
          <w:tcPr>
            <w:tcW w:w="5216" w:type="dxa"/>
          </w:tcPr>
          <w:p w:rsidR="00065E6E" w:rsidRDefault="00065E6E" w:rsidP="00A40ADB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Čistý obrat celkom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:rsidR="00065E6E" w:rsidRDefault="00065E6E" w:rsidP="00065E6E">
      <w:pPr>
        <w:rPr>
          <w:sz w:val="18"/>
        </w:rPr>
        <w:sectPr w:rsidR="00065E6E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:rsidR="00065E6E" w:rsidRDefault="00065E6E">
      <w:pPr>
        <w:rPr>
          <w:sz w:val="18"/>
        </w:rPr>
        <w:sectPr w:rsidR="00065E6E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:rsidR="00CB1E50" w:rsidRDefault="00CB1E50">
      <w:pPr>
        <w:pStyle w:val="BodyText"/>
        <w:spacing w:before="8"/>
        <w:rPr>
          <w:sz w:val="13"/>
        </w:rPr>
      </w:pPr>
    </w:p>
    <w:p w:rsidR="00CB1E50" w:rsidRDefault="00CB1E50">
      <w:pPr>
        <w:rPr>
          <w:sz w:val="18"/>
        </w:rPr>
        <w:sectPr w:rsidR="00CB1E50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:rsidR="00CB1E50" w:rsidRDefault="00CB1E50" w:rsidP="00065E6E">
      <w:pPr>
        <w:pStyle w:val="BodyText"/>
        <w:spacing w:before="64"/>
      </w:pPr>
    </w:p>
    <w:sectPr w:rsidR="00CB1E50" w:rsidSect="00065E6E">
      <w:pgSz w:w="11910" w:h="16850"/>
      <w:pgMar w:top="560" w:right="380" w:bottom="280" w:left="460" w:header="708" w:footer="708" w:gutter="0"/>
      <w:cols w:num="4" w:space="708" w:equalWidth="0">
        <w:col w:w="4070" w:space="40"/>
        <w:col w:w="1633" w:space="39"/>
        <w:col w:w="1974" w:space="39"/>
        <w:col w:w="3275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F13C4"/>
    <w:multiLevelType w:val="hybridMultilevel"/>
    <w:tmpl w:val="CF42CBA8"/>
    <w:lvl w:ilvl="0" w:tplc="7D800F4C">
      <w:start w:val="1"/>
      <w:numFmt w:val="decimal"/>
      <w:lvlText w:val="(%1)"/>
      <w:lvlJc w:val="left"/>
      <w:pPr>
        <w:ind w:left="163" w:hanging="300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3C42FB10">
      <w:numFmt w:val="bullet"/>
      <w:lvlText w:val="•"/>
      <w:lvlJc w:val="left"/>
      <w:pPr>
        <w:ind w:left="1251" w:hanging="300"/>
      </w:pPr>
      <w:rPr>
        <w:rFonts w:hint="default"/>
      </w:rPr>
    </w:lvl>
    <w:lvl w:ilvl="2" w:tplc="3CB41A8A">
      <w:numFmt w:val="bullet"/>
      <w:lvlText w:val="•"/>
      <w:lvlJc w:val="left"/>
      <w:pPr>
        <w:ind w:left="2342" w:hanging="300"/>
      </w:pPr>
      <w:rPr>
        <w:rFonts w:hint="default"/>
      </w:rPr>
    </w:lvl>
    <w:lvl w:ilvl="3" w:tplc="6CB4B85A">
      <w:numFmt w:val="bullet"/>
      <w:lvlText w:val="•"/>
      <w:lvlJc w:val="left"/>
      <w:pPr>
        <w:ind w:left="3433" w:hanging="300"/>
      </w:pPr>
      <w:rPr>
        <w:rFonts w:hint="default"/>
      </w:rPr>
    </w:lvl>
    <w:lvl w:ilvl="4" w:tplc="016CDD5E">
      <w:numFmt w:val="bullet"/>
      <w:lvlText w:val="•"/>
      <w:lvlJc w:val="left"/>
      <w:pPr>
        <w:ind w:left="4524" w:hanging="300"/>
      </w:pPr>
      <w:rPr>
        <w:rFonts w:hint="default"/>
      </w:rPr>
    </w:lvl>
    <w:lvl w:ilvl="5" w:tplc="D7BE4A7C">
      <w:numFmt w:val="bullet"/>
      <w:lvlText w:val="•"/>
      <w:lvlJc w:val="left"/>
      <w:pPr>
        <w:ind w:left="5615" w:hanging="300"/>
      </w:pPr>
      <w:rPr>
        <w:rFonts w:hint="default"/>
      </w:rPr>
    </w:lvl>
    <w:lvl w:ilvl="6" w:tplc="F5F6A414">
      <w:numFmt w:val="bullet"/>
      <w:lvlText w:val="•"/>
      <w:lvlJc w:val="left"/>
      <w:pPr>
        <w:ind w:left="6706" w:hanging="300"/>
      </w:pPr>
      <w:rPr>
        <w:rFonts w:hint="default"/>
      </w:rPr>
    </w:lvl>
    <w:lvl w:ilvl="7" w:tplc="4490B5BC">
      <w:numFmt w:val="bullet"/>
      <w:lvlText w:val="•"/>
      <w:lvlJc w:val="left"/>
      <w:pPr>
        <w:ind w:left="7797" w:hanging="300"/>
      </w:pPr>
      <w:rPr>
        <w:rFonts w:hint="default"/>
      </w:rPr>
    </w:lvl>
    <w:lvl w:ilvl="8" w:tplc="7B7C9F3C">
      <w:numFmt w:val="bullet"/>
      <w:lvlText w:val="•"/>
      <w:lvlJc w:val="left"/>
      <w:pPr>
        <w:ind w:left="8888" w:hanging="300"/>
      </w:pPr>
      <w:rPr>
        <w:rFonts w:hint="default"/>
      </w:rPr>
    </w:lvl>
  </w:abstractNum>
  <w:abstractNum w:abstractNumId="1">
    <w:nsid w:val="1F2C1F7E"/>
    <w:multiLevelType w:val="hybridMultilevel"/>
    <w:tmpl w:val="CDEEA566"/>
    <w:lvl w:ilvl="0" w:tplc="A49C7CF4">
      <w:start w:val="1"/>
      <w:numFmt w:val="lowerLetter"/>
      <w:lvlText w:val="%1)"/>
      <w:lvlJc w:val="left"/>
      <w:pPr>
        <w:ind w:left="385" w:hanging="234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409058DC">
      <w:numFmt w:val="bullet"/>
      <w:lvlText w:val="•"/>
      <w:lvlJc w:val="left"/>
      <w:pPr>
        <w:ind w:left="1449" w:hanging="234"/>
      </w:pPr>
      <w:rPr>
        <w:rFonts w:hint="default"/>
      </w:rPr>
    </w:lvl>
    <w:lvl w:ilvl="2" w:tplc="885E054E">
      <w:numFmt w:val="bullet"/>
      <w:lvlText w:val="•"/>
      <w:lvlJc w:val="left"/>
      <w:pPr>
        <w:ind w:left="2518" w:hanging="234"/>
      </w:pPr>
      <w:rPr>
        <w:rFonts w:hint="default"/>
      </w:rPr>
    </w:lvl>
    <w:lvl w:ilvl="3" w:tplc="DAC0B37C">
      <w:numFmt w:val="bullet"/>
      <w:lvlText w:val="•"/>
      <w:lvlJc w:val="left"/>
      <w:pPr>
        <w:ind w:left="3587" w:hanging="234"/>
      </w:pPr>
      <w:rPr>
        <w:rFonts w:hint="default"/>
      </w:rPr>
    </w:lvl>
    <w:lvl w:ilvl="4" w:tplc="3A509862">
      <w:numFmt w:val="bullet"/>
      <w:lvlText w:val="•"/>
      <w:lvlJc w:val="left"/>
      <w:pPr>
        <w:ind w:left="4656" w:hanging="234"/>
      </w:pPr>
      <w:rPr>
        <w:rFonts w:hint="default"/>
      </w:rPr>
    </w:lvl>
    <w:lvl w:ilvl="5" w:tplc="943E7FA0">
      <w:numFmt w:val="bullet"/>
      <w:lvlText w:val="•"/>
      <w:lvlJc w:val="left"/>
      <w:pPr>
        <w:ind w:left="5725" w:hanging="234"/>
      </w:pPr>
      <w:rPr>
        <w:rFonts w:hint="default"/>
      </w:rPr>
    </w:lvl>
    <w:lvl w:ilvl="6" w:tplc="A09AB91A">
      <w:numFmt w:val="bullet"/>
      <w:lvlText w:val="•"/>
      <w:lvlJc w:val="left"/>
      <w:pPr>
        <w:ind w:left="6794" w:hanging="234"/>
      </w:pPr>
      <w:rPr>
        <w:rFonts w:hint="default"/>
      </w:rPr>
    </w:lvl>
    <w:lvl w:ilvl="7" w:tplc="C9821018">
      <w:numFmt w:val="bullet"/>
      <w:lvlText w:val="•"/>
      <w:lvlJc w:val="left"/>
      <w:pPr>
        <w:ind w:left="7863" w:hanging="234"/>
      </w:pPr>
      <w:rPr>
        <w:rFonts w:hint="default"/>
      </w:rPr>
    </w:lvl>
    <w:lvl w:ilvl="8" w:tplc="D8F8246A">
      <w:numFmt w:val="bullet"/>
      <w:lvlText w:val="•"/>
      <w:lvlJc w:val="left"/>
      <w:pPr>
        <w:ind w:left="8932" w:hanging="234"/>
      </w:pPr>
      <w:rPr>
        <w:rFonts w:hint="default"/>
      </w:rPr>
    </w:lvl>
  </w:abstractNum>
  <w:abstractNum w:abstractNumId="2">
    <w:nsid w:val="35925117"/>
    <w:multiLevelType w:val="hybridMultilevel"/>
    <w:tmpl w:val="35C07118"/>
    <w:lvl w:ilvl="0" w:tplc="12A25584">
      <w:start w:val="14"/>
      <w:numFmt w:val="decimal"/>
      <w:lvlText w:val="%1."/>
      <w:lvlJc w:val="left"/>
      <w:pPr>
        <w:ind w:left="163" w:hanging="334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198A37A0">
      <w:numFmt w:val="bullet"/>
      <w:lvlText w:val="•"/>
      <w:lvlJc w:val="left"/>
      <w:pPr>
        <w:ind w:left="1251" w:hanging="334"/>
      </w:pPr>
      <w:rPr>
        <w:rFonts w:hint="default"/>
      </w:rPr>
    </w:lvl>
    <w:lvl w:ilvl="2" w:tplc="5DBC55D2">
      <w:numFmt w:val="bullet"/>
      <w:lvlText w:val="•"/>
      <w:lvlJc w:val="left"/>
      <w:pPr>
        <w:ind w:left="2342" w:hanging="334"/>
      </w:pPr>
      <w:rPr>
        <w:rFonts w:hint="default"/>
      </w:rPr>
    </w:lvl>
    <w:lvl w:ilvl="3" w:tplc="E3AE1B62">
      <w:numFmt w:val="bullet"/>
      <w:lvlText w:val="•"/>
      <w:lvlJc w:val="left"/>
      <w:pPr>
        <w:ind w:left="3433" w:hanging="334"/>
      </w:pPr>
      <w:rPr>
        <w:rFonts w:hint="default"/>
      </w:rPr>
    </w:lvl>
    <w:lvl w:ilvl="4" w:tplc="DEF2752E">
      <w:numFmt w:val="bullet"/>
      <w:lvlText w:val="•"/>
      <w:lvlJc w:val="left"/>
      <w:pPr>
        <w:ind w:left="4524" w:hanging="334"/>
      </w:pPr>
      <w:rPr>
        <w:rFonts w:hint="default"/>
      </w:rPr>
    </w:lvl>
    <w:lvl w:ilvl="5" w:tplc="D49AB85E">
      <w:numFmt w:val="bullet"/>
      <w:lvlText w:val="•"/>
      <w:lvlJc w:val="left"/>
      <w:pPr>
        <w:ind w:left="5615" w:hanging="334"/>
      </w:pPr>
      <w:rPr>
        <w:rFonts w:hint="default"/>
      </w:rPr>
    </w:lvl>
    <w:lvl w:ilvl="6" w:tplc="6DFCB9AE">
      <w:numFmt w:val="bullet"/>
      <w:lvlText w:val="•"/>
      <w:lvlJc w:val="left"/>
      <w:pPr>
        <w:ind w:left="6706" w:hanging="334"/>
      </w:pPr>
      <w:rPr>
        <w:rFonts w:hint="default"/>
      </w:rPr>
    </w:lvl>
    <w:lvl w:ilvl="7" w:tplc="F4864F22">
      <w:numFmt w:val="bullet"/>
      <w:lvlText w:val="•"/>
      <w:lvlJc w:val="left"/>
      <w:pPr>
        <w:ind w:left="7797" w:hanging="334"/>
      </w:pPr>
      <w:rPr>
        <w:rFonts w:hint="default"/>
      </w:rPr>
    </w:lvl>
    <w:lvl w:ilvl="8" w:tplc="4748EF1A">
      <w:numFmt w:val="bullet"/>
      <w:lvlText w:val="•"/>
      <w:lvlJc w:val="left"/>
      <w:pPr>
        <w:ind w:left="8888" w:hanging="334"/>
      </w:pPr>
      <w:rPr>
        <w:rFonts w:hint="default"/>
      </w:rPr>
    </w:lvl>
  </w:abstractNum>
  <w:abstractNum w:abstractNumId="3">
    <w:nsid w:val="3EA16E11"/>
    <w:multiLevelType w:val="hybridMultilevel"/>
    <w:tmpl w:val="B5727DB4"/>
    <w:lvl w:ilvl="0" w:tplc="C65089A4">
      <w:start w:val="11"/>
      <w:numFmt w:val="decimal"/>
      <w:lvlText w:val="%1."/>
      <w:lvlJc w:val="left"/>
      <w:pPr>
        <w:ind w:left="497" w:hanging="334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D5A479C8">
      <w:numFmt w:val="bullet"/>
      <w:lvlText w:val="•"/>
      <w:lvlJc w:val="left"/>
      <w:pPr>
        <w:ind w:left="1557" w:hanging="334"/>
      </w:pPr>
      <w:rPr>
        <w:rFonts w:hint="default"/>
      </w:rPr>
    </w:lvl>
    <w:lvl w:ilvl="2" w:tplc="6FEE6908">
      <w:numFmt w:val="bullet"/>
      <w:lvlText w:val="•"/>
      <w:lvlJc w:val="left"/>
      <w:pPr>
        <w:ind w:left="2614" w:hanging="334"/>
      </w:pPr>
      <w:rPr>
        <w:rFonts w:hint="default"/>
      </w:rPr>
    </w:lvl>
    <w:lvl w:ilvl="3" w:tplc="D752DE24">
      <w:numFmt w:val="bullet"/>
      <w:lvlText w:val="•"/>
      <w:lvlJc w:val="left"/>
      <w:pPr>
        <w:ind w:left="3671" w:hanging="334"/>
      </w:pPr>
      <w:rPr>
        <w:rFonts w:hint="default"/>
      </w:rPr>
    </w:lvl>
    <w:lvl w:ilvl="4" w:tplc="965480AC">
      <w:numFmt w:val="bullet"/>
      <w:lvlText w:val="•"/>
      <w:lvlJc w:val="left"/>
      <w:pPr>
        <w:ind w:left="4728" w:hanging="334"/>
      </w:pPr>
      <w:rPr>
        <w:rFonts w:hint="default"/>
      </w:rPr>
    </w:lvl>
    <w:lvl w:ilvl="5" w:tplc="DE54D2B2">
      <w:numFmt w:val="bullet"/>
      <w:lvlText w:val="•"/>
      <w:lvlJc w:val="left"/>
      <w:pPr>
        <w:ind w:left="5785" w:hanging="334"/>
      </w:pPr>
      <w:rPr>
        <w:rFonts w:hint="default"/>
      </w:rPr>
    </w:lvl>
    <w:lvl w:ilvl="6" w:tplc="84EA8EB6">
      <w:numFmt w:val="bullet"/>
      <w:lvlText w:val="•"/>
      <w:lvlJc w:val="left"/>
      <w:pPr>
        <w:ind w:left="6842" w:hanging="334"/>
      </w:pPr>
      <w:rPr>
        <w:rFonts w:hint="default"/>
      </w:rPr>
    </w:lvl>
    <w:lvl w:ilvl="7" w:tplc="3E7C806A">
      <w:numFmt w:val="bullet"/>
      <w:lvlText w:val="•"/>
      <w:lvlJc w:val="left"/>
      <w:pPr>
        <w:ind w:left="7899" w:hanging="334"/>
      </w:pPr>
      <w:rPr>
        <w:rFonts w:hint="default"/>
      </w:rPr>
    </w:lvl>
    <w:lvl w:ilvl="8" w:tplc="E9EEDCC4">
      <w:numFmt w:val="bullet"/>
      <w:lvlText w:val="•"/>
      <w:lvlJc w:val="left"/>
      <w:pPr>
        <w:ind w:left="8956" w:hanging="334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1E50"/>
    <w:rsid w:val="00065E6E"/>
    <w:rsid w:val="000F7A7D"/>
    <w:rsid w:val="00152905"/>
    <w:rsid w:val="0047500A"/>
    <w:rsid w:val="005F22F0"/>
    <w:rsid w:val="006A7D36"/>
    <w:rsid w:val="006E5507"/>
    <w:rsid w:val="00782CC5"/>
    <w:rsid w:val="00B430CA"/>
    <w:rsid w:val="00CB1E50"/>
    <w:rsid w:val="00D76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ind w:left="163"/>
      <w:outlineLvl w:val="0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163"/>
    </w:pPr>
  </w:style>
  <w:style w:type="paragraph" w:customStyle="1" w:styleId="TableParagraph">
    <w:name w:val="Table Paragraph"/>
    <w:basedOn w:val="Normal"/>
    <w:uiPriority w:val="1"/>
    <w:qFormat/>
    <w:pPr>
      <w:spacing w:before="27"/>
      <w:jc w:val="right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ind w:left="163"/>
      <w:outlineLvl w:val="0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163"/>
    </w:pPr>
  </w:style>
  <w:style w:type="paragraph" w:customStyle="1" w:styleId="TableParagraph">
    <w:name w:val="Table Paragraph"/>
    <w:basedOn w:val="Normal"/>
    <w:uiPriority w:val="1"/>
    <w:qFormat/>
    <w:pPr>
      <w:spacing w:before="27"/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1207</Words>
  <Characters>6881</Characters>
  <Application>Microsoft Office Word</Application>
  <DocSecurity>0</DocSecurity>
  <Lines>57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BANN s.r.o.</Company>
  <LinksUpToDate>false</LinksUpToDate>
  <CharactersWithSpaces>8072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Peter Niznansky</cp:lastModifiedBy>
  <cp:revision>2</cp:revision>
  <dcterms:created xsi:type="dcterms:W3CDTF">2020-06-25T17:12:00Z</dcterms:created>
  <dcterms:modified xsi:type="dcterms:W3CDTF">2020-06-25T17:12:00Z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2020-06-14T00:00:00Z</vt:filetime>
  </property>
  <property fmtid="{D5CDD505-2E9C-101B-9397-08002B2CF9AE}" pid="3" name="LastSaved">
    <vt:filetime>2020-06-15T00:00:00Z</vt:filetime>
  </property>
</Properties>
</file>