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E1A" w:rsidRDefault="00EA62EF">
      <w:pPr>
        <w:ind w:left="1380"/>
        <w:rPr>
          <w:sz w:val="20"/>
          <w:szCs w:val="20"/>
        </w:rPr>
      </w:pPr>
      <w:bookmarkStart w:id="0" w:name="page1"/>
      <w:bookmarkEnd w:id="0"/>
      <w:r>
        <w:rPr>
          <w:rFonts w:eastAsia="Times New Roman"/>
          <w:sz w:val="20"/>
          <w:szCs w:val="20"/>
        </w:rPr>
        <w:t>Poznámky  konsolidovanej účtovnej závierk</w:t>
      </w:r>
      <w:r w:rsidR="00730285">
        <w:rPr>
          <w:rFonts w:eastAsia="Times New Roman"/>
          <w:sz w:val="20"/>
          <w:szCs w:val="20"/>
        </w:rPr>
        <w:t>y zostavenej k 31. decembru 2019</w:t>
      </w:r>
    </w:p>
    <w:p w:rsidR="00622E1A" w:rsidRDefault="00EA62EF">
      <w:pPr>
        <w:spacing w:line="20" w:lineRule="exact"/>
        <w:rPr>
          <w:sz w:val="24"/>
          <w:szCs w:val="24"/>
        </w:rPr>
      </w:pPr>
      <w:r>
        <w:rPr>
          <w:noProof/>
          <w:sz w:val="24"/>
          <w:szCs w:val="24"/>
        </w:rPr>
        <mc:AlternateContent>
          <mc:Choice Requires="wps">
            <w:drawing>
              <wp:anchor distT="0" distB="0" distL="114300" distR="114300" simplePos="0" relativeHeight="251655168" behindDoc="1" locked="0" layoutInCell="0" allowOverlap="1">
                <wp:simplePos x="0" y="0"/>
                <wp:positionH relativeFrom="column">
                  <wp:posOffset>-7620</wp:posOffset>
                </wp:positionH>
                <wp:positionV relativeFrom="paragraph">
                  <wp:posOffset>19050</wp:posOffset>
                </wp:positionV>
                <wp:extent cx="5798185"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7240C6" id="Shape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5pt" to="45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quAEAAH8DAAAOAAAAZHJzL2Uyb0RvYy54bWysU01vEzEQvSPxHyzfyW4KTdNVNj20hEsF&#10;kQo/YGJ7sxb+ksdkN/+esTcJDXBC+GB5PM/P897Yq4fRGnZQEbV3LZ/Pas6UE15qt2/5t6+bd0vO&#10;MIGTYLxTLT8q5A/rt29WQ2jUje+9kSoyInHYDKHlfUqhqSoUvbKAMx+Uo2Tno4VEYdxXMsJA7NZU&#10;N3W9qAYfZYheKETafZqSfF34u06J9KXrUCVmWk61pTLHMu/yXK1X0OwjhF6LUxnwD1VY0I4uvVA9&#10;QQL2I+o/qKwW0aPv0kx4W/mu00IVDaRmXv+m5qWHoIoWMgfDxSb8f7Ti82EbmZbUO84cWGpRuZXN&#10;szVDwIYQj24bszgxupfw7MV3pFx1lcwBhgk2dtFmOKljY7H6eLFajYkJ2ry9u1/Ol7ecCcp9uFu8&#10;z9dV0JzPhojpk/KW5UXLjXbZCGjg8Ixpgp4heRu90XKjjSlB3O8eTWQHoKZvyjixX8GMY0PLF/X9&#10;ojBf5fA1RV3G3yisTvR6jbYtX15A0PQK5EcnqUxoEmgzrUmdcSffJquyaTsvj9t49pO6XGw4vcj8&#10;jF7H5fSvf7P+CQAA//8DAFBLAwQUAAYACAAAACEAL+RQg9wAAAAGAQAADwAAAGRycy9kb3ducmV2&#10;LnhtbEyPQUvDQBSE74L/YXmCt3aTimJjNqUWvChSjIIeX7LPJJp9G7PbNv33Pr3ocZhh5pt8Nble&#10;7WkMnWcD6TwBRVx723Fj4OX5bnYNKkRki71nMnCkAKvi9CTHzPoDP9G+jI2SEg4ZGmhjHDKtQ92S&#10;wzD3A7F47350GEWOjbYjHqTc9XqRJFfaYcey0OJAm5bqz3LnDNxWD2+vfouh3Fbx8Xh/uflYf3XG&#10;nJ9N6xtQkab4F4YffEGHQpgqv2MbVG9gli4kaeBCHom9TNMlqOpX6yLX//GLbwAAAP//AwBQSwEC&#10;LQAUAAYACAAAACEAtoM4kv4AAADhAQAAEwAAAAAAAAAAAAAAAAAAAAAAW0NvbnRlbnRfVHlwZXNd&#10;LnhtbFBLAQItABQABgAIAAAAIQA4/SH/1gAAAJQBAAALAAAAAAAAAAAAAAAAAC8BAABfcmVscy8u&#10;cmVsc1BLAQItABQABgAIAAAAIQAY/HuquAEAAH8DAAAOAAAAAAAAAAAAAAAAAC4CAABkcnMvZTJv&#10;RG9jLnhtbFBLAQItABQABgAIAAAAIQAv5FCD3AAAAAYBAAAPAAAAAAAAAAAAAAAAABIEAABkcnMv&#10;ZG93bnJldi54bWxQSwUGAAAAAAQABADzAAAAGwUAAAAA&#10;" o:allowincell="f" filled="t" strokeweight=".48pt">
                <v:stroke joinstyle="miter"/>
                <o:lock v:ext="edit" shapetype="f"/>
              </v:line>
            </w:pict>
          </mc:Fallback>
        </mc:AlternateContent>
      </w:r>
    </w:p>
    <w:p w:rsidR="00622E1A" w:rsidRDefault="00622E1A">
      <w:pPr>
        <w:spacing w:line="200" w:lineRule="exact"/>
        <w:rPr>
          <w:sz w:val="24"/>
          <w:szCs w:val="24"/>
        </w:rPr>
      </w:pPr>
    </w:p>
    <w:p w:rsidR="00622E1A" w:rsidRDefault="00622E1A">
      <w:pPr>
        <w:spacing w:line="364" w:lineRule="exact"/>
        <w:rPr>
          <w:sz w:val="24"/>
          <w:szCs w:val="24"/>
        </w:rPr>
      </w:pPr>
    </w:p>
    <w:p w:rsidR="00622E1A" w:rsidRDefault="00EA62EF">
      <w:pPr>
        <w:ind w:right="420"/>
        <w:jc w:val="center"/>
        <w:rPr>
          <w:sz w:val="20"/>
          <w:szCs w:val="20"/>
        </w:rPr>
      </w:pPr>
      <w:r>
        <w:rPr>
          <w:rFonts w:eastAsia="Times New Roman"/>
          <w:b/>
          <w:bCs/>
          <w:sz w:val="28"/>
          <w:szCs w:val="28"/>
        </w:rPr>
        <w:t>Poznámky konsolidovanej účtovnej závierky obce Jablonov</w:t>
      </w:r>
    </w:p>
    <w:p w:rsidR="00622E1A" w:rsidRDefault="00730285">
      <w:pPr>
        <w:ind w:right="420"/>
        <w:jc w:val="center"/>
        <w:rPr>
          <w:sz w:val="20"/>
          <w:szCs w:val="20"/>
        </w:rPr>
      </w:pPr>
      <w:r>
        <w:rPr>
          <w:rFonts w:eastAsia="Times New Roman"/>
          <w:b/>
          <w:bCs/>
          <w:sz w:val="28"/>
          <w:szCs w:val="28"/>
        </w:rPr>
        <w:t>zostavenej k 31. decembru 2019</w:t>
      </w:r>
    </w:p>
    <w:p w:rsidR="00622E1A" w:rsidRDefault="00622E1A">
      <w:pPr>
        <w:spacing w:line="200" w:lineRule="exact"/>
        <w:rPr>
          <w:sz w:val="24"/>
          <w:szCs w:val="24"/>
        </w:rPr>
      </w:pPr>
    </w:p>
    <w:p w:rsidR="00622E1A" w:rsidRDefault="00622E1A">
      <w:pPr>
        <w:spacing w:line="200" w:lineRule="exact"/>
        <w:rPr>
          <w:sz w:val="24"/>
          <w:szCs w:val="24"/>
        </w:rPr>
      </w:pPr>
    </w:p>
    <w:p w:rsidR="00622E1A" w:rsidRDefault="00622E1A">
      <w:pPr>
        <w:spacing w:line="209" w:lineRule="exact"/>
        <w:rPr>
          <w:sz w:val="24"/>
          <w:szCs w:val="24"/>
        </w:rPr>
      </w:pPr>
    </w:p>
    <w:p w:rsidR="00622E1A" w:rsidRDefault="00EA62EF">
      <w:pPr>
        <w:rPr>
          <w:sz w:val="20"/>
          <w:szCs w:val="20"/>
        </w:rPr>
      </w:pPr>
      <w:r>
        <w:rPr>
          <w:rFonts w:eastAsia="Times New Roman"/>
          <w:b/>
          <w:bCs/>
          <w:sz w:val="24"/>
          <w:szCs w:val="24"/>
        </w:rPr>
        <w:t>VŠEOBECNÉ ÚDAJE</w:t>
      </w:r>
    </w:p>
    <w:p w:rsidR="00622E1A" w:rsidRDefault="00622E1A">
      <w:pPr>
        <w:spacing w:line="235" w:lineRule="exact"/>
        <w:rPr>
          <w:sz w:val="24"/>
          <w:szCs w:val="24"/>
        </w:rPr>
      </w:pPr>
    </w:p>
    <w:p w:rsidR="00622E1A" w:rsidRDefault="00EA62EF">
      <w:pPr>
        <w:ind w:left="20"/>
        <w:rPr>
          <w:sz w:val="20"/>
          <w:szCs w:val="20"/>
        </w:rPr>
      </w:pPr>
      <w:r>
        <w:rPr>
          <w:rFonts w:eastAsia="Times New Roman"/>
          <w:i/>
          <w:iCs/>
          <w:sz w:val="24"/>
          <w:szCs w:val="24"/>
          <w:u w:val="single"/>
        </w:rPr>
        <w:t>Identifikačné údaje konsolidujúcej účtovnej jednotky</w:t>
      </w:r>
    </w:p>
    <w:p w:rsidR="00622E1A" w:rsidRDefault="00622E1A">
      <w:pPr>
        <w:spacing w:line="240" w:lineRule="exact"/>
        <w:rPr>
          <w:sz w:val="24"/>
          <w:szCs w:val="24"/>
        </w:rPr>
      </w:pPr>
    </w:p>
    <w:p w:rsidR="00622E1A" w:rsidRDefault="00EA62EF">
      <w:pPr>
        <w:ind w:left="20"/>
        <w:rPr>
          <w:sz w:val="20"/>
          <w:szCs w:val="20"/>
        </w:rPr>
      </w:pPr>
      <w:r>
        <w:rPr>
          <w:rFonts w:eastAsia="Times New Roman"/>
          <w:sz w:val="24"/>
          <w:szCs w:val="24"/>
        </w:rPr>
        <w:t>Obec Jablonov</w:t>
      </w:r>
    </w:p>
    <w:p w:rsidR="00622E1A" w:rsidRDefault="00EA62EF">
      <w:pPr>
        <w:ind w:left="20"/>
        <w:rPr>
          <w:sz w:val="20"/>
          <w:szCs w:val="20"/>
        </w:rPr>
      </w:pPr>
      <w:r>
        <w:rPr>
          <w:rFonts w:eastAsia="Times New Roman"/>
          <w:sz w:val="24"/>
          <w:szCs w:val="24"/>
        </w:rPr>
        <w:t>Jablonov 165</w:t>
      </w:r>
    </w:p>
    <w:p w:rsidR="00622E1A" w:rsidRDefault="00EA62EF">
      <w:pPr>
        <w:ind w:left="20"/>
        <w:rPr>
          <w:sz w:val="20"/>
          <w:szCs w:val="20"/>
        </w:rPr>
      </w:pPr>
      <w:r>
        <w:rPr>
          <w:rFonts w:eastAsia="Times New Roman"/>
          <w:sz w:val="24"/>
          <w:szCs w:val="24"/>
        </w:rPr>
        <w:t>053 03 Jablonov</w:t>
      </w:r>
    </w:p>
    <w:p w:rsidR="00622E1A" w:rsidRDefault="00EA62EF">
      <w:pPr>
        <w:ind w:left="20"/>
        <w:rPr>
          <w:sz w:val="20"/>
          <w:szCs w:val="20"/>
        </w:rPr>
      </w:pPr>
      <w:r>
        <w:rPr>
          <w:rFonts w:eastAsia="Times New Roman"/>
          <w:sz w:val="24"/>
          <w:szCs w:val="24"/>
        </w:rPr>
        <w:t>IČO: 00329193</w:t>
      </w:r>
    </w:p>
    <w:p w:rsidR="00622E1A" w:rsidRDefault="00622E1A">
      <w:pPr>
        <w:spacing w:line="12" w:lineRule="exact"/>
        <w:rPr>
          <w:sz w:val="24"/>
          <w:szCs w:val="24"/>
        </w:rPr>
      </w:pPr>
    </w:p>
    <w:p w:rsidR="00622E1A" w:rsidRDefault="00EA62EF">
      <w:pPr>
        <w:spacing w:line="234" w:lineRule="auto"/>
        <w:ind w:left="20" w:right="340"/>
        <w:rPr>
          <w:sz w:val="20"/>
          <w:szCs w:val="20"/>
        </w:rPr>
      </w:pPr>
      <w:r>
        <w:rPr>
          <w:rFonts w:eastAsia="Times New Roman"/>
          <w:sz w:val="24"/>
          <w:szCs w:val="24"/>
        </w:rPr>
        <w:t>Obec Jablonov (v ďalšom texte len „Obec“) bola založená v roku 1990 zákonom č. 369/1990 Zb. o obecnom zriadení.</w:t>
      </w:r>
    </w:p>
    <w:p w:rsidR="00622E1A" w:rsidRDefault="00622E1A">
      <w:pPr>
        <w:spacing w:line="200" w:lineRule="exact"/>
        <w:rPr>
          <w:sz w:val="24"/>
          <w:szCs w:val="24"/>
        </w:rPr>
      </w:pPr>
    </w:p>
    <w:p w:rsidR="00622E1A" w:rsidRDefault="00622E1A">
      <w:pPr>
        <w:spacing w:line="354" w:lineRule="exact"/>
        <w:rPr>
          <w:sz w:val="24"/>
          <w:szCs w:val="24"/>
        </w:rPr>
      </w:pPr>
    </w:p>
    <w:p w:rsidR="00622E1A" w:rsidRDefault="00EA62EF">
      <w:pPr>
        <w:ind w:left="20"/>
        <w:rPr>
          <w:sz w:val="20"/>
          <w:szCs w:val="20"/>
        </w:rPr>
      </w:pPr>
      <w:r>
        <w:rPr>
          <w:rFonts w:eastAsia="Times New Roman"/>
          <w:i/>
          <w:iCs/>
          <w:sz w:val="24"/>
          <w:szCs w:val="24"/>
          <w:u w:val="single"/>
        </w:rPr>
        <w:t>Identifikačné údaje konsolidovaných účtovných jednotiek</w:t>
      </w:r>
    </w:p>
    <w:p w:rsidR="00622E1A" w:rsidRDefault="00EA62EF">
      <w:pPr>
        <w:tabs>
          <w:tab w:val="left" w:pos="4200"/>
          <w:tab w:val="left" w:pos="5680"/>
          <w:tab w:val="left" w:pos="7580"/>
        </w:tabs>
        <w:ind w:left="20"/>
        <w:rPr>
          <w:sz w:val="20"/>
          <w:szCs w:val="20"/>
        </w:rPr>
      </w:pPr>
      <w:r>
        <w:rPr>
          <w:rFonts w:eastAsia="Times New Roman"/>
          <w:sz w:val="24"/>
          <w:szCs w:val="24"/>
        </w:rPr>
        <w:t>Obec  má  v  zriaďovateľskej  pôsobnosti</w:t>
      </w:r>
      <w:r>
        <w:rPr>
          <w:rFonts w:eastAsia="Times New Roman"/>
          <w:sz w:val="24"/>
          <w:szCs w:val="24"/>
        </w:rPr>
        <w:tab/>
        <w:t>1  rozpočtovú</w:t>
      </w:r>
      <w:r>
        <w:rPr>
          <w:rFonts w:eastAsia="Times New Roman"/>
          <w:sz w:val="24"/>
          <w:szCs w:val="24"/>
        </w:rPr>
        <w:tab/>
        <w:t>organizáciu,  a  to</w:t>
      </w:r>
      <w:r>
        <w:rPr>
          <w:rFonts w:eastAsia="Times New Roman"/>
          <w:sz w:val="24"/>
          <w:szCs w:val="24"/>
        </w:rPr>
        <w:tab/>
        <w:t>Základnú  školu</w:t>
      </w:r>
    </w:p>
    <w:p w:rsidR="00622E1A" w:rsidRDefault="00EA62EF">
      <w:pPr>
        <w:numPr>
          <w:ilvl w:val="0"/>
          <w:numId w:val="1"/>
        </w:numPr>
        <w:tabs>
          <w:tab w:val="left" w:pos="180"/>
        </w:tabs>
        <w:ind w:left="180" w:hanging="164"/>
        <w:rPr>
          <w:rFonts w:eastAsia="Times New Roman"/>
          <w:sz w:val="24"/>
          <w:szCs w:val="24"/>
        </w:rPr>
      </w:pPr>
      <w:r>
        <w:rPr>
          <w:rFonts w:eastAsia="Times New Roman"/>
          <w:sz w:val="24"/>
          <w:szCs w:val="24"/>
        </w:rPr>
        <w:t>materskou školou v Jablonove.</w:t>
      </w:r>
    </w:p>
    <w:p w:rsidR="00622E1A" w:rsidRDefault="00622E1A">
      <w:pPr>
        <w:spacing w:line="266" w:lineRule="exact"/>
        <w:rPr>
          <w:sz w:val="24"/>
          <w:szCs w:val="24"/>
        </w:rPr>
      </w:pPr>
    </w:p>
    <w:tbl>
      <w:tblPr>
        <w:tblW w:w="0" w:type="auto"/>
        <w:tblInd w:w="30" w:type="dxa"/>
        <w:tblLayout w:type="fixed"/>
        <w:tblCellMar>
          <w:left w:w="0" w:type="dxa"/>
          <w:right w:w="0" w:type="dxa"/>
        </w:tblCellMar>
        <w:tblLook w:val="04A0" w:firstRow="1" w:lastRow="0" w:firstColumn="1" w:lastColumn="0" w:noHBand="0" w:noVBand="1"/>
      </w:tblPr>
      <w:tblGrid>
        <w:gridCol w:w="4700"/>
        <w:gridCol w:w="4820"/>
      </w:tblGrid>
      <w:tr w:rsidR="00622E1A">
        <w:trPr>
          <w:trHeight w:val="278"/>
        </w:trPr>
        <w:tc>
          <w:tcPr>
            <w:tcW w:w="4700" w:type="dxa"/>
            <w:tcBorders>
              <w:top w:val="single" w:sz="8" w:space="0" w:color="auto"/>
              <w:left w:val="single" w:sz="8" w:space="0" w:color="auto"/>
              <w:right w:val="single" w:sz="8" w:space="0" w:color="auto"/>
            </w:tcBorders>
            <w:shd w:val="clear" w:color="auto" w:fill="F2F2F2"/>
            <w:vAlign w:val="bottom"/>
          </w:tcPr>
          <w:p w:rsidR="00622E1A" w:rsidRDefault="00EA62EF">
            <w:pPr>
              <w:ind w:left="100"/>
              <w:rPr>
                <w:sz w:val="20"/>
                <w:szCs w:val="20"/>
              </w:rPr>
            </w:pPr>
            <w:r>
              <w:rPr>
                <w:rFonts w:eastAsia="Times New Roman"/>
                <w:sz w:val="24"/>
                <w:szCs w:val="24"/>
              </w:rPr>
              <w:t>Názov konsolidovanej účtovnej jednotky</w:t>
            </w:r>
          </w:p>
        </w:tc>
        <w:tc>
          <w:tcPr>
            <w:tcW w:w="4820" w:type="dxa"/>
            <w:tcBorders>
              <w:top w:val="single" w:sz="8" w:space="0" w:color="auto"/>
              <w:right w:val="single" w:sz="8" w:space="0" w:color="auto"/>
            </w:tcBorders>
            <w:shd w:val="clear" w:color="auto" w:fill="F2F2F2"/>
            <w:vAlign w:val="bottom"/>
          </w:tcPr>
          <w:p w:rsidR="00622E1A" w:rsidRDefault="00EA62EF">
            <w:pPr>
              <w:ind w:left="80"/>
              <w:rPr>
                <w:sz w:val="20"/>
                <w:szCs w:val="20"/>
              </w:rPr>
            </w:pPr>
            <w:r>
              <w:rPr>
                <w:rFonts w:eastAsia="Times New Roman"/>
                <w:sz w:val="24"/>
                <w:szCs w:val="24"/>
              </w:rPr>
              <w:t>Sídlo konsolidovanej účtovnej jednotky</w:t>
            </w:r>
          </w:p>
        </w:tc>
      </w:tr>
      <w:tr w:rsidR="00622E1A">
        <w:trPr>
          <w:trHeight w:val="147"/>
        </w:trPr>
        <w:tc>
          <w:tcPr>
            <w:tcW w:w="4700" w:type="dxa"/>
            <w:tcBorders>
              <w:left w:val="single" w:sz="8" w:space="0" w:color="auto"/>
              <w:bottom w:val="single" w:sz="8" w:space="0" w:color="auto"/>
              <w:right w:val="single" w:sz="8" w:space="0" w:color="auto"/>
            </w:tcBorders>
            <w:shd w:val="clear" w:color="auto" w:fill="F2F2F2"/>
            <w:vAlign w:val="bottom"/>
          </w:tcPr>
          <w:p w:rsidR="00622E1A" w:rsidRDefault="00622E1A">
            <w:pPr>
              <w:rPr>
                <w:sz w:val="12"/>
                <w:szCs w:val="12"/>
              </w:rPr>
            </w:pPr>
          </w:p>
        </w:tc>
        <w:tc>
          <w:tcPr>
            <w:tcW w:w="4820" w:type="dxa"/>
            <w:tcBorders>
              <w:bottom w:val="single" w:sz="8" w:space="0" w:color="auto"/>
              <w:right w:val="single" w:sz="8" w:space="0" w:color="auto"/>
            </w:tcBorders>
            <w:shd w:val="clear" w:color="auto" w:fill="F2F2F2"/>
            <w:vAlign w:val="bottom"/>
          </w:tcPr>
          <w:p w:rsidR="00622E1A" w:rsidRDefault="00622E1A">
            <w:pPr>
              <w:rPr>
                <w:sz w:val="12"/>
                <w:szCs w:val="12"/>
              </w:rPr>
            </w:pPr>
          </w:p>
        </w:tc>
      </w:tr>
      <w:tr w:rsidR="00622E1A">
        <w:trPr>
          <w:trHeight w:val="261"/>
        </w:trPr>
        <w:tc>
          <w:tcPr>
            <w:tcW w:w="4700" w:type="dxa"/>
            <w:tcBorders>
              <w:left w:val="single" w:sz="8" w:space="0" w:color="auto"/>
              <w:bottom w:val="single" w:sz="8" w:space="0" w:color="auto"/>
              <w:right w:val="single" w:sz="8" w:space="0" w:color="auto"/>
            </w:tcBorders>
            <w:vAlign w:val="bottom"/>
          </w:tcPr>
          <w:p w:rsidR="00622E1A" w:rsidRDefault="00EA62EF">
            <w:pPr>
              <w:spacing w:line="260" w:lineRule="exact"/>
              <w:ind w:left="100"/>
              <w:rPr>
                <w:sz w:val="20"/>
                <w:szCs w:val="20"/>
              </w:rPr>
            </w:pPr>
            <w:r>
              <w:rPr>
                <w:rFonts w:eastAsia="Times New Roman"/>
                <w:sz w:val="24"/>
                <w:szCs w:val="24"/>
              </w:rPr>
              <w:t>Základná škola s materskou školou Jablonov</w:t>
            </w:r>
          </w:p>
        </w:tc>
        <w:tc>
          <w:tcPr>
            <w:tcW w:w="4820" w:type="dxa"/>
            <w:tcBorders>
              <w:bottom w:val="single" w:sz="8" w:space="0" w:color="auto"/>
              <w:right w:val="single" w:sz="8" w:space="0" w:color="auto"/>
            </w:tcBorders>
            <w:vAlign w:val="bottom"/>
          </w:tcPr>
          <w:p w:rsidR="00622E1A" w:rsidRDefault="00EA62EF">
            <w:pPr>
              <w:spacing w:line="260" w:lineRule="exact"/>
              <w:ind w:left="80"/>
              <w:rPr>
                <w:sz w:val="20"/>
                <w:szCs w:val="20"/>
              </w:rPr>
            </w:pPr>
            <w:r>
              <w:rPr>
                <w:rFonts w:eastAsia="Times New Roman"/>
                <w:sz w:val="24"/>
                <w:szCs w:val="24"/>
              </w:rPr>
              <w:t>Jablonov 209, 053 03 Jablonov</w:t>
            </w:r>
          </w:p>
        </w:tc>
      </w:tr>
      <w:tr w:rsidR="00622E1A">
        <w:trPr>
          <w:trHeight w:val="271"/>
        </w:trPr>
        <w:tc>
          <w:tcPr>
            <w:tcW w:w="4700" w:type="dxa"/>
            <w:tcBorders>
              <w:left w:val="single" w:sz="8" w:space="0" w:color="auto"/>
              <w:bottom w:val="single" w:sz="8" w:space="0" w:color="auto"/>
              <w:right w:val="single" w:sz="8" w:space="0" w:color="auto"/>
            </w:tcBorders>
            <w:vAlign w:val="bottom"/>
          </w:tcPr>
          <w:p w:rsidR="00622E1A" w:rsidRDefault="00622E1A">
            <w:pPr>
              <w:rPr>
                <w:sz w:val="23"/>
                <w:szCs w:val="23"/>
              </w:rPr>
            </w:pPr>
          </w:p>
        </w:tc>
        <w:tc>
          <w:tcPr>
            <w:tcW w:w="4820" w:type="dxa"/>
            <w:tcBorders>
              <w:bottom w:val="single" w:sz="8" w:space="0" w:color="auto"/>
              <w:right w:val="single" w:sz="8" w:space="0" w:color="auto"/>
            </w:tcBorders>
            <w:vAlign w:val="bottom"/>
          </w:tcPr>
          <w:p w:rsidR="00622E1A" w:rsidRDefault="00622E1A">
            <w:pPr>
              <w:rPr>
                <w:sz w:val="23"/>
                <w:szCs w:val="23"/>
              </w:rPr>
            </w:pPr>
          </w:p>
        </w:tc>
      </w:tr>
    </w:tbl>
    <w:p w:rsidR="00622E1A" w:rsidRDefault="00622E1A">
      <w:pPr>
        <w:spacing w:line="266" w:lineRule="exact"/>
        <w:rPr>
          <w:sz w:val="24"/>
          <w:szCs w:val="24"/>
        </w:rPr>
      </w:pPr>
    </w:p>
    <w:p w:rsidR="00622E1A" w:rsidRDefault="00EA62EF">
      <w:pPr>
        <w:ind w:left="20"/>
        <w:rPr>
          <w:sz w:val="20"/>
          <w:szCs w:val="20"/>
        </w:rPr>
      </w:pPr>
      <w:r>
        <w:rPr>
          <w:rFonts w:eastAsia="Times New Roman"/>
          <w:sz w:val="24"/>
          <w:szCs w:val="24"/>
        </w:rPr>
        <w:t xml:space="preserve">Konsolidovaný </w:t>
      </w:r>
      <w:r w:rsidR="00730285">
        <w:rPr>
          <w:rFonts w:eastAsia="Times New Roman"/>
          <w:sz w:val="24"/>
          <w:szCs w:val="24"/>
        </w:rPr>
        <w:t>celok Obce sa v roku 2019</w:t>
      </w:r>
      <w:r>
        <w:rPr>
          <w:rFonts w:eastAsia="Times New Roman"/>
          <w:sz w:val="24"/>
          <w:szCs w:val="24"/>
        </w:rPr>
        <w:t xml:space="preserve"> oproti minulým účtovným obdobiam nezmenil.</w:t>
      </w:r>
    </w:p>
    <w:p w:rsidR="00622E1A" w:rsidRDefault="00622E1A">
      <w:pPr>
        <w:spacing w:line="289" w:lineRule="exact"/>
        <w:rPr>
          <w:sz w:val="24"/>
          <w:szCs w:val="24"/>
        </w:rPr>
      </w:pPr>
    </w:p>
    <w:p w:rsidR="00622E1A" w:rsidRDefault="00EA62EF">
      <w:pPr>
        <w:spacing w:line="234" w:lineRule="auto"/>
        <w:ind w:left="20" w:right="340"/>
        <w:jc w:val="both"/>
        <w:rPr>
          <w:sz w:val="20"/>
          <w:szCs w:val="20"/>
        </w:rPr>
      </w:pPr>
      <w:r>
        <w:rPr>
          <w:rFonts w:eastAsia="Times New Roman"/>
          <w:sz w:val="24"/>
          <w:szCs w:val="24"/>
        </w:rPr>
        <w:t xml:space="preserve">Prehľad o účtovných jednotkách konsolidovaného celku je uvedený, v tabuľkovej časti </w:t>
      </w:r>
      <w:r>
        <w:rPr>
          <w:rFonts w:eastAsia="Times New Roman"/>
          <w:i/>
          <w:iCs/>
          <w:sz w:val="24"/>
          <w:szCs w:val="24"/>
        </w:rPr>
        <w:t>Údaje</w:t>
      </w:r>
      <w:r>
        <w:rPr>
          <w:rFonts w:eastAsia="Times New Roman"/>
          <w:sz w:val="24"/>
          <w:szCs w:val="24"/>
        </w:rPr>
        <w:t xml:space="preserve"> </w:t>
      </w:r>
      <w:r>
        <w:rPr>
          <w:rFonts w:eastAsia="Times New Roman"/>
          <w:i/>
          <w:iCs/>
          <w:sz w:val="24"/>
          <w:szCs w:val="24"/>
        </w:rPr>
        <w:t>o konsolidovanom celku</w:t>
      </w:r>
      <w:r>
        <w:rPr>
          <w:rFonts w:eastAsia="Times New Roman"/>
          <w:sz w:val="24"/>
          <w:szCs w:val="24"/>
        </w:rPr>
        <w:t>.</w:t>
      </w:r>
    </w:p>
    <w:p w:rsidR="00622E1A" w:rsidRDefault="00622E1A">
      <w:pPr>
        <w:spacing w:line="290" w:lineRule="exact"/>
        <w:rPr>
          <w:sz w:val="24"/>
          <w:szCs w:val="24"/>
        </w:rPr>
      </w:pPr>
    </w:p>
    <w:p w:rsidR="00622E1A" w:rsidRDefault="00EA62EF">
      <w:pPr>
        <w:spacing w:line="237" w:lineRule="auto"/>
        <w:ind w:left="20" w:right="360"/>
        <w:jc w:val="both"/>
        <w:rPr>
          <w:sz w:val="20"/>
          <w:szCs w:val="20"/>
        </w:rPr>
      </w:pPr>
      <w:r>
        <w:rPr>
          <w:rFonts w:eastAsia="Times New Roman"/>
          <w:sz w:val="24"/>
          <w:szCs w:val="24"/>
        </w:rPr>
        <w:t>Konsolidovaná účtovná závierka konsolidovaného celku Obce k 31. decembr</w:t>
      </w:r>
      <w:r w:rsidR="00730285">
        <w:rPr>
          <w:rFonts w:eastAsia="Times New Roman"/>
          <w:sz w:val="24"/>
          <w:szCs w:val="24"/>
        </w:rPr>
        <w:t>u 2019</w:t>
      </w:r>
      <w:r>
        <w:rPr>
          <w:rFonts w:eastAsia="Times New Roman"/>
          <w:sz w:val="24"/>
          <w:szCs w:val="24"/>
        </w:rPr>
        <w:t xml:space="preserve"> je zostavená ako riadna konsolidovaná účtovná závierka podľa zákona č. 431/2002 Z. z. o účtovníctve v znení neskorších predpisov, za úč</w:t>
      </w:r>
      <w:r w:rsidR="00645455">
        <w:rPr>
          <w:rFonts w:eastAsia="Times New Roman"/>
          <w:sz w:val="24"/>
          <w:szCs w:val="24"/>
        </w:rPr>
        <w:t>tovné obdobie od 1. januára 201</w:t>
      </w:r>
      <w:r w:rsidR="00730285">
        <w:rPr>
          <w:rFonts w:eastAsia="Times New Roman"/>
          <w:sz w:val="24"/>
          <w:szCs w:val="24"/>
        </w:rPr>
        <w:t>9 do 31. decembra 2019</w:t>
      </w:r>
      <w:r>
        <w:rPr>
          <w:rFonts w:eastAsia="Times New Roman"/>
          <w:sz w:val="24"/>
          <w:szCs w:val="24"/>
        </w:rPr>
        <w:t>.</w:t>
      </w:r>
    </w:p>
    <w:p w:rsidR="00622E1A" w:rsidRDefault="00622E1A">
      <w:pPr>
        <w:spacing w:line="278" w:lineRule="exact"/>
        <w:rPr>
          <w:sz w:val="24"/>
          <w:szCs w:val="24"/>
        </w:rPr>
      </w:pPr>
    </w:p>
    <w:p w:rsidR="00622E1A" w:rsidRDefault="00EA62EF">
      <w:pPr>
        <w:ind w:left="20"/>
        <w:rPr>
          <w:sz w:val="20"/>
          <w:szCs w:val="20"/>
        </w:rPr>
      </w:pPr>
      <w:r>
        <w:rPr>
          <w:rFonts w:eastAsia="Times New Roman"/>
          <w:sz w:val="24"/>
          <w:szCs w:val="24"/>
        </w:rPr>
        <w:t>Obec je súčasťou súhrnného celku verejnej správy Slovenskej republiky.</w:t>
      </w:r>
    </w:p>
    <w:p w:rsidR="00622E1A" w:rsidRDefault="00622E1A">
      <w:pPr>
        <w:spacing w:line="336" w:lineRule="exact"/>
        <w:rPr>
          <w:sz w:val="24"/>
          <w:szCs w:val="24"/>
        </w:rPr>
      </w:pPr>
    </w:p>
    <w:p w:rsidR="00622E1A" w:rsidRDefault="00EA62EF">
      <w:pPr>
        <w:ind w:left="20"/>
        <w:rPr>
          <w:sz w:val="20"/>
          <w:szCs w:val="20"/>
        </w:rPr>
      </w:pPr>
      <w:r>
        <w:rPr>
          <w:rFonts w:eastAsia="Times New Roman"/>
          <w:i/>
          <w:iCs/>
          <w:sz w:val="24"/>
          <w:szCs w:val="24"/>
          <w:u w:val="single"/>
        </w:rPr>
        <w:t>Informácie o vedúcich predstaviteľoch a o zamestnancoch konsolidovaného celku</w:t>
      </w:r>
    </w:p>
    <w:p w:rsidR="00622E1A" w:rsidRDefault="00622E1A">
      <w:pPr>
        <w:sectPr w:rsidR="00622E1A">
          <w:pgSz w:w="11900" w:h="16838"/>
          <w:pgMar w:top="932" w:right="986" w:bottom="428" w:left="1400" w:header="0" w:footer="0" w:gutter="0"/>
          <w:cols w:space="708" w:equalWidth="0">
            <w:col w:w="9520"/>
          </w:cols>
        </w:sectPr>
      </w:pPr>
    </w:p>
    <w:p w:rsidR="00622E1A" w:rsidRDefault="00622E1A">
      <w:pPr>
        <w:spacing w:line="240" w:lineRule="exact"/>
        <w:rPr>
          <w:sz w:val="24"/>
          <w:szCs w:val="24"/>
        </w:rPr>
      </w:pPr>
    </w:p>
    <w:p w:rsidR="00622E1A" w:rsidRDefault="00EA62EF">
      <w:pPr>
        <w:ind w:left="20"/>
        <w:rPr>
          <w:sz w:val="20"/>
          <w:szCs w:val="20"/>
        </w:rPr>
      </w:pPr>
      <w:r>
        <w:rPr>
          <w:rFonts w:eastAsia="Times New Roman"/>
          <w:sz w:val="24"/>
          <w:szCs w:val="24"/>
        </w:rPr>
        <w:t>Starosta obce:</w:t>
      </w:r>
    </w:p>
    <w:p w:rsidR="00622E1A" w:rsidRDefault="00622E1A">
      <w:pPr>
        <w:spacing w:line="1" w:lineRule="exact"/>
        <w:rPr>
          <w:sz w:val="24"/>
          <w:szCs w:val="24"/>
        </w:rPr>
      </w:pPr>
    </w:p>
    <w:p w:rsidR="00622E1A" w:rsidRDefault="00EA62EF" w:rsidP="00645455">
      <w:pPr>
        <w:ind w:left="20"/>
        <w:rPr>
          <w:sz w:val="20"/>
          <w:szCs w:val="20"/>
        </w:rPr>
      </w:pPr>
      <w:r>
        <w:rPr>
          <w:rFonts w:eastAsia="Times New Roman"/>
          <w:sz w:val="24"/>
          <w:szCs w:val="24"/>
        </w:rPr>
        <w:t>Zástupca starostu:</w:t>
      </w:r>
    </w:p>
    <w:p w:rsidR="00730285" w:rsidRDefault="00730285">
      <w:pPr>
        <w:ind w:left="20"/>
        <w:rPr>
          <w:rFonts w:eastAsia="Times New Roman"/>
          <w:sz w:val="24"/>
          <w:szCs w:val="24"/>
        </w:rPr>
      </w:pPr>
      <w:r>
        <w:rPr>
          <w:rFonts w:eastAsia="Times New Roman"/>
          <w:sz w:val="24"/>
          <w:szCs w:val="24"/>
        </w:rPr>
        <w:t>Hlavný kontrolór obce:</w:t>
      </w:r>
    </w:p>
    <w:p w:rsidR="00622E1A" w:rsidRDefault="00EA62EF">
      <w:pPr>
        <w:ind w:left="20"/>
        <w:rPr>
          <w:sz w:val="20"/>
          <w:szCs w:val="20"/>
        </w:rPr>
      </w:pPr>
      <w:r>
        <w:rPr>
          <w:rFonts w:eastAsia="Times New Roman"/>
          <w:sz w:val="24"/>
          <w:szCs w:val="24"/>
        </w:rPr>
        <w:t>Riaditeľ ZŠ s MŠ:</w:t>
      </w:r>
    </w:p>
    <w:p w:rsidR="00622E1A" w:rsidRDefault="00EA62EF">
      <w:pPr>
        <w:spacing w:line="20" w:lineRule="exact"/>
        <w:rPr>
          <w:sz w:val="24"/>
          <w:szCs w:val="24"/>
        </w:rPr>
      </w:pPr>
      <w:r>
        <w:rPr>
          <w:sz w:val="24"/>
          <w:szCs w:val="24"/>
        </w:rPr>
        <w:br w:type="column"/>
      </w:r>
    </w:p>
    <w:p w:rsidR="00622E1A" w:rsidRDefault="00622E1A">
      <w:pPr>
        <w:spacing w:line="220" w:lineRule="exact"/>
        <w:rPr>
          <w:sz w:val="24"/>
          <w:szCs w:val="24"/>
        </w:rPr>
      </w:pPr>
    </w:p>
    <w:p w:rsidR="00622E1A" w:rsidRDefault="00645455">
      <w:pPr>
        <w:rPr>
          <w:sz w:val="20"/>
          <w:szCs w:val="20"/>
        </w:rPr>
      </w:pPr>
      <w:r>
        <w:rPr>
          <w:rFonts w:eastAsia="Times New Roman"/>
          <w:sz w:val="24"/>
          <w:szCs w:val="24"/>
        </w:rPr>
        <w:t xml:space="preserve">Jozef </w:t>
      </w:r>
      <w:proofErr w:type="spellStart"/>
      <w:r>
        <w:rPr>
          <w:rFonts w:eastAsia="Times New Roman"/>
          <w:sz w:val="24"/>
          <w:szCs w:val="24"/>
        </w:rPr>
        <w:t>Molčan</w:t>
      </w:r>
      <w:proofErr w:type="spellEnd"/>
    </w:p>
    <w:p w:rsidR="00622E1A" w:rsidRDefault="00622E1A">
      <w:pPr>
        <w:spacing w:line="1" w:lineRule="exact"/>
        <w:rPr>
          <w:sz w:val="24"/>
          <w:szCs w:val="24"/>
        </w:rPr>
      </w:pPr>
    </w:p>
    <w:p w:rsidR="00622E1A" w:rsidRDefault="00EA62EF">
      <w:pPr>
        <w:rPr>
          <w:sz w:val="20"/>
          <w:szCs w:val="20"/>
        </w:rPr>
      </w:pPr>
      <w:r>
        <w:rPr>
          <w:rFonts w:eastAsia="Times New Roman"/>
          <w:sz w:val="24"/>
          <w:szCs w:val="24"/>
        </w:rPr>
        <w:t>Ing. Tomáš Nič</w:t>
      </w:r>
    </w:p>
    <w:p w:rsidR="00622E1A" w:rsidRDefault="00622E1A">
      <w:pPr>
        <w:spacing w:line="12" w:lineRule="exact"/>
        <w:rPr>
          <w:sz w:val="24"/>
          <w:szCs w:val="24"/>
        </w:rPr>
      </w:pPr>
    </w:p>
    <w:p w:rsidR="00730285" w:rsidRDefault="00730285">
      <w:pPr>
        <w:rPr>
          <w:rFonts w:eastAsia="Times New Roman"/>
          <w:sz w:val="23"/>
          <w:szCs w:val="23"/>
        </w:rPr>
      </w:pPr>
      <w:r>
        <w:rPr>
          <w:rFonts w:eastAsia="Times New Roman"/>
          <w:sz w:val="23"/>
          <w:szCs w:val="23"/>
        </w:rPr>
        <w:t xml:space="preserve">JUDr. Ing. Stanislav </w:t>
      </w:r>
      <w:proofErr w:type="spellStart"/>
      <w:r>
        <w:rPr>
          <w:rFonts w:eastAsia="Times New Roman"/>
          <w:sz w:val="23"/>
          <w:szCs w:val="23"/>
        </w:rPr>
        <w:t>Kandrik</w:t>
      </w:r>
      <w:proofErr w:type="spellEnd"/>
      <w:r>
        <w:rPr>
          <w:rFonts w:eastAsia="Times New Roman"/>
          <w:sz w:val="23"/>
          <w:szCs w:val="23"/>
        </w:rPr>
        <w:t>, LL.M.</w:t>
      </w:r>
    </w:p>
    <w:p w:rsidR="00622E1A" w:rsidRDefault="00EA62EF">
      <w:pPr>
        <w:rPr>
          <w:sz w:val="20"/>
          <w:szCs w:val="20"/>
        </w:rPr>
      </w:pPr>
      <w:r>
        <w:rPr>
          <w:rFonts w:eastAsia="Times New Roman"/>
          <w:sz w:val="23"/>
          <w:szCs w:val="23"/>
        </w:rPr>
        <w:t>Mgr. Adriana Múdra</w:t>
      </w:r>
    </w:p>
    <w:p w:rsidR="00622E1A" w:rsidRDefault="00622E1A">
      <w:pPr>
        <w:spacing w:line="200" w:lineRule="exact"/>
        <w:rPr>
          <w:sz w:val="24"/>
          <w:szCs w:val="24"/>
        </w:rPr>
      </w:pPr>
    </w:p>
    <w:p w:rsidR="00622E1A" w:rsidRDefault="00622E1A">
      <w:pPr>
        <w:sectPr w:rsidR="00622E1A">
          <w:type w:val="continuous"/>
          <w:pgSz w:w="11900" w:h="16838"/>
          <w:pgMar w:top="932" w:right="986" w:bottom="428" w:left="1400" w:header="0" w:footer="0" w:gutter="0"/>
          <w:cols w:num="2" w:space="708" w:equalWidth="0">
            <w:col w:w="2260" w:space="600"/>
            <w:col w:w="6660"/>
          </w:cols>
        </w:sectPr>
      </w:pPr>
    </w:p>
    <w:p w:rsidR="00622E1A" w:rsidRDefault="00622E1A">
      <w:pPr>
        <w:spacing w:line="88" w:lineRule="exact"/>
        <w:rPr>
          <w:sz w:val="24"/>
          <w:szCs w:val="24"/>
        </w:rPr>
      </w:pPr>
    </w:p>
    <w:p w:rsidR="00622E1A" w:rsidRPr="00DA0C2B" w:rsidRDefault="00EA62EF" w:rsidP="00DA0C2B">
      <w:pPr>
        <w:pStyle w:val="Default"/>
      </w:pPr>
      <w:r>
        <w:rPr>
          <w:rFonts w:eastAsia="Times New Roman"/>
        </w:rPr>
        <w:t>Priemerný počet zamestnancov k</w:t>
      </w:r>
      <w:r w:rsidR="00AA23CB">
        <w:rPr>
          <w:rFonts w:eastAsia="Times New Roman"/>
        </w:rPr>
        <w:t>onsolidovaného celku Obce bol 25</w:t>
      </w:r>
      <w:r w:rsidR="00DA0C2B">
        <w:rPr>
          <w:rFonts w:eastAsia="Times New Roman"/>
        </w:rPr>
        <w:t xml:space="preserve">, z toho 4 vedúci zamestnanci </w:t>
      </w:r>
      <w:r w:rsidR="00DA0C2B">
        <w:rPr>
          <w:sz w:val="23"/>
          <w:szCs w:val="23"/>
        </w:rPr>
        <w:t>(v roku 2018 bol priemerný počet zamestnancov 22, z toho 4 vedúci zamestnanci).</w:t>
      </w:r>
    </w:p>
    <w:p w:rsidR="00622E1A" w:rsidRDefault="00622E1A">
      <w:pPr>
        <w:spacing w:line="200" w:lineRule="exact"/>
        <w:rPr>
          <w:sz w:val="24"/>
          <w:szCs w:val="24"/>
        </w:rPr>
      </w:pPr>
    </w:p>
    <w:p w:rsidR="00622E1A" w:rsidRDefault="00622E1A">
      <w:pPr>
        <w:spacing w:line="200" w:lineRule="exact"/>
        <w:rPr>
          <w:sz w:val="24"/>
          <w:szCs w:val="24"/>
        </w:rPr>
      </w:pPr>
    </w:p>
    <w:p w:rsidR="00622E1A" w:rsidRDefault="00622E1A">
      <w:pPr>
        <w:spacing w:line="200" w:lineRule="exact"/>
        <w:rPr>
          <w:sz w:val="24"/>
          <w:szCs w:val="24"/>
        </w:rPr>
      </w:pPr>
    </w:p>
    <w:p w:rsidR="00622E1A" w:rsidRDefault="00622E1A">
      <w:pPr>
        <w:spacing w:line="254" w:lineRule="exact"/>
        <w:rPr>
          <w:sz w:val="24"/>
          <w:szCs w:val="24"/>
        </w:rPr>
      </w:pPr>
    </w:p>
    <w:p w:rsidR="00622E1A" w:rsidRDefault="00EA62EF">
      <w:pPr>
        <w:ind w:right="400"/>
        <w:jc w:val="center"/>
        <w:rPr>
          <w:sz w:val="20"/>
          <w:szCs w:val="20"/>
        </w:rPr>
      </w:pPr>
      <w:r>
        <w:rPr>
          <w:rFonts w:eastAsia="Times New Roman"/>
          <w:sz w:val="24"/>
          <w:szCs w:val="24"/>
        </w:rPr>
        <w:t>1</w:t>
      </w:r>
    </w:p>
    <w:p w:rsidR="00622E1A" w:rsidRDefault="00622E1A">
      <w:pPr>
        <w:sectPr w:rsidR="00622E1A">
          <w:type w:val="continuous"/>
          <w:pgSz w:w="11900" w:h="16838"/>
          <w:pgMar w:top="932" w:right="986" w:bottom="428" w:left="1400" w:header="0" w:footer="0" w:gutter="0"/>
          <w:cols w:space="708" w:equalWidth="0">
            <w:col w:w="9520"/>
          </w:cols>
        </w:sectPr>
      </w:pPr>
    </w:p>
    <w:p w:rsidR="00622E1A" w:rsidRDefault="00EA62EF">
      <w:pPr>
        <w:ind w:left="1360"/>
        <w:rPr>
          <w:sz w:val="20"/>
          <w:szCs w:val="20"/>
        </w:rPr>
      </w:pPr>
      <w:bookmarkStart w:id="1" w:name="page2"/>
      <w:bookmarkEnd w:id="1"/>
      <w:r>
        <w:rPr>
          <w:rFonts w:eastAsia="Times New Roman"/>
          <w:sz w:val="20"/>
          <w:szCs w:val="20"/>
        </w:rPr>
        <w:lastRenderedPageBreak/>
        <w:t>Poznámky  konsolidovanej účtovnej závierk</w:t>
      </w:r>
      <w:r w:rsidR="00AA23CB">
        <w:rPr>
          <w:rFonts w:eastAsia="Times New Roman"/>
          <w:sz w:val="20"/>
          <w:szCs w:val="20"/>
        </w:rPr>
        <w:t>y zostavenej k 31. decembru 2019</w:t>
      </w:r>
    </w:p>
    <w:p w:rsidR="00622E1A" w:rsidRDefault="00EA62EF">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-20320</wp:posOffset>
                </wp:positionH>
                <wp:positionV relativeFrom="paragraph">
                  <wp:posOffset>19050</wp:posOffset>
                </wp:positionV>
                <wp:extent cx="579818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DD41B7A" id="Shape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1.5pt" to="454.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gYuQEAAH8DAAAOAAAAZHJzL2Uyb0RvYy54bWysU01vGyEQvVfqf0Dc6127jeOsvM4hqXuJ&#10;Wktpf8AYWC8qX2Kod/3vO+CPxm1OUTmMGObxmPeA5f1oDduriNq7lk8nNWfKCS+127X8x/f1hwVn&#10;mMBJMN6plh8U8vvV+3fLITRq5ntvpIqMSBw2Q2h5n1JoqgpFryzgxAflqNj5aCFRGneVjDAQuzXV&#10;rK7n1eCjDNELhUirj8ciXxX+rlMifes6VImZllNvqcRY4jbHarWEZhch9Fqc2oA3dGFBOzr0QvUI&#10;CdivqP+hslpEj75LE+Ft5btOC1U0kJpp/Zea5x6CKlrIHAwXm/D/0Yqv+01kWrZ8xpkDS1dUTmWz&#10;bM0QsCHEg9vELE6M7jk8efETqVZdFXOC4Qgbu2gznNSxsVh9uFitxsQELd7c3i2mixvOBNU+3c4/&#10;5uMqaM57Q8T0RXnL8qTlRrtsBDSwf8J0hJ4heRm90XKtjSlJ3G0fTGR7oEtfl3Fiv4IZx4aWz+u7&#10;eWG+quFLirqM1yisTvR6jbYtX1xA0PQK5GcnqU1oEmhznJM6406+Ha3Kpm29PGzi2U+65WLD6UXm&#10;Z/QyL7v//JvVbwAAAP//AwBQSwMEFAAGAAgAAAAhAE4iQM7cAAAABgEAAA8AAABkcnMvZG93bnJl&#10;di54bWxMj0FLw0AUhO+C/2F5grd2Y4tiYjalFrwoUoyCHl+yzySafRuz2zb99z696HGYYeabfDW5&#10;Xu1pDJ1nAxfzBBRx7W3HjYGX57vZNagQkS32nsnAkQKsitOTHDPrD/xE+zI2Sko4ZGigjXHItA51&#10;Sw7D3A/E4r370WEUOTbajniQctfrRZJcaYcdy0KLA21aqj/LnTNwWz28vfothnJbxcfj/eXmY/3V&#10;GXN+Nq1vQEWa4l8YfvAFHQphqvyObVC9gdlyIUkDS3kkdpqkKajqV+si1//xi28AAAD//wMAUEsB&#10;Ai0AFAAGAAgAAAAhALaDOJL+AAAA4QEAABMAAAAAAAAAAAAAAAAAAAAAAFtDb250ZW50X1R5cGVz&#10;XS54bWxQSwECLQAUAAYACAAAACEAOP0h/9YAAACUAQAACwAAAAAAAAAAAAAAAAAvAQAAX3JlbHMv&#10;LnJlbHNQSwECLQAUAAYACAAAACEAZ+0YGLkBAAB/AwAADgAAAAAAAAAAAAAAAAAuAgAAZHJzL2Uy&#10;b0RvYy54bWxQSwECLQAUAAYACAAAACEATiJAztwAAAAGAQAADwAAAAAAAAAAAAAAAAATBAAAZHJz&#10;L2Rvd25yZXYueG1sUEsFBgAAAAAEAAQA8wAAABwFAAAAAA==&#10;" o:allowincell="f" filled="t" strokeweight=".48pt">
                <v:stroke joinstyle="miter"/>
                <o:lock v:ext="edit" shapetype="f"/>
              </v:line>
            </w:pict>
          </mc:Fallback>
        </mc:AlternateContent>
      </w:r>
    </w:p>
    <w:p w:rsidR="00622E1A" w:rsidRDefault="00622E1A">
      <w:pPr>
        <w:spacing w:line="200" w:lineRule="exact"/>
        <w:rPr>
          <w:sz w:val="20"/>
          <w:szCs w:val="20"/>
        </w:rPr>
      </w:pPr>
    </w:p>
    <w:p w:rsidR="00622E1A" w:rsidRDefault="00622E1A">
      <w:pPr>
        <w:spacing w:line="357" w:lineRule="exact"/>
        <w:rPr>
          <w:sz w:val="20"/>
          <w:szCs w:val="20"/>
        </w:rPr>
      </w:pPr>
    </w:p>
    <w:p w:rsidR="00622E1A" w:rsidRDefault="00EA62EF">
      <w:pPr>
        <w:rPr>
          <w:sz w:val="20"/>
          <w:szCs w:val="20"/>
        </w:rPr>
      </w:pPr>
      <w:r>
        <w:rPr>
          <w:rFonts w:eastAsia="Times New Roman"/>
          <w:i/>
          <w:iCs/>
          <w:sz w:val="24"/>
          <w:szCs w:val="24"/>
          <w:u w:val="single"/>
        </w:rPr>
        <w:t>Informácia o splnení predpokladu nepretržitého pokračovania v činnosti účtovnej jednotky</w:t>
      </w:r>
    </w:p>
    <w:p w:rsidR="00622E1A" w:rsidRDefault="00622E1A">
      <w:pPr>
        <w:spacing w:line="252" w:lineRule="exact"/>
        <w:rPr>
          <w:sz w:val="20"/>
          <w:szCs w:val="20"/>
        </w:rPr>
      </w:pPr>
    </w:p>
    <w:p w:rsidR="00622E1A" w:rsidRDefault="00EA62EF">
      <w:pPr>
        <w:spacing w:line="236" w:lineRule="auto"/>
        <w:ind w:right="100"/>
        <w:jc w:val="both"/>
        <w:rPr>
          <w:sz w:val="20"/>
          <w:szCs w:val="20"/>
        </w:rPr>
      </w:pPr>
      <w:r>
        <w:rPr>
          <w:rFonts w:eastAsia="Times New Roman"/>
          <w:sz w:val="24"/>
          <w:szCs w:val="24"/>
        </w:rP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rsidR="00622E1A" w:rsidRDefault="00622E1A">
      <w:pPr>
        <w:spacing w:line="338" w:lineRule="exact"/>
        <w:rPr>
          <w:sz w:val="20"/>
          <w:szCs w:val="20"/>
        </w:rPr>
      </w:pPr>
    </w:p>
    <w:p w:rsidR="00622E1A" w:rsidRDefault="00EA62EF">
      <w:pPr>
        <w:rPr>
          <w:sz w:val="20"/>
          <w:szCs w:val="20"/>
        </w:rPr>
      </w:pPr>
      <w:r>
        <w:rPr>
          <w:rFonts w:eastAsia="Times New Roman"/>
          <w:i/>
          <w:iCs/>
          <w:sz w:val="24"/>
          <w:szCs w:val="24"/>
          <w:u w:val="single"/>
        </w:rPr>
        <w:t>Zmeny účtovných metód a účtovných zásad</w:t>
      </w:r>
    </w:p>
    <w:p w:rsidR="00622E1A" w:rsidRDefault="00622E1A">
      <w:pPr>
        <w:spacing w:line="252" w:lineRule="exact"/>
        <w:rPr>
          <w:sz w:val="20"/>
          <w:szCs w:val="20"/>
        </w:rPr>
      </w:pPr>
    </w:p>
    <w:p w:rsidR="00622E1A" w:rsidRDefault="00EA62EF">
      <w:pPr>
        <w:spacing w:line="234" w:lineRule="auto"/>
        <w:ind w:right="80"/>
        <w:jc w:val="both"/>
        <w:rPr>
          <w:sz w:val="20"/>
          <w:szCs w:val="20"/>
        </w:rPr>
      </w:pPr>
      <w:r>
        <w:rPr>
          <w:rFonts w:eastAsia="Times New Roman"/>
          <w:sz w:val="24"/>
          <w:szCs w:val="24"/>
        </w:rPr>
        <w:t>Účtovné metódy a všeobecné účtovné zásady boli v konsolidovanom celku konzistentne aplikované.</w:t>
      </w:r>
    </w:p>
    <w:p w:rsidR="00622E1A" w:rsidRDefault="00622E1A">
      <w:pPr>
        <w:spacing w:line="200" w:lineRule="exact"/>
        <w:rPr>
          <w:sz w:val="20"/>
          <w:szCs w:val="20"/>
        </w:rPr>
      </w:pPr>
    </w:p>
    <w:p w:rsidR="00622E1A" w:rsidRDefault="00622E1A">
      <w:pPr>
        <w:spacing w:line="258" w:lineRule="exact"/>
        <w:rPr>
          <w:sz w:val="20"/>
          <w:szCs w:val="20"/>
        </w:rPr>
      </w:pPr>
    </w:p>
    <w:p w:rsidR="00622E1A" w:rsidRDefault="00EA62EF">
      <w:pPr>
        <w:rPr>
          <w:sz w:val="20"/>
          <w:szCs w:val="20"/>
        </w:rPr>
      </w:pPr>
      <w:r>
        <w:rPr>
          <w:rFonts w:eastAsia="Times New Roman"/>
          <w:i/>
          <w:iCs/>
          <w:sz w:val="24"/>
          <w:szCs w:val="24"/>
          <w:u w:val="single"/>
        </w:rPr>
        <w:t>Spôsob ocenenia jednotlivých zložiek</w:t>
      </w:r>
    </w:p>
    <w:p w:rsidR="00622E1A" w:rsidRDefault="00622E1A">
      <w:pPr>
        <w:spacing w:line="253" w:lineRule="exact"/>
        <w:rPr>
          <w:sz w:val="20"/>
          <w:szCs w:val="20"/>
        </w:rPr>
      </w:pPr>
    </w:p>
    <w:p w:rsidR="00622E1A" w:rsidRDefault="00EA62EF">
      <w:pPr>
        <w:spacing w:line="237" w:lineRule="auto"/>
        <w:ind w:right="100"/>
        <w:jc w:val="both"/>
        <w:rPr>
          <w:sz w:val="20"/>
          <w:szCs w:val="20"/>
        </w:rPr>
      </w:pPr>
      <w:r>
        <w:rPr>
          <w:rFonts w:eastAsia="Times New Roman"/>
          <w:sz w:val="24"/>
          <w:szCs w:val="24"/>
          <w:u w:val="single"/>
        </w:rPr>
        <w:t>Dlhodobý majetok</w:t>
      </w:r>
      <w:r>
        <w:rPr>
          <w:rFonts w:eastAsia="Times New Roman"/>
          <w:sz w:val="24"/>
          <w:szCs w:val="24"/>
        </w:rPr>
        <w:t xml:space="preserve"> obstaraný kúpou sa oceňuje obstarávacou cenou, ktorá zahrňuje cenu obstarania a náklady súvisiace s obstaraním (clo, prepravu, montáž, poistné a pod.). Súčasťou obstarávacej ceny dlhodobého nehmotného a nehmotného majetku nie sú resp. sú úroky z úverov do doby zaradenia majetku. O zľave z ceny, ktorú poskytol dodávateľ k majetku sa následne zníži obstarávacia cena predmetného majetku.</w:t>
      </w:r>
    </w:p>
    <w:p w:rsidR="00622E1A" w:rsidRDefault="00622E1A">
      <w:pPr>
        <w:spacing w:line="293" w:lineRule="exact"/>
        <w:rPr>
          <w:sz w:val="20"/>
          <w:szCs w:val="20"/>
        </w:rPr>
      </w:pPr>
    </w:p>
    <w:p w:rsidR="00622E1A" w:rsidRDefault="00EA62EF">
      <w:pPr>
        <w:spacing w:line="237" w:lineRule="auto"/>
        <w:ind w:right="100"/>
        <w:jc w:val="both"/>
        <w:rPr>
          <w:sz w:val="20"/>
          <w:szCs w:val="20"/>
        </w:rPr>
      </w:pPr>
      <w:r>
        <w:rPr>
          <w:rFonts w:eastAsia="Times New Roman"/>
          <w:sz w:val="24"/>
          <w:szCs w:val="24"/>
        </w:rPr>
        <w:t>Dlhodobý majetok vytvorený vlastnou činnosťou 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622E1A" w:rsidRDefault="00622E1A">
      <w:pPr>
        <w:spacing w:line="293" w:lineRule="exact"/>
        <w:rPr>
          <w:sz w:val="20"/>
          <w:szCs w:val="20"/>
        </w:rPr>
      </w:pPr>
    </w:p>
    <w:p w:rsidR="00622E1A" w:rsidRDefault="00EA62EF">
      <w:pPr>
        <w:spacing w:line="238" w:lineRule="auto"/>
        <w:ind w:right="160"/>
        <w:jc w:val="both"/>
        <w:rPr>
          <w:sz w:val="20"/>
          <w:szCs w:val="20"/>
        </w:rPr>
      </w:pPr>
      <w:r>
        <w:rPr>
          <w:rFonts w:eastAsia="Times New Roman"/>
          <w:sz w:val="24"/>
          <w:szCs w:val="24"/>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rsidR="00622E1A" w:rsidRDefault="00622E1A">
      <w:pPr>
        <w:spacing w:line="293" w:lineRule="exact"/>
        <w:rPr>
          <w:sz w:val="20"/>
          <w:szCs w:val="20"/>
        </w:rPr>
      </w:pPr>
    </w:p>
    <w:p w:rsidR="00622E1A" w:rsidRDefault="00EA62EF">
      <w:pPr>
        <w:spacing w:line="234" w:lineRule="auto"/>
        <w:ind w:right="100"/>
        <w:rPr>
          <w:sz w:val="20"/>
          <w:szCs w:val="20"/>
        </w:rPr>
      </w:pPr>
      <w:r>
        <w:rPr>
          <w:rFonts w:eastAsia="Times New Roman"/>
          <w:sz w:val="24"/>
          <w:szCs w:val="24"/>
        </w:rPr>
        <w:t>Predpokladaná doba používania, metóda odpisovania a odpisová sadzba uplatňovaná pri účtovných odpisoch sú uvedené v nasledujúcej tabuľke:</w:t>
      </w:r>
    </w:p>
    <w:p w:rsidR="00622E1A" w:rsidRDefault="00622E1A">
      <w:pPr>
        <w:spacing w:line="200" w:lineRule="exact"/>
        <w:rPr>
          <w:sz w:val="20"/>
          <w:szCs w:val="20"/>
        </w:rPr>
      </w:pPr>
    </w:p>
    <w:p w:rsidR="00622E1A" w:rsidRDefault="00622E1A">
      <w:pPr>
        <w:spacing w:line="22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680"/>
        <w:gridCol w:w="1920"/>
        <w:gridCol w:w="1740"/>
        <w:gridCol w:w="1920"/>
      </w:tblGrid>
      <w:tr w:rsidR="00622E1A">
        <w:trPr>
          <w:trHeight w:val="278"/>
        </w:trPr>
        <w:tc>
          <w:tcPr>
            <w:tcW w:w="3680" w:type="dxa"/>
            <w:tcBorders>
              <w:top w:val="single" w:sz="8" w:space="0" w:color="auto"/>
              <w:left w:val="single" w:sz="8" w:space="0" w:color="auto"/>
            </w:tcBorders>
            <w:vAlign w:val="bottom"/>
          </w:tcPr>
          <w:p w:rsidR="00622E1A" w:rsidRDefault="00622E1A">
            <w:pPr>
              <w:rPr>
                <w:sz w:val="24"/>
                <w:szCs w:val="24"/>
              </w:rPr>
            </w:pPr>
          </w:p>
        </w:tc>
        <w:tc>
          <w:tcPr>
            <w:tcW w:w="1920" w:type="dxa"/>
            <w:tcBorders>
              <w:top w:val="single" w:sz="8" w:space="0" w:color="auto"/>
            </w:tcBorders>
            <w:vAlign w:val="bottom"/>
          </w:tcPr>
          <w:p w:rsidR="00622E1A" w:rsidRDefault="00EA62EF">
            <w:pPr>
              <w:jc w:val="center"/>
              <w:rPr>
                <w:sz w:val="20"/>
                <w:szCs w:val="20"/>
              </w:rPr>
            </w:pPr>
            <w:r>
              <w:rPr>
                <w:rFonts w:eastAsia="Times New Roman"/>
                <w:i/>
                <w:iCs/>
                <w:w w:val="99"/>
                <w:sz w:val="24"/>
                <w:szCs w:val="24"/>
              </w:rPr>
              <w:t>predpokladaná</w:t>
            </w:r>
          </w:p>
        </w:tc>
        <w:tc>
          <w:tcPr>
            <w:tcW w:w="1740" w:type="dxa"/>
            <w:tcBorders>
              <w:top w:val="single" w:sz="8" w:space="0" w:color="auto"/>
            </w:tcBorders>
            <w:vAlign w:val="bottom"/>
          </w:tcPr>
          <w:p w:rsidR="00622E1A" w:rsidRDefault="00EA62EF">
            <w:pPr>
              <w:jc w:val="center"/>
              <w:rPr>
                <w:sz w:val="20"/>
                <w:szCs w:val="20"/>
              </w:rPr>
            </w:pPr>
            <w:r>
              <w:rPr>
                <w:rFonts w:eastAsia="Times New Roman"/>
                <w:i/>
                <w:iCs/>
                <w:w w:val="99"/>
                <w:sz w:val="24"/>
                <w:szCs w:val="24"/>
              </w:rPr>
              <w:t>metóda</w:t>
            </w:r>
          </w:p>
        </w:tc>
        <w:tc>
          <w:tcPr>
            <w:tcW w:w="1920" w:type="dxa"/>
            <w:tcBorders>
              <w:top w:val="single" w:sz="8" w:space="0" w:color="auto"/>
              <w:right w:val="single" w:sz="8" w:space="0" w:color="auto"/>
            </w:tcBorders>
            <w:vAlign w:val="bottom"/>
          </w:tcPr>
          <w:p w:rsidR="00622E1A" w:rsidRDefault="00EA62EF">
            <w:pPr>
              <w:ind w:left="40"/>
              <w:jc w:val="center"/>
              <w:rPr>
                <w:sz w:val="20"/>
                <w:szCs w:val="20"/>
              </w:rPr>
            </w:pPr>
            <w:r>
              <w:rPr>
                <w:rFonts w:eastAsia="Times New Roman"/>
                <w:i/>
                <w:iCs/>
                <w:w w:val="99"/>
                <w:sz w:val="24"/>
                <w:szCs w:val="24"/>
              </w:rPr>
              <w:t>ročná odpisová</w:t>
            </w:r>
          </w:p>
        </w:tc>
      </w:tr>
      <w:tr w:rsidR="00622E1A">
        <w:trPr>
          <w:trHeight w:val="317"/>
        </w:trPr>
        <w:tc>
          <w:tcPr>
            <w:tcW w:w="3680" w:type="dxa"/>
            <w:tcBorders>
              <w:left w:val="single" w:sz="8" w:space="0" w:color="auto"/>
            </w:tcBorders>
            <w:vAlign w:val="bottom"/>
          </w:tcPr>
          <w:p w:rsidR="00622E1A" w:rsidRDefault="00622E1A">
            <w:pPr>
              <w:rPr>
                <w:sz w:val="24"/>
                <w:szCs w:val="24"/>
              </w:rPr>
            </w:pPr>
          </w:p>
        </w:tc>
        <w:tc>
          <w:tcPr>
            <w:tcW w:w="1920" w:type="dxa"/>
            <w:vAlign w:val="bottom"/>
          </w:tcPr>
          <w:p w:rsidR="00622E1A" w:rsidRDefault="00EA62EF">
            <w:pPr>
              <w:jc w:val="center"/>
              <w:rPr>
                <w:sz w:val="20"/>
                <w:szCs w:val="20"/>
              </w:rPr>
            </w:pPr>
            <w:r>
              <w:rPr>
                <w:rFonts w:eastAsia="Times New Roman"/>
                <w:i/>
                <w:iCs/>
                <w:w w:val="99"/>
                <w:sz w:val="24"/>
                <w:szCs w:val="24"/>
              </w:rPr>
              <w:t>doba</w:t>
            </w:r>
          </w:p>
        </w:tc>
        <w:tc>
          <w:tcPr>
            <w:tcW w:w="1740" w:type="dxa"/>
            <w:vAlign w:val="bottom"/>
          </w:tcPr>
          <w:p w:rsidR="00622E1A" w:rsidRDefault="00EA62EF">
            <w:pPr>
              <w:jc w:val="center"/>
              <w:rPr>
                <w:sz w:val="20"/>
                <w:szCs w:val="20"/>
              </w:rPr>
            </w:pPr>
            <w:r>
              <w:rPr>
                <w:rFonts w:eastAsia="Times New Roman"/>
                <w:i/>
                <w:iCs/>
                <w:sz w:val="24"/>
                <w:szCs w:val="24"/>
              </w:rPr>
              <w:t>odpisovania</w:t>
            </w:r>
          </w:p>
        </w:tc>
        <w:tc>
          <w:tcPr>
            <w:tcW w:w="1920" w:type="dxa"/>
            <w:tcBorders>
              <w:right w:val="single" w:sz="8" w:space="0" w:color="auto"/>
            </w:tcBorders>
            <w:vAlign w:val="bottom"/>
          </w:tcPr>
          <w:p w:rsidR="00622E1A" w:rsidRDefault="00EA62EF">
            <w:pPr>
              <w:ind w:left="20"/>
              <w:jc w:val="center"/>
              <w:rPr>
                <w:sz w:val="20"/>
                <w:szCs w:val="20"/>
              </w:rPr>
            </w:pPr>
            <w:r>
              <w:rPr>
                <w:rFonts w:eastAsia="Times New Roman"/>
                <w:i/>
                <w:iCs/>
                <w:sz w:val="24"/>
                <w:szCs w:val="24"/>
              </w:rPr>
              <w:t>sadzba v %</w:t>
            </w:r>
          </w:p>
        </w:tc>
      </w:tr>
      <w:tr w:rsidR="00622E1A">
        <w:trPr>
          <w:trHeight w:val="319"/>
        </w:trPr>
        <w:tc>
          <w:tcPr>
            <w:tcW w:w="3680" w:type="dxa"/>
            <w:tcBorders>
              <w:left w:val="single" w:sz="8" w:space="0" w:color="auto"/>
            </w:tcBorders>
            <w:vAlign w:val="bottom"/>
          </w:tcPr>
          <w:p w:rsidR="00622E1A" w:rsidRDefault="00622E1A">
            <w:pPr>
              <w:rPr>
                <w:sz w:val="24"/>
                <w:szCs w:val="24"/>
              </w:rPr>
            </w:pPr>
          </w:p>
        </w:tc>
        <w:tc>
          <w:tcPr>
            <w:tcW w:w="1920" w:type="dxa"/>
            <w:vAlign w:val="bottom"/>
          </w:tcPr>
          <w:p w:rsidR="00622E1A" w:rsidRDefault="00EA62EF">
            <w:pPr>
              <w:jc w:val="center"/>
              <w:rPr>
                <w:sz w:val="20"/>
                <w:szCs w:val="20"/>
              </w:rPr>
            </w:pPr>
            <w:r>
              <w:rPr>
                <w:rFonts w:eastAsia="Times New Roman"/>
                <w:i/>
                <w:iCs/>
                <w:sz w:val="24"/>
                <w:szCs w:val="24"/>
              </w:rPr>
              <w:t>používania</w:t>
            </w:r>
          </w:p>
        </w:tc>
        <w:tc>
          <w:tcPr>
            <w:tcW w:w="1740" w:type="dxa"/>
            <w:vAlign w:val="bottom"/>
          </w:tcPr>
          <w:p w:rsidR="00622E1A" w:rsidRDefault="00622E1A">
            <w:pPr>
              <w:rPr>
                <w:sz w:val="24"/>
                <w:szCs w:val="24"/>
              </w:rPr>
            </w:pPr>
          </w:p>
        </w:tc>
        <w:tc>
          <w:tcPr>
            <w:tcW w:w="1920" w:type="dxa"/>
            <w:tcBorders>
              <w:right w:val="single" w:sz="8" w:space="0" w:color="auto"/>
            </w:tcBorders>
            <w:vAlign w:val="bottom"/>
          </w:tcPr>
          <w:p w:rsidR="00622E1A" w:rsidRDefault="00622E1A">
            <w:pPr>
              <w:rPr>
                <w:sz w:val="24"/>
                <w:szCs w:val="24"/>
              </w:rPr>
            </w:pPr>
          </w:p>
        </w:tc>
      </w:tr>
      <w:tr w:rsidR="00622E1A">
        <w:trPr>
          <w:trHeight w:val="49"/>
        </w:trPr>
        <w:tc>
          <w:tcPr>
            <w:tcW w:w="3680" w:type="dxa"/>
            <w:tcBorders>
              <w:left w:val="single" w:sz="8" w:space="0" w:color="auto"/>
              <w:bottom w:val="single" w:sz="8" w:space="0" w:color="auto"/>
            </w:tcBorders>
            <w:vAlign w:val="bottom"/>
          </w:tcPr>
          <w:p w:rsidR="00622E1A" w:rsidRDefault="00622E1A">
            <w:pPr>
              <w:rPr>
                <w:sz w:val="4"/>
                <w:szCs w:val="4"/>
              </w:rPr>
            </w:pPr>
          </w:p>
        </w:tc>
        <w:tc>
          <w:tcPr>
            <w:tcW w:w="1920" w:type="dxa"/>
            <w:tcBorders>
              <w:bottom w:val="single" w:sz="8" w:space="0" w:color="auto"/>
            </w:tcBorders>
            <w:vAlign w:val="bottom"/>
          </w:tcPr>
          <w:p w:rsidR="00622E1A" w:rsidRDefault="00622E1A">
            <w:pPr>
              <w:rPr>
                <w:sz w:val="4"/>
                <w:szCs w:val="4"/>
              </w:rPr>
            </w:pPr>
          </w:p>
        </w:tc>
        <w:tc>
          <w:tcPr>
            <w:tcW w:w="1740" w:type="dxa"/>
            <w:tcBorders>
              <w:bottom w:val="single" w:sz="8" w:space="0" w:color="auto"/>
            </w:tcBorders>
            <w:vAlign w:val="bottom"/>
          </w:tcPr>
          <w:p w:rsidR="00622E1A" w:rsidRDefault="00622E1A">
            <w:pPr>
              <w:rPr>
                <w:sz w:val="4"/>
                <w:szCs w:val="4"/>
              </w:rPr>
            </w:pPr>
          </w:p>
        </w:tc>
        <w:tc>
          <w:tcPr>
            <w:tcW w:w="1920" w:type="dxa"/>
            <w:tcBorders>
              <w:bottom w:val="single" w:sz="8" w:space="0" w:color="auto"/>
              <w:right w:val="single" w:sz="8" w:space="0" w:color="auto"/>
            </w:tcBorders>
            <w:vAlign w:val="bottom"/>
          </w:tcPr>
          <w:p w:rsidR="00622E1A" w:rsidRDefault="00622E1A">
            <w:pPr>
              <w:rPr>
                <w:sz w:val="4"/>
                <w:szCs w:val="4"/>
              </w:rPr>
            </w:pPr>
          </w:p>
        </w:tc>
      </w:tr>
      <w:tr w:rsidR="00622E1A">
        <w:trPr>
          <w:trHeight w:val="258"/>
        </w:trPr>
        <w:tc>
          <w:tcPr>
            <w:tcW w:w="3680" w:type="dxa"/>
            <w:tcBorders>
              <w:left w:val="single" w:sz="8" w:space="0" w:color="auto"/>
            </w:tcBorders>
            <w:vAlign w:val="bottom"/>
          </w:tcPr>
          <w:p w:rsidR="00622E1A" w:rsidRDefault="00EA62EF">
            <w:pPr>
              <w:spacing w:line="258" w:lineRule="exact"/>
              <w:ind w:left="20"/>
              <w:rPr>
                <w:sz w:val="20"/>
                <w:szCs w:val="20"/>
              </w:rPr>
            </w:pPr>
            <w:r>
              <w:rPr>
                <w:rFonts w:eastAsia="Times New Roman"/>
                <w:i/>
                <w:iCs/>
                <w:sz w:val="24"/>
                <w:szCs w:val="24"/>
              </w:rPr>
              <w:t>náklady na vývoj</w:t>
            </w:r>
          </w:p>
        </w:tc>
        <w:tc>
          <w:tcPr>
            <w:tcW w:w="1920" w:type="dxa"/>
            <w:vAlign w:val="bottom"/>
          </w:tcPr>
          <w:p w:rsidR="00622E1A" w:rsidRDefault="00EA62EF">
            <w:pPr>
              <w:spacing w:line="258" w:lineRule="exact"/>
              <w:jc w:val="center"/>
              <w:rPr>
                <w:sz w:val="20"/>
                <w:szCs w:val="20"/>
              </w:rPr>
            </w:pPr>
            <w:r>
              <w:rPr>
                <w:rFonts w:eastAsia="Times New Roman"/>
                <w:i/>
                <w:iCs/>
                <w:w w:val="99"/>
                <w:sz w:val="24"/>
                <w:szCs w:val="24"/>
              </w:rPr>
              <w:t>5</w:t>
            </w:r>
          </w:p>
        </w:tc>
        <w:tc>
          <w:tcPr>
            <w:tcW w:w="1740" w:type="dxa"/>
            <w:vAlign w:val="bottom"/>
          </w:tcPr>
          <w:p w:rsidR="00622E1A" w:rsidRDefault="00EA62EF">
            <w:pPr>
              <w:spacing w:line="258" w:lineRule="exact"/>
              <w:jc w:val="center"/>
              <w:rPr>
                <w:sz w:val="20"/>
                <w:szCs w:val="20"/>
              </w:rPr>
            </w:pPr>
            <w:r>
              <w:rPr>
                <w:rFonts w:eastAsia="Times New Roman"/>
                <w:i/>
                <w:iCs/>
                <w:sz w:val="24"/>
                <w:szCs w:val="24"/>
              </w:rPr>
              <w:t>lineárna</w:t>
            </w:r>
          </w:p>
        </w:tc>
        <w:tc>
          <w:tcPr>
            <w:tcW w:w="1920" w:type="dxa"/>
            <w:tcBorders>
              <w:right w:val="single" w:sz="8" w:space="0" w:color="auto"/>
            </w:tcBorders>
            <w:vAlign w:val="bottom"/>
          </w:tcPr>
          <w:p w:rsidR="00622E1A" w:rsidRDefault="00EA62EF">
            <w:pPr>
              <w:spacing w:line="258" w:lineRule="exact"/>
              <w:ind w:left="40"/>
              <w:jc w:val="center"/>
              <w:rPr>
                <w:sz w:val="20"/>
                <w:szCs w:val="20"/>
              </w:rPr>
            </w:pPr>
            <w:r>
              <w:rPr>
                <w:rFonts w:eastAsia="Times New Roman"/>
                <w:i/>
                <w:iCs/>
                <w:w w:val="99"/>
                <w:sz w:val="24"/>
                <w:szCs w:val="24"/>
              </w:rPr>
              <w:t>20</w:t>
            </w:r>
          </w:p>
        </w:tc>
      </w:tr>
      <w:tr w:rsidR="00622E1A">
        <w:trPr>
          <w:trHeight w:val="317"/>
        </w:trPr>
        <w:tc>
          <w:tcPr>
            <w:tcW w:w="3680" w:type="dxa"/>
            <w:tcBorders>
              <w:left w:val="single" w:sz="8" w:space="0" w:color="auto"/>
            </w:tcBorders>
            <w:vAlign w:val="bottom"/>
          </w:tcPr>
          <w:p w:rsidR="00622E1A" w:rsidRDefault="00EA62EF">
            <w:pPr>
              <w:ind w:left="20"/>
              <w:rPr>
                <w:sz w:val="20"/>
                <w:szCs w:val="20"/>
              </w:rPr>
            </w:pPr>
            <w:r>
              <w:rPr>
                <w:rFonts w:eastAsia="Times New Roman"/>
                <w:i/>
                <w:iCs/>
                <w:sz w:val="24"/>
                <w:szCs w:val="24"/>
              </w:rPr>
              <w:t>softvér</w:t>
            </w:r>
          </w:p>
        </w:tc>
        <w:tc>
          <w:tcPr>
            <w:tcW w:w="1920" w:type="dxa"/>
            <w:vAlign w:val="bottom"/>
          </w:tcPr>
          <w:p w:rsidR="00622E1A" w:rsidRDefault="00EA62EF">
            <w:pPr>
              <w:jc w:val="center"/>
              <w:rPr>
                <w:sz w:val="20"/>
                <w:szCs w:val="20"/>
              </w:rPr>
            </w:pPr>
            <w:r>
              <w:rPr>
                <w:rFonts w:eastAsia="Times New Roman"/>
                <w:i/>
                <w:iCs/>
                <w:w w:val="99"/>
                <w:sz w:val="24"/>
                <w:szCs w:val="24"/>
              </w:rPr>
              <w:t>4</w:t>
            </w:r>
          </w:p>
        </w:tc>
        <w:tc>
          <w:tcPr>
            <w:tcW w:w="1740" w:type="dxa"/>
            <w:vAlign w:val="bottom"/>
          </w:tcPr>
          <w:p w:rsidR="00622E1A" w:rsidRDefault="00EA62EF">
            <w:pPr>
              <w:jc w:val="center"/>
              <w:rPr>
                <w:sz w:val="20"/>
                <w:szCs w:val="20"/>
              </w:rPr>
            </w:pPr>
            <w:r>
              <w:rPr>
                <w:rFonts w:eastAsia="Times New Roman"/>
                <w:i/>
                <w:iCs/>
                <w:sz w:val="24"/>
                <w:szCs w:val="24"/>
              </w:rPr>
              <w:t>lineárna</w:t>
            </w:r>
          </w:p>
        </w:tc>
        <w:tc>
          <w:tcPr>
            <w:tcW w:w="1920" w:type="dxa"/>
            <w:tcBorders>
              <w:right w:val="single" w:sz="8" w:space="0" w:color="auto"/>
            </w:tcBorders>
            <w:vAlign w:val="bottom"/>
          </w:tcPr>
          <w:p w:rsidR="00622E1A" w:rsidRDefault="00EA62EF">
            <w:pPr>
              <w:ind w:left="40"/>
              <w:jc w:val="center"/>
              <w:rPr>
                <w:sz w:val="20"/>
                <w:szCs w:val="20"/>
              </w:rPr>
            </w:pPr>
            <w:r>
              <w:rPr>
                <w:rFonts w:eastAsia="Times New Roman"/>
                <w:i/>
                <w:iCs/>
                <w:w w:val="99"/>
                <w:sz w:val="24"/>
                <w:szCs w:val="24"/>
              </w:rPr>
              <w:t>25</w:t>
            </w:r>
          </w:p>
        </w:tc>
      </w:tr>
      <w:tr w:rsidR="00622E1A">
        <w:trPr>
          <w:trHeight w:val="319"/>
        </w:trPr>
        <w:tc>
          <w:tcPr>
            <w:tcW w:w="3680" w:type="dxa"/>
            <w:tcBorders>
              <w:left w:val="single" w:sz="8" w:space="0" w:color="auto"/>
            </w:tcBorders>
            <w:vAlign w:val="bottom"/>
          </w:tcPr>
          <w:p w:rsidR="00622E1A" w:rsidRDefault="00EA62EF">
            <w:pPr>
              <w:ind w:left="20"/>
              <w:rPr>
                <w:sz w:val="20"/>
                <w:szCs w:val="20"/>
              </w:rPr>
            </w:pPr>
            <w:r>
              <w:rPr>
                <w:rFonts w:eastAsia="Times New Roman"/>
                <w:i/>
                <w:iCs/>
                <w:sz w:val="24"/>
                <w:szCs w:val="24"/>
              </w:rPr>
              <w:t>oceniteľné práva (licencie)</w:t>
            </w:r>
          </w:p>
        </w:tc>
        <w:tc>
          <w:tcPr>
            <w:tcW w:w="1920" w:type="dxa"/>
            <w:vAlign w:val="bottom"/>
          </w:tcPr>
          <w:p w:rsidR="00622E1A" w:rsidRDefault="00EA62EF">
            <w:pPr>
              <w:jc w:val="center"/>
              <w:rPr>
                <w:sz w:val="20"/>
                <w:szCs w:val="20"/>
              </w:rPr>
            </w:pPr>
            <w:r>
              <w:rPr>
                <w:rFonts w:eastAsia="Times New Roman"/>
                <w:i/>
                <w:iCs/>
                <w:w w:val="99"/>
                <w:sz w:val="24"/>
                <w:szCs w:val="24"/>
              </w:rPr>
              <w:t>5</w:t>
            </w:r>
          </w:p>
        </w:tc>
        <w:tc>
          <w:tcPr>
            <w:tcW w:w="1740" w:type="dxa"/>
            <w:vAlign w:val="bottom"/>
          </w:tcPr>
          <w:p w:rsidR="00622E1A" w:rsidRDefault="00EA62EF">
            <w:pPr>
              <w:jc w:val="center"/>
              <w:rPr>
                <w:sz w:val="20"/>
                <w:szCs w:val="20"/>
              </w:rPr>
            </w:pPr>
            <w:r>
              <w:rPr>
                <w:rFonts w:eastAsia="Times New Roman"/>
                <w:i/>
                <w:iCs/>
                <w:sz w:val="24"/>
                <w:szCs w:val="24"/>
              </w:rPr>
              <w:t>lineárna</w:t>
            </w:r>
          </w:p>
        </w:tc>
        <w:tc>
          <w:tcPr>
            <w:tcW w:w="1920" w:type="dxa"/>
            <w:tcBorders>
              <w:right w:val="single" w:sz="8" w:space="0" w:color="auto"/>
            </w:tcBorders>
            <w:vAlign w:val="bottom"/>
          </w:tcPr>
          <w:p w:rsidR="00622E1A" w:rsidRDefault="00EA62EF">
            <w:pPr>
              <w:ind w:left="40"/>
              <w:jc w:val="center"/>
              <w:rPr>
                <w:sz w:val="20"/>
                <w:szCs w:val="20"/>
              </w:rPr>
            </w:pPr>
            <w:r>
              <w:rPr>
                <w:rFonts w:eastAsia="Times New Roman"/>
                <w:i/>
                <w:iCs/>
                <w:w w:val="99"/>
                <w:sz w:val="24"/>
                <w:szCs w:val="24"/>
              </w:rPr>
              <w:t>20</w:t>
            </w:r>
          </w:p>
        </w:tc>
      </w:tr>
      <w:tr w:rsidR="00622E1A">
        <w:trPr>
          <w:trHeight w:val="317"/>
        </w:trPr>
        <w:tc>
          <w:tcPr>
            <w:tcW w:w="3680" w:type="dxa"/>
            <w:tcBorders>
              <w:left w:val="single" w:sz="8" w:space="0" w:color="auto"/>
            </w:tcBorders>
            <w:vAlign w:val="bottom"/>
          </w:tcPr>
          <w:p w:rsidR="00622E1A" w:rsidRDefault="00EA62EF">
            <w:pPr>
              <w:ind w:left="20"/>
              <w:rPr>
                <w:sz w:val="20"/>
                <w:szCs w:val="20"/>
              </w:rPr>
            </w:pPr>
            <w:r>
              <w:rPr>
                <w:rFonts w:eastAsia="Times New Roman"/>
                <w:i/>
                <w:iCs/>
                <w:sz w:val="24"/>
                <w:szCs w:val="24"/>
              </w:rPr>
              <w:t>drobný dlhodobý nehmotný majetok</w:t>
            </w:r>
          </w:p>
        </w:tc>
        <w:tc>
          <w:tcPr>
            <w:tcW w:w="1920" w:type="dxa"/>
            <w:vAlign w:val="bottom"/>
          </w:tcPr>
          <w:p w:rsidR="00622E1A" w:rsidRDefault="00EA62EF">
            <w:pPr>
              <w:jc w:val="center"/>
              <w:rPr>
                <w:sz w:val="20"/>
                <w:szCs w:val="20"/>
              </w:rPr>
            </w:pPr>
            <w:r>
              <w:rPr>
                <w:rFonts w:eastAsia="Times New Roman"/>
                <w:i/>
                <w:iCs/>
                <w:w w:val="99"/>
                <w:sz w:val="24"/>
                <w:szCs w:val="24"/>
              </w:rPr>
              <w:t>rôzna napr. 2</w:t>
            </w:r>
          </w:p>
        </w:tc>
        <w:tc>
          <w:tcPr>
            <w:tcW w:w="1740" w:type="dxa"/>
            <w:vAlign w:val="bottom"/>
          </w:tcPr>
          <w:p w:rsidR="00622E1A" w:rsidRDefault="00EA62EF">
            <w:pPr>
              <w:jc w:val="center"/>
              <w:rPr>
                <w:sz w:val="20"/>
                <w:szCs w:val="20"/>
              </w:rPr>
            </w:pPr>
            <w:r>
              <w:rPr>
                <w:rFonts w:eastAsia="Times New Roman"/>
                <w:i/>
                <w:iCs/>
                <w:sz w:val="24"/>
                <w:szCs w:val="24"/>
              </w:rPr>
              <w:t>lineárna</w:t>
            </w:r>
          </w:p>
        </w:tc>
        <w:tc>
          <w:tcPr>
            <w:tcW w:w="1920" w:type="dxa"/>
            <w:tcBorders>
              <w:right w:val="single" w:sz="8" w:space="0" w:color="auto"/>
            </w:tcBorders>
            <w:vAlign w:val="bottom"/>
          </w:tcPr>
          <w:p w:rsidR="00622E1A" w:rsidRDefault="00EA62EF">
            <w:pPr>
              <w:ind w:left="40"/>
              <w:jc w:val="center"/>
              <w:rPr>
                <w:sz w:val="20"/>
                <w:szCs w:val="20"/>
              </w:rPr>
            </w:pPr>
            <w:r>
              <w:rPr>
                <w:rFonts w:eastAsia="Times New Roman"/>
                <w:i/>
                <w:iCs/>
                <w:w w:val="99"/>
                <w:sz w:val="24"/>
                <w:szCs w:val="24"/>
              </w:rPr>
              <w:t>50</w:t>
            </w:r>
          </w:p>
        </w:tc>
      </w:tr>
      <w:tr w:rsidR="00622E1A">
        <w:trPr>
          <w:trHeight w:val="48"/>
        </w:trPr>
        <w:tc>
          <w:tcPr>
            <w:tcW w:w="3680" w:type="dxa"/>
            <w:tcBorders>
              <w:left w:val="single" w:sz="8" w:space="0" w:color="auto"/>
              <w:bottom w:val="single" w:sz="8" w:space="0" w:color="auto"/>
            </w:tcBorders>
            <w:vAlign w:val="bottom"/>
          </w:tcPr>
          <w:p w:rsidR="00622E1A" w:rsidRDefault="00622E1A">
            <w:pPr>
              <w:rPr>
                <w:sz w:val="4"/>
                <w:szCs w:val="4"/>
              </w:rPr>
            </w:pPr>
          </w:p>
        </w:tc>
        <w:tc>
          <w:tcPr>
            <w:tcW w:w="1920" w:type="dxa"/>
            <w:tcBorders>
              <w:bottom w:val="single" w:sz="8" w:space="0" w:color="auto"/>
            </w:tcBorders>
            <w:vAlign w:val="bottom"/>
          </w:tcPr>
          <w:p w:rsidR="00622E1A" w:rsidRDefault="00622E1A">
            <w:pPr>
              <w:rPr>
                <w:sz w:val="4"/>
                <w:szCs w:val="4"/>
              </w:rPr>
            </w:pPr>
          </w:p>
        </w:tc>
        <w:tc>
          <w:tcPr>
            <w:tcW w:w="1740" w:type="dxa"/>
            <w:tcBorders>
              <w:bottom w:val="single" w:sz="8" w:space="0" w:color="auto"/>
            </w:tcBorders>
            <w:vAlign w:val="bottom"/>
          </w:tcPr>
          <w:p w:rsidR="00622E1A" w:rsidRDefault="00622E1A">
            <w:pPr>
              <w:rPr>
                <w:sz w:val="4"/>
                <w:szCs w:val="4"/>
              </w:rPr>
            </w:pPr>
          </w:p>
        </w:tc>
        <w:tc>
          <w:tcPr>
            <w:tcW w:w="1920" w:type="dxa"/>
            <w:tcBorders>
              <w:bottom w:val="single" w:sz="8" w:space="0" w:color="auto"/>
              <w:right w:val="single" w:sz="8" w:space="0" w:color="auto"/>
            </w:tcBorders>
            <w:vAlign w:val="bottom"/>
          </w:tcPr>
          <w:p w:rsidR="00622E1A" w:rsidRDefault="00622E1A">
            <w:pPr>
              <w:rPr>
                <w:sz w:val="4"/>
                <w:szCs w:val="4"/>
              </w:rPr>
            </w:pPr>
          </w:p>
        </w:tc>
      </w:tr>
    </w:tbl>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339" w:lineRule="exact"/>
        <w:rPr>
          <w:sz w:val="20"/>
          <w:szCs w:val="20"/>
        </w:rPr>
      </w:pPr>
    </w:p>
    <w:p w:rsidR="00622E1A" w:rsidRDefault="00EA62EF">
      <w:pPr>
        <w:ind w:right="160"/>
        <w:jc w:val="center"/>
        <w:rPr>
          <w:sz w:val="20"/>
          <w:szCs w:val="20"/>
        </w:rPr>
      </w:pPr>
      <w:r>
        <w:rPr>
          <w:rFonts w:eastAsia="Times New Roman"/>
          <w:sz w:val="24"/>
          <w:szCs w:val="24"/>
        </w:rPr>
        <w:t>2</w:t>
      </w:r>
    </w:p>
    <w:p w:rsidR="00622E1A" w:rsidRDefault="00622E1A">
      <w:pPr>
        <w:sectPr w:rsidR="00622E1A">
          <w:pgSz w:w="11900" w:h="16838"/>
          <w:pgMar w:top="932" w:right="1246" w:bottom="428" w:left="1420" w:header="0" w:footer="0" w:gutter="0"/>
          <w:cols w:space="708" w:equalWidth="0">
            <w:col w:w="9240"/>
          </w:cols>
        </w:sectPr>
      </w:pPr>
    </w:p>
    <w:p w:rsidR="00622E1A" w:rsidRDefault="00EA62EF">
      <w:pPr>
        <w:ind w:right="140"/>
        <w:jc w:val="center"/>
        <w:rPr>
          <w:sz w:val="20"/>
          <w:szCs w:val="20"/>
        </w:rPr>
      </w:pPr>
      <w:bookmarkStart w:id="2" w:name="page3"/>
      <w:bookmarkEnd w:id="2"/>
      <w:r>
        <w:rPr>
          <w:rFonts w:eastAsia="Times New Roman"/>
          <w:sz w:val="20"/>
          <w:szCs w:val="20"/>
        </w:rPr>
        <w:lastRenderedPageBreak/>
        <w:t>Poznámky  konsolidovanej účtovnej závierk</w:t>
      </w:r>
      <w:r w:rsidR="00AA23CB">
        <w:rPr>
          <w:rFonts w:eastAsia="Times New Roman"/>
          <w:sz w:val="20"/>
          <w:szCs w:val="20"/>
        </w:rPr>
        <w:t>y zostavenej k 31. decembru 2019</w:t>
      </w:r>
    </w:p>
    <w:p w:rsidR="00622E1A" w:rsidRDefault="00EA62EF">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-20320</wp:posOffset>
                </wp:positionH>
                <wp:positionV relativeFrom="paragraph">
                  <wp:posOffset>19050</wp:posOffset>
                </wp:positionV>
                <wp:extent cx="579818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AFEE9BA" id="Shap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1.5pt" to="454.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nAugEAAH8DAAAOAAAAZHJzL2Uyb0RvYy54bWysU8tuGyEU3VfqPyD29YyTxnGQcRZJ3U3U&#10;Wkr7AdfAeFB5Cahn/Pe94EfitqsoLBD3wbn3nAuL+9EaslMxae84nU5aSpQTXmq35fTnj9WnOSUp&#10;g5NgvFOc7lWi98uPHxZDYOrK995IFQmCuMSGwGmfc2BNk0SvLKSJD8phsPPRQkYzbhsZYUB0a5qr&#10;tp01g48yRC9USuh9PATpsuJ3nRL5e9cllYnhFHvLdY9135S9WS6AbSOEXotjG/CGLixoh0XPUI+Q&#10;gfyO+h8oq0X0yXd5IrxtfNdpoSoHZDNt/2Lz3ENQlQuKk8JZpvR+sOLbbh2JlpxeU+LA4ohqVXJd&#10;pBlCYpjx4NaxkBOjew5PXvxKGGsugsVI4ZA2dtGWdGRHxir1/iy1GjMR6Ly5vZtP5zeUCIx9vp3V&#10;cg2w090QU/6qvCXlwKnRrggBDHZPKZfqwE4pxZ280XKljalG3G4eTCQ7wKGv6ipk8MpFmnFk4HTW&#10;3s0q8kUsvYZo6/ofhNUZX6/RltP5OQlYr0B+cRJrAsugzeGM9Y076naQqoi28XK/jic9ccq10eOL&#10;LM/otV1vv/yb5R8AAAD//wMAUEsDBBQABgAIAAAAIQBOIkDO3AAAAAYBAAAPAAAAZHJzL2Rvd25y&#10;ZXYueG1sTI9BS8NAFITvgv9heYK3dmOLYmI2pRa8KFKMgh5fss8kmn0bs9s2/fc+vehxmGHmm3w1&#10;uV7taQydZwMX8wQUce1tx42Bl+e72TWoEJEt9p7JwJECrIrTkxwz6w/8RPsyNkpKOGRooI1xyLQO&#10;dUsOw9wPxOK9+9FhFDk22o54kHLX60WSXGmHHctCiwNtWqo/y50zcFs9vL36LYZyW8XH4/3l5mP9&#10;1Rlzfjatb0BFmuJfGH7wBR0KYar8jm1QvYHZciFJA0t5JHaapCmo6lfrItf/8YtvAAAA//8DAFBL&#10;AQItABQABgAIAAAAIQC2gziS/gAAAOEBAAATAAAAAAAAAAAAAAAAAAAAAABbQ29udGVudF9UeXBl&#10;c10ueG1sUEsBAi0AFAAGAAgAAAAhADj9If/WAAAAlAEAAAsAAAAAAAAAAAAAAAAALwEAAF9yZWxz&#10;Ly5yZWxzUEsBAi0AFAAGAAgAAAAhAI0f6cC6AQAAfwMAAA4AAAAAAAAAAAAAAAAALgIAAGRycy9l&#10;Mm9Eb2MueG1sUEsBAi0AFAAGAAgAAAAhAE4iQM7cAAAABgEAAA8AAAAAAAAAAAAAAAAAFAQAAGRy&#10;cy9kb3ducmV2LnhtbFBLBQYAAAAABAAEAPMAAAAdBQAAAAA=&#10;" o:allowincell="f" filled="t" strokeweight=".48pt">
                <v:stroke joinstyle="miter"/>
                <o:lock v:ext="edit" shapetype="f"/>
              </v:line>
            </w:pict>
          </mc:Fallback>
        </mc:AlternateContent>
      </w:r>
    </w:p>
    <w:p w:rsidR="00622E1A" w:rsidRDefault="00622E1A">
      <w:pPr>
        <w:spacing w:line="200" w:lineRule="exact"/>
        <w:rPr>
          <w:sz w:val="20"/>
          <w:szCs w:val="20"/>
        </w:rPr>
      </w:pPr>
    </w:p>
    <w:p w:rsidR="00622E1A" w:rsidRDefault="00622E1A">
      <w:pPr>
        <w:spacing w:line="369" w:lineRule="exact"/>
        <w:rPr>
          <w:sz w:val="20"/>
          <w:szCs w:val="20"/>
        </w:rPr>
      </w:pPr>
    </w:p>
    <w:p w:rsidR="00622E1A" w:rsidRDefault="00EA62EF">
      <w:pPr>
        <w:spacing w:line="234" w:lineRule="auto"/>
        <w:ind w:right="140"/>
        <w:rPr>
          <w:sz w:val="20"/>
          <w:szCs w:val="20"/>
        </w:rPr>
      </w:pPr>
      <w:r>
        <w:rPr>
          <w:rFonts w:eastAsia="Times New Roman"/>
          <w:sz w:val="24"/>
          <w:szCs w:val="24"/>
        </w:rPr>
        <w:t>Predpokladaná doba používania, metóda odpisovania a odpisová sadzba uplatňovaná pri účtovných odpisoch sú uvedené v nasledujúcej tabuľke:</w:t>
      </w:r>
    </w:p>
    <w:p w:rsidR="00622E1A" w:rsidRDefault="00622E1A">
      <w:pPr>
        <w:spacing w:line="200" w:lineRule="exact"/>
        <w:rPr>
          <w:sz w:val="20"/>
          <w:szCs w:val="20"/>
        </w:rPr>
      </w:pPr>
    </w:p>
    <w:p w:rsidR="00622E1A" w:rsidRDefault="00622E1A">
      <w:pPr>
        <w:spacing w:line="34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560"/>
        <w:gridCol w:w="2140"/>
        <w:gridCol w:w="1660"/>
        <w:gridCol w:w="1860"/>
      </w:tblGrid>
      <w:tr w:rsidR="00622E1A">
        <w:trPr>
          <w:trHeight w:val="280"/>
        </w:trPr>
        <w:tc>
          <w:tcPr>
            <w:tcW w:w="3560" w:type="dxa"/>
            <w:tcBorders>
              <w:top w:val="single" w:sz="8" w:space="0" w:color="auto"/>
              <w:left w:val="single" w:sz="8" w:space="0" w:color="auto"/>
            </w:tcBorders>
            <w:vAlign w:val="bottom"/>
          </w:tcPr>
          <w:p w:rsidR="00622E1A" w:rsidRDefault="00622E1A">
            <w:pPr>
              <w:rPr>
                <w:sz w:val="24"/>
                <w:szCs w:val="24"/>
              </w:rPr>
            </w:pPr>
          </w:p>
        </w:tc>
        <w:tc>
          <w:tcPr>
            <w:tcW w:w="2140" w:type="dxa"/>
            <w:tcBorders>
              <w:top w:val="single" w:sz="8" w:space="0" w:color="auto"/>
            </w:tcBorders>
            <w:vAlign w:val="bottom"/>
          </w:tcPr>
          <w:p w:rsidR="00622E1A" w:rsidRDefault="00EA62EF">
            <w:pPr>
              <w:jc w:val="center"/>
              <w:rPr>
                <w:sz w:val="20"/>
                <w:szCs w:val="20"/>
              </w:rPr>
            </w:pPr>
            <w:r>
              <w:rPr>
                <w:rFonts w:eastAsia="Times New Roman"/>
                <w:i/>
                <w:iCs/>
                <w:sz w:val="24"/>
                <w:szCs w:val="24"/>
              </w:rPr>
              <w:t>predpokladaná</w:t>
            </w:r>
          </w:p>
        </w:tc>
        <w:tc>
          <w:tcPr>
            <w:tcW w:w="1660" w:type="dxa"/>
            <w:tcBorders>
              <w:top w:val="single" w:sz="8" w:space="0" w:color="auto"/>
            </w:tcBorders>
            <w:vAlign w:val="bottom"/>
          </w:tcPr>
          <w:p w:rsidR="00622E1A" w:rsidRDefault="00EA62EF">
            <w:pPr>
              <w:jc w:val="center"/>
              <w:rPr>
                <w:sz w:val="20"/>
                <w:szCs w:val="20"/>
              </w:rPr>
            </w:pPr>
            <w:r>
              <w:rPr>
                <w:rFonts w:eastAsia="Times New Roman"/>
                <w:i/>
                <w:iCs/>
                <w:sz w:val="24"/>
                <w:szCs w:val="24"/>
              </w:rPr>
              <w:t>metóda</w:t>
            </w:r>
          </w:p>
        </w:tc>
        <w:tc>
          <w:tcPr>
            <w:tcW w:w="1860" w:type="dxa"/>
            <w:tcBorders>
              <w:top w:val="single" w:sz="8" w:space="0" w:color="auto"/>
              <w:right w:val="single" w:sz="8" w:space="0" w:color="auto"/>
            </w:tcBorders>
            <w:vAlign w:val="bottom"/>
          </w:tcPr>
          <w:p w:rsidR="00622E1A" w:rsidRDefault="00EA62EF">
            <w:pPr>
              <w:ind w:left="20"/>
              <w:jc w:val="center"/>
              <w:rPr>
                <w:sz w:val="20"/>
                <w:szCs w:val="20"/>
              </w:rPr>
            </w:pPr>
            <w:r>
              <w:rPr>
                <w:rFonts w:eastAsia="Times New Roman"/>
                <w:i/>
                <w:iCs/>
                <w:w w:val="99"/>
                <w:sz w:val="24"/>
                <w:szCs w:val="24"/>
              </w:rPr>
              <w:t>ročná odpisová</w:t>
            </w:r>
          </w:p>
        </w:tc>
      </w:tr>
      <w:tr w:rsidR="00622E1A">
        <w:trPr>
          <w:trHeight w:val="317"/>
        </w:trPr>
        <w:tc>
          <w:tcPr>
            <w:tcW w:w="3560" w:type="dxa"/>
            <w:tcBorders>
              <w:left w:val="single" w:sz="8" w:space="0" w:color="auto"/>
            </w:tcBorders>
            <w:vAlign w:val="bottom"/>
          </w:tcPr>
          <w:p w:rsidR="00622E1A" w:rsidRDefault="00622E1A">
            <w:pPr>
              <w:rPr>
                <w:sz w:val="24"/>
                <w:szCs w:val="24"/>
              </w:rPr>
            </w:pPr>
          </w:p>
        </w:tc>
        <w:tc>
          <w:tcPr>
            <w:tcW w:w="2140" w:type="dxa"/>
            <w:vAlign w:val="bottom"/>
          </w:tcPr>
          <w:p w:rsidR="00622E1A" w:rsidRDefault="00EA62EF">
            <w:pPr>
              <w:jc w:val="center"/>
              <w:rPr>
                <w:sz w:val="20"/>
                <w:szCs w:val="20"/>
              </w:rPr>
            </w:pPr>
            <w:r>
              <w:rPr>
                <w:rFonts w:eastAsia="Times New Roman"/>
                <w:i/>
                <w:iCs/>
                <w:sz w:val="24"/>
                <w:szCs w:val="24"/>
              </w:rPr>
              <w:t>doba používania</w:t>
            </w:r>
          </w:p>
        </w:tc>
        <w:tc>
          <w:tcPr>
            <w:tcW w:w="1660" w:type="dxa"/>
            <w:vAlign w:val="bottom"/>
          </w:tcPr>
          <w:p w:rsidR="00622E1A" w:rsidRDefault="00EA62EF">
            <w:pPr>
              <w:jc w:val="center"/>
              <w:rPr>
                <w:sz w:val="20"/>
                <w:szCs w:val="20"/>
              </w:rPr>
            </w:pPr>
            <w:r>
              <w:rPr>
                <w:rFonts w:eastAsia="Times New Roman"/>
                <w:i/>
                <w:iCs/>
                <w:w w:val="98"/>
                <w:sz w:val="24"/>
                <w:szCs w:val="24"/>
              </w:rPr>
              <w:t>odpisovania</w:t>
            </w:r>
          </w:p>
        </w:tc>
        <w:tc>
          <w:tcPr>
            <w:tcW w:w="1860" w:type="dxa"/>
            <w:tcBorders>
              <w:right w:val="single" w:sz="8" w:space="0" w:color="auto"/>
            </w:tcBorders>
            <w:vAlign w:val="bottom"/>
          </w:tcPr>
          <w:p w:rsidR="00622E1A" w:rsidRDefault="00EA62EF">
            <w:pPr>
              <w:ind w:left="20"/>
              <w:jc w:val="center"/>
              <w:rPr>
                <w:sz w:val="20"/>
                <w:szCs w:val="20"/>
              </w:rPr>
            </w:pPr>
            <w:r>
              <w:rPr>
                <w:rFonts w:eastAsia="Times New Roman"/>
                <w:i/>
                <w:iCs/>
                <w:w w:val="98"/>
                <w:sz w:val="24"/>
                <w:szCs w:val="24"/>
              </w:rPr>
              <w:t>sadzba v %</w:t>
            </w:r>
          </w:p>
        </w:tc>
      </w:tr>
      <w:tr w:rsidR="00622E1A">
        <w:trPr>
          <w:trHeight w:val="48"/>
        </w:trPr>
        <w:tc>
          <w:tcPr>
            <w:tcW w:w="3560" w:type="dxa"/>
            <w:tcBorders>
              <w:left w:val="single" w:sz="8" w:space="0" w:color="auto"/>
              <w:bottom w:val="single" w:sz="8" w:space="0" w:color="auto"/>
            </w:tcBorders>
            <w:vAlign w:val="bottom"/>
          </w:tcPr>
          <w:p w:rsidR="00622E1A" w:rsidRDefault="00622E1A">
            <w:pPr>
              <w:rPr>
                <w:sz w:val="4"/>
                <w:szCs w:val="4"/>
              </w:rPr>
            </w:pPr>
          </w:p>
        </w:tc>
        <w:tc>
          <w:tcPr>
            <w:tcW w:w="2140" w:type="dxa"/>
            <w:tcBorders>
              <w:bottom w:val="single" w:sz="8" w:space="0" w:color="auto"/>
            </w:tcBorders>
            <w:vAlign w:val="bottom"/>
          </w:tcPr>
          <w:p w:rsidR="00622E1A" w:rsidRDefault="00622E1A">
            <w:pPr>
              <w:rPr>
                <w:sz w:val="4"/>
                <w:szCs w:val="4"/>
              </w:rPr>
            </w:pPr>
          </w:p>
        </w:tc>
        <w:tc>
          <w:tcPr>
            <w:tcW w:w="1660" w:type="dxa"/>
            <w:tcBorders>
              <w:bottom w:val="single" w:sz="8" w:space="0" w:color="auto"/>
            </w:tcBorders>
            <w:vAlign w:val="bottom"/>
          </w:tcPr>
          <w:p w:rsidR="00622E1A" w:rsidRDefault="00622E1A">
            <w:pPr>
              <w:rPr>
                <w:sz w:val="4"/>
                <w:szCs w:val="4"/>
              </w:rPr>
            </w:pPr>
          </w:p>
        </w:tc>
        <w:tc>
          <w:tcPr>
            <w:tcW w:w="1860" w:type="dxa"/>
            <w:tcBorders>
              <w:bottom w:val="single" w:sz="8" w:space="0" w:color="auto"/>
              <w:right w:val="single" w:sz="8" w:space="0" w:color="auto"/>
            </w:tcBorders>
            <w:vAlign w:val="bottom"/>
          </w:tcPr>
          <w:p w:rsidR="00622E1A" w:rsidRDefault="00622E1A">
            <w:pPr>
              <w:rPr>
                <w:sz w:val="4"/>
                <w:szCs w:val="4"/>
              </w:rPr>
            </w:pPr>
          </w:p>
        </w:tc>
      </w:tr>
      <w:tr w:rsidR="00622E1A">
        <w:trPr>
          <w:trHeight w:val="258"/>
        </w:trPr>
        <w:tc>
          <w:tcPr>
            <w:tcW w:w="3560" w:type="dxa"/>
            <w:tcBorders>
              <w:left w:val="single" w:sz="8" w:space="0" w:color="auto"/>
            </w:tcBorders>
            <w:vAlign w:val="bottom"/>
          </w:tcPr>
          <w:p w:rsidR="00622E1A" w:rsidRDefault="00EA62EF">
            <w:pPr>
              <w:spacing w:line="258" w:lineRule="exact"/>
              <w:ind w:left="20"/>
              <w:rPr>
                <w:sz w:val="20"/>
                <w:szCs w:val="20"/>
              </w:rPr>
            </w:pPr>
            <w:r>
              <w:rPr>
                <w:rFonts w:eastAsia="Times New Roman"/>
                <w:i/>
                <w:iCs/>
                <w:sz w:val="24"/>
                <w:szCs w:val="24"/>
              </w:rPr>
              <w:t>budovy</w:t>
            </w:r>
          </w:p>
        </w:tc>
        <w:tc>
          <w:tcPr>
            <w:tcW w:w="2140" w:type="dxa"/>
            <w:vAlign w:val="bottom"/>
          </w:tcPr>
          <w:p w:rsidR="00622E1A" w:rsidRDefault="00EA62EF">
            <w:pPr>
              <w:spacing w:line="258" w:lineRule="exact"/>
              <w:jc w:val="center"/>
              <w:rPr>
                <w:sz w:val="20"/>
                <w:szCs w:val="20"/>
              </w:rPr>
            </w:pPr>
            <w:r>
              <w:rPr>
                <w:rFonts w:eastAsia="Times New Roman"/>
                <w:i/>
                <w:iCs/>
                <w:w w:val="99"/>
                <w:sz w:val="24"/>
                <w:szCs w:val="24"/>
              </w:rPr>
              <w:t>40</w:t>
            </w:r>
          </w:p>
        </w:tc>
        <w:tc>
          <w:tcPr>
            <w:tcW w:w="1660" w:type="dxa"/>
            <w:vAlign w:val="bottom"/>
          </w:tcPr>
          <w:p w:rsidR="00622E1A" w:rsidRDefault="00EA62EF">
            <w:pPr>
              <w:spacing w:line="258" w:lineRule="exact"/>
              <w:jc w:val="center"/>
              <w:rPr>
                <w:sz w:val="20"/>
                <w:szCs w:val="20"/>
              </w:rPr>
            </w:pPr>
            <w:r>
              <w:rPr>
                <w:rFonts w:eastAsia="Times New Roman"/>
                <w:i/>
                <w:iCs/>
                <w:w w:val="98"/>
                <w:sz w:val="24"/>
                <w:szCs w:val="24"/>
              </w:rPr>
              <w:t>lineárna</w:t>
            </w:r>
          </w:p>
        </w:tc>
        <w:tc>
          <w:tcPr>
            <w:tcW w:w="1860" w:type="dxa"/>
            <w:tcBorders>
              <w:right w:val="single" w:sz="8" w:space="0" w:color="auto"/>
            </w:tcBorders>
            <w:vAlign w:val="bottom"/>
          </w:tcPr>
          <w:p w:rsidR="00622E1A" w:rsidRDefault="00EA62EF">
            <w:pPr>
              <w:spacing w:line="258" w:lineRule="exact"/>
              <w:ind w:right="580"/>
              <w:jc w:val="right"/>
              <w:rPr>
                <w:sz w:val="20"/>
                <w:szCs w:val="20"/>
              </w:rPr>
            </w:pPr>
            <w:r>
              <w:rPr>
                <w:rFonts w:eastAsia="Times New Roman"/>
                <w:i/>
                <w:iCs/>
                <w:sz w:val="24"/>
                <w:szCs w:val="24"/>
              </w:rPr>
              <w:t>2,5</w:t>
            </w:r>
          </w:p>
        </w:tc>
      </w:tr>
      <w:tr w:rsidR="00622E1A">
        <w:trPr>
          <w:trHeight w:val="317"/>
        </w:trPr>
        <w:tc>
          <w:tcPr>
            <w:tcW w:w="3560" w:type="dxa"/>
            <w:tcBorders>
              <w:left w:val="single" w:sz="8" w:space="0" w:color="auto"/>
            </w:tcBorders>
            <w:vAlign w:val="bottom"/>
          </w:tcPr>
          <w:p w:rsidR="00622E1A" w:rsidRDefault="00EA62EF">
            <w:pPr>
              <w:ind w:left="20"/>
              <w:rPr>
                <w:sz w:val="20"/>
                <w:szCs w:val="20"/>
              </w:rPr>
            </w:pPr>
            <w:r>
              <w:rPr>
                <w:rFonts w:eastAsia="Times New Roman"/>
                <w:i/>
                <w:iCs/>
                <w:sz w:val="24"/>
                <w:szCs w:val="24"/>
              </w:rPr>
              <w:t>stroje, prístroje a zariadenia</w:t>
            </w:r>
          </w:p>
        </w:tc>
        <w:tc>
          <w:tcPr>
            <w:tcW w:w="2140" w:type="dxa"/>
            <w:vAlign w:val="bottom"/>
          </w:tcPr>
          <w:p w:rsidR="00622E1A" w:rsidRDefault="00EA62EF">
            <w:pPr>
              <w:jc w:val="center"/>
              <w:rPr>
                <w:sz w:val="20"/>
                <w:szCs w:val="20"/>
              </w:rPr>
            </w:pPr>
            <w:r>
              <w:rPr>
                <w:rFonts w:eastAsia="Times New Roman"/>
                <w:i/>
                <w:iCs/>
                <w:sz w:val="24"/>
                <w:szCs w:val="24"/>
              </w:rPr>
              <w:t>8 až 20</w:t>
            </w:r>
          </w:p>
        </w:tc>
        <w:tc>
          <w:tcPr>
            <w:tcW w:w="1660" w:type="dxa"/>
            <w:vAlign w:val="bottom"/>
          </w:tcPr>
          <w:p w:rsidR="00622E1A" w:rsidRDefault="00EA62EF">
            <w:pPr>
              <w:jc w:val="center"/>
              <w:rPr>
                <w:sz w:val="20"/>
                <w:szCs w:val="20"/>
              </w:rPr>
            </w:pPr>
            <w:r>
              <w:rPr>
                <w:rFonts w:eastAsia="Times New Roman"/>
                <w:i/>
                <w:iCs/>
                <w:w w:val="98"/>
                <w:sz w:val="24"/>
                <w:szCs w:val="24"/>
              </w:rPr>
              <w:t>lineárna</w:t>
            </w:r>
          </w:p>
        </w:tc>
        <w:tc>
          <w:tcPr>
            <w:tcW w:w="1860" w:type="dxa"/>
            <w:tcBorders>
              <w:right w:val="single" w:sz="8" w:space="0" w:color="auto"/>
            </w:tcBorders>
            <w:vAlign w:val="bottom"/>
          </w:tcPr>
          <w:p w:rsidR="00622E1A" w:rsidRDefault="00EA62EF">
            <w:pPr>
              <w:ind w:left="20"/>
              <w:jc w:val="center"/>
              <w:rPr>
                <w:sz w:val="20"/>
                <w:szCs w:val="20"/>
              </w:rPr>
            </w:pPr>
            <w:r>
              <w:rPr>
                <w:rFonts w:eastAsia="Times New Roman"/>
                <w:i/>
                <w:iCs/>
                <w:sz w:val="24"/>
                <w:szCs w:val="24"/>
              </w:rPr>
              <w:t>5 až 12,5</w:t>
            </w:r>
          </w:p>
        </w:tc>
      </w:tr>
      <w:tr w:rsidR="00622E1A">
        <w:trPr>
          <w:trHeight w:val="319"/>
        </w:trPr>
        <w:tc>
          <w:tcPr>
            <w:tcW w:w="3560" w:type="dxa"/>
            <w:tcBorders>
              <w:left w:val="single" w:sz="8" w:space="0" w:color="auto"/>
            </w:tcBorders>
            <w:vAlign w:val="bottom"/>
          </w:tcPr>
          <w:p w:rsidR="00622E1A" w:rsidRDefault="00EA62EF">
            <w:pPr>
              <w:ind w:left="20"/>
              <w:rPr>
                <w:sz w:val="20"/>
                <w:szCs w:val="20"/>
              </w:rPr>
            </w:pPr>
            <w:r>
              <w:rPr>
                <w:rFonts w:eastAsia="Times New Roman"/>
                <w:i/>
                <w:iCs/>
                <w:sz w:val="24"/>
                <w:szCs w:val="24"/>
              </w:rPr>
              <w:t>dopravné prostriedky</w:t>
            </w:r>
          </w:p>
        </w:tc>
        <w:tc>
          <w:tcPr>
            <w:tcW w:w="2140" w:type="dxa"/>
            <w:vAlign w:val="bottom"/>
          </w:tcPr>
          <w:p w:rsidR="00622E1A" w:rsidRDefault="00EA62EF">
            <w:pPr>
              <w:jc w:val="center"/>
              <w:rPr>
                <w:sz w:val="20"/>
                <w:szCs w:val="20"/>
              </w:rPr>
            </w:pPr>
            <w:r>
              <w:rPr>
                <w:rFonts w:eastAsia="Times New Roman"/>
                <w:i/>
                <w:iCs/>
                <w:sz w:val="24"/>
                <w:szCs w:val="24"/>
              </w:rPr>
              <w:t>4 až 6</w:t>
            </w:r>
          </w:p>
        </w:tc>
        <w:tc>
          <w:tcPr>
            <w:tcW w:w="1660" w:type="dxa"/>
            <w:vAlign w:val="bottom"/>
          </w:tcPr>
          <w:p w:rsidR="00622E1A" w:rsidRDefault="00EA62EF">
            <w:pPr>
              <w:jc w:val="center"/>
              <w:rPr>
                <w:sz w:val="20"/>
                <w:szCs w:val="20"/>
              </w:rPr>
            </w:pPr>
            <w:r>
              <w:rPr>
                <w:rFonts w:eastAsia="Times New Roman"/>
                <w:i/>
                <w:iCs/>
                <w:w w:val="98"/>
                <w:sz w:val="24"/>
                <w:szCs w:val="24"/>
              </w:rPr>
              <w:t>lineárna</w:t>
            </w:r>
          </w:p>
        </w:tc>
        <w:tc>
          <w:tcPr>
            <w:tcW w:w="1860" w:type="dxa"/>
            <w:tcBorders>
              <w:right w:val="single" w:sz="8" w:space="0" w:color="auto"/>
            </w:tcBorders>
            <w:vAlign w:val="bottom"/>
          </w:tcPr>
          <w:p w:rsidR="00622E1A" w:rsidRDefault="00EA62EF">
            <w:pPr>
              <w:ind w:left="20"/>
              <w:jc w:val="center"/>
              <w:rPr>
                <w:sz w:val="20"/>
                <w:szCs w:val="20"/>
              </w:rPr>
            </w:pPr>
            <w:r>
              <w:rPr>
                <w:rFonts w:eastAsia="Times New Roman"/>
                <w:i/>
                <w:iCs/>
                <w:w w:val="98"/>
                <w:sz w:val="24"/>
                <w:szCs w:val="24"/>
              </w:rPr>
              <w:t>16 až 25</w:t>
            </w:r>
          </w:p>
        </w:tc>
      </w:tr>
      <w:tr w:rsidR="00622E1A">
        <w:trPr>
          <w:trHeight w:val="317"/>
        </w:trPr>
        <w:tc>
          <w:tcPr>
            <w:tcW w:w="3560" w:type="dxa"/>
            <w:tcBorders>
              <w:left w:val="single" w:sz="8" w:space="0" w:color="auto"/>
            </w:tcBorders>
            <w:vAlign w:val="bottom"/>
          </w:tcPr>
          <w:p w:rsidR="00622E1A" w:rsidRDefault="00EA62EF">
            <w:pPr>
              <w:ind w:left="20"/>
              <w:rPr>
                <w:sz w:val="20"/>
                <w:szCs w:val="20"/>
              </w:rPr>
            </w:pPr>
            <w:r>
              <w:rPr>
                <w:rFonts w:eastAsia="Times New Roman"/>
                <w:i/>
                <w:iCs/>
                <w:sz w:val="24"/>
                <w:szCs w:val="24"/>
              </w:rPr>
              <w:t>drobný dlhodobý hmotný majetok</w:t>
            </w:r>
          </w:p>
        </w:tc>
        <w:tc>
          <w:tcPr>
            <w:tcW w:w="2140" w:type="dxa"/>
            <w:vAlign w:val="bottom"/>
          </w:tcPr>
          <w:p w:rsidR="00622E1A" w:rsidRDefault="00EA62EF">
            <w:pPr>
              <w:jc w:val="center"/>
              <w:rPr>
                <w:sz w:val="20"/>
                <w:szCs w:val="20"/>
              </w:rPr>
            </w:pPr>
            <w:r>
              <w:rPr>
                <w:rFonts w:eastAsia="Times New Roman"/>
                <w:i/>
                <w:iCs/>
                <w:w w:val="99"/>
                <w:sz w:val="24"/>
                <w:szCs w:val="24"/>
              </w:rPr>
              <w:t>rôzna napr. 2</w:t>
            </w:r>
          </w:p>
        </w:tc>
        <w:tc>
          <w:tcPr>
            <w:tcW w:w="1660" w:type="dxa"/>
            <w:vAlign w:val="bottom"/>
          </w:tcPr>
          <w:p w:rsidR="00622E1A" w:rsidRDefault="00EA62EF">
            <w:pPr>
              <w:jc w:val="center"/>
              <w:rPr>
                <w:sz w:val="20"/>
                <w:szCs w:val="20"/>
              </w:rPr>
            </w:pPr>
            <w:r>
              <w:rPr>
                <w:rFonts w:eastAsia="Times New Roman"/>
                <w:i/>
                <w:iCs/>
                <w:w w:val="98"/>
                <w:sz w:val="24"/>
                <w:szCs w:val="24"/>
              </w:rPr>
              <w:t>lineárna</w:t>
            </w:r>
          </w:p>
        </w:tc>
        <w:tc>
          <w:tcPr>
            <w:tcW w:w="1860" w:type="dxa"/>
            <w:tcBorders>
              <w:right w:val="single" w:sz="8" w:space="0" w:color="auto"/>
            </w:tcBorders>
            <w:vAlign w:val="bottom"/>
          </w:tcPr>
          <w:p w:rsidR="00622E1A" w:rsidRDefault="00EA62EF">
            <w:pPr>
              <w:ind w:right="620"/>
              <w:jc w:val="right"/>
              <w:rPr>
                <w:sz w:val="20"/>
                <w:szCs w:val="20"/>
              </w:rPr>
            </w:pPr>
            <w:r>
              <w:rPr>
                <w:rFonts w:eastAsia="Times New Roman"/>
                <w:i/>
                <w:iCs/>
                <w:sz w:val="24"/>
                <w:szCs w:val="24"/>
              </w:rPr>
              <w:t>50</w:t>
            </w:r>
          </w:p>
        </w:tc>
      </w:tr>
      <w:tr w:rsidR="00622E1A">
        <w:trPr>
          <w:trHeight w:val="48"/>
        </w:trPr>
        <w:tc>
          <w:tcPr>
            <w:tcW w:w="3560" w:type="dxa"/>
            <w:tcBorders>
              <w:left w:val="single" w:sz="8" w:space="0" w:color="auto"/>
              <w:bottom w:val="single" w:sz="8" w:space="0" w:color="auto"/>
            </w:tcBorders>
            <w:vAlign w:val="bottom"/>
          </w:tcPr>
          <w:p w:rsidR="00622E1A" w:rsidRDefault="00622E1A">
            <w:pPr>
              <w:rPr>
                <w:sz w:val="4"/>
                <w:szCs w:val="4"/>
              </w:rPr>
            </w:pPr>
          </w:p>
        </w:tc>
        <w:tc>
          <w:tcPr>
            <w:tcW w:w="2140" w:type="dxa"/>
            <w:tcBorders>
              <w:bottom w:val="single" w:sz="8" w:space="0" w:color="auto"/>
            </w:tcBorders>
            <w:vAlign w:val="bottom"/>
          </w:tcPr>
          <w:p w:rsidR="00622E1A" w:rsidRDefault="00622E1A">
            <w:pPr>
              <w:rPr>
                <w:sz w:val="4"/>
                <w:szCs w:val="4"/>
              </w:rPr>
            </w:pPr>
          </w:p>
        </w:tc>
        <w:tc>
          <w:tcPr>
            <w:tcW w:w="1660" w:type="dxa"/>
            <w:tcBorders>
              <w:bottom w:val="single" w:sz="8" w:space="0" w:color="auto"/>
            </w:tcBorders>
            <w:vAlign w:val="bottom"/>
          </w:tcPr>
          <w:p w:rsidR="00622E1A" w:rsidRDefault="00622E1A">
            <w:pPr>
              <w:rPr>
                <w:sz w:val="4"/>
                <w:szCs w:val="4"/>
              </w:rPr>
            </w:pPr>
          </w:p>
        </w:tc>
        <w:tc>
          <w:tcPr>
            <w:tcW w:w="1860" w:type="dxa"/>
            <w:tcBorders>
              <w:bottom w:val="single" w:sz="8" w:space="0" w:color="auto"/>
              <w:right w:val="single" w:sz="8" w:space="0" w:color="auto"/>
            </w:tcBorders>
            <w:vAlign w:val="bottom"/>
          </w:tcPr>
          <w:p w:rsidR="00622E1A" w:rsidRDefault="00622E1A">
            <w:pPr>
              <w:rPr>
                <w:sz w:val="4"/>
                <w:szCs w:val="4"/>
              </w:rPr>
            </w:pPr>
          </w:p>
        </w:tc>
      </w:tr>
    </w:tbl>
    <w:p w:rsidR="00622E1A" w:rsidRDefault="00622E1A">
      <w:pPr>
        <w:spacing w:line="200" w:lineRule="exact"/>
        <w:rPr>
          <w:sz w:val="20"/>
          <w:szCs w:val="20"/>
        </w:rPr>
      </w:pPr>
    </w:p>
    <w:p w:rsidR="00622E1A" w:rsidRDefault="00622E1A">
      <w:pPr>
        <w:spacing w:line="379" w:lineRule="exact"/>
        <w:rPr>
          <w:sz w:val="20"/>
          <w:szCs w:val="20"/>
        </w:rPr>
      </w:pPr>
    </w:p>
    <w:p w:rsidR="00622E1A" w:rsidRDefault="00EA62EF">
      <w:pPr>
        <w:spacing w:line="234" w:lineRule="auto"/>
        <w:ind w:right="60"/>
        <w:jc w:val="both"/>
        <w:rPr>
          <w:sz w:val="20"/>
          <w:szCs w:val="20"/>
        </w:rPr>
      </w:pPr>
      <w:r>
        <w:rPr>
          <w:rFonts w:eastAsia="Times New Roman"/>
          <w:sz w:val="24"/>
          <w:szCs w:val="24"/>
          <w:u w:val="single"/>
        </w:rPr>
        <w:t>Cenné papiere a podiely</w:t>
      </w:r>
      <w:r>
        <w:rPr>
          <w:rFonts w:eastAsia="Times New Roman"/>
          <w:sz w:val="24"/>
          <w:szCs w:val="24"/>
        </w:rPr>
        <w:t xml:space="preserve"> sa oceňujú pri ich nadobudnutí obstarávacími cenami, t. j. vrátane nákladov súvisiacich s obstaraním.</w:t>
      </w:r>
    </w:p>
    <w:p w:rsidR="00622E1A" w:rsidRDefault="00622E1A">
      <w:pPr>
        <w:spacing w:line="290" w:lineRule="exact"/>
        <w:rPr>
          <w:sz w:val="20"/>
          <w:szCs w:val="20"/>
        </w:rPr>
      </w:pPr>
    </w:p>
    <w:p w:rsidR="00622E1A" w:rsidRDefault="00EA62EF">
      <w:pPr>
        <w:spacing w:line="238" w:lineRule="auto"/>
        <w:ind w:right="60"/>
        <w:jc w:val="both"/>
        <w:rPr>
          <w:sz w:val="20"/>
          <w:szCs w:val="20"/>
        </w:rPr>
      </w:pPr>
      <w:r>
        <w:rPr>
          <w:rFonts w:eastAsia="Times New Roman"/>
          <w:sz w:val="24"/>
          <w:szCs w:val="24"/>
          <w:u w:val="single"/>
        </w:rPr>
        <w:t>Zásoby</w:t>
      </w:r>
      <w:r>
        <w:rPr>
          <w:rFonts w:eastAsia="Times New Roman"/>
          <w:sz w:val="24"/>
          <w:szCs w:val="24"/>
        </w:rPr>
        <w:t xml:space="preserve"> nakupované 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622E1A" w:rsidRDefault="00622E1A">
      <w:pPr>
        <w:spacing w:line="14" w:lineRule="exact"/>
        <w:rPr>
          <w:sz w:val="20"/>
          <w:szCs w:val="20"/>
        </w:rPr>
      </w:pPr>
    </w:p>
    <w:p w:rsidR="00622E1A" w:rsidRDefault="00EA62EF">
      <w:pPr>
        <w:spacing w:line="237" w:lineRule="auto"/>
        <w:ind w:right="80"/>
        <w:jc w:val="both"/>
        <w:rPr>
          <w:sz w:val="20"/>
          <w:szCs w:val="20"/>
        </w:rPr>
      </w:pPr>
      <w:r>
        <w:rPr>
          <w:rFonts w:eastAsia="Times New Roman"/>
          <w:sz w:val="24"/>
          <w:szCs w:val="24"/>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622E1A" w:rsidRDefault="00622E1A">
      <w:pPr>
        <w:spacing w:line="18" w:lineRule="exact"/>
        <w:rPr>
          <w:sz w:val="20"/>
          <w:szCs w:val="20"/>
        </w:rPr>
      </w:pPr>
    </w:p>
    <w:p w:rsidR="00622E1A" w:rsidRDefault="00EA62EF">
      <w:pPr>
        <w:spacing w:line="236" w:lineRule="auto"/>
        <w:ind w:right="140"/>
        <w:jc w:val="both"/>
        <w:rPr>
          <w:sz w:val="20"/>
          <w:szCs w:val="20"/>
        </w:rPr>
      </w:pPr>
      <w:r>
        <w:rPr>
          <w:rFonts w:eastAsia="Times New Roman"/>
          <w:sz w:val="24"/>
          <w:szCs w:val="24"/>
        </w:rPr>
        <w:t>Zásoby nadobudnuté bezodplatne (darovaním a delimitáciou), prebytky zásob, odpad a zvyškové produkty sa oceňujú reprodukčnou obstarávacou cenou, čo je cena, za ktorú by sa majetok obstaral v čase, keď sa o ňom účtuje.</w:t>
      </w:r>
    </w:p>
    <w:p w:rsidR="00622E1A" w:rsidRDefault="00622E1A">
      <w:pPr>
        <w:spacing w:line="2" w:lineRule="exact"/>
        <w:rPr>
          <w:sz w:val="20"/>
          <w:szCs w:val="20"/>
        </w:rPr>
      </w:pPr>
    </w:p>
    <w:p w:rsidR="00622E1A" w:rsidRDefault="00EA62EF">
      <w:pPr>
        <w:rPr>
          <w:sz w:val="20"/>
          <w:szCs w:val="20"/>
        </w:rPr>
      </w:pPr>
      <w:r>
        <w:rPr>
          <w:rFonts w:eastAsia="Times New Roman"/>
          <w:sz w:val="24"/>
          <w:szCs w:val="24"/>
        </w:rPr>
        <w:t>Novozistené zásoby pri inventarizácii sa oceňujú reprodukčnou obstarávacou cenou.</w:t>
      </w:r>
    </w:p>
    <w:p w:rsidR="00622E1A" w:rsidRDefault="00622E1A">
      <w:pPr>
        <w:spacing w:line="288" w:lineRule="exact"/>
        <w:rPr>
          <w:sz w:val="20"/>
          <w:szCs w:val="20"/>
        </w:rPr>
      </w:pPr>
    </w:p>
    <w:p w:rsidR="00622E1A" w:rsidRDefault="00EA62EF">
      <w:pPr>
        <w:spacing w:line="237" w:lineRule="auto"/>
        <w:ind w:right="60"/>
        <w:jc w:val="both"/>
        <w:rPr>
          <w:sz w:val="20"/>
          <w:szCs w:val="20"/>
        </w:rPr>
      </w:pPr>
      <w:r>
        <w:rPr>
          <w:rFonts w:eastAsia="Times New Roman"/>
          <w:sz w:val="24"/>
          <w:szCs w:val="24"/>
          <w:u w:val="single"/>
        </w:rPr>
        <w:t>Pohľadávky</w:t>
      </w:r>
      <w:r>
        <w:rPr>
          <w:rFonts w:eastAsia="Times New Roman"/>
          <w:sz w:val="24"/>
          <w:szCs w:val="24"/>
        </w:rPr>
        <w:t xml:space="preserve"> sa pri ich vzniku oceňujú menovitou hodnotou. Pohľadávky pri odplatnom nadobudnutí sa oceňujú obstarávacou cenou, t.j. vrátane nákladov súvisiacich s obstaraním. Toto ocenenie sa znižuje o pochybné, nedobytným pohľadávky a o pohľadávky, pri ktorých existuje riziko nevymožiteľnosti.</w:t>
      </w:r>
    </w:p>
    <w:p w:rsidR="00622E1A" w:rsidRDefault="00622E1A">
      <w:pPr>
        <w:spacing w:line="278" w:lineRule="exact"/>
        <w:rPr>
          <w:sz w:val="20"/>
          <w:szCs w:val="20"/>
        </w:rPr>
      </w:pPr>
    </w:p>
    <w:p w:rsidR="00622E1A" w:rsidRDefault="00EA62EF">
      <w:pPr>
        <w:rPr>
          <w:sz w:val="20"/>
          <w:szCs w:val="20"/>
        </w:rPr>
      </w:pPr>
      <w:r>
        <w:rPr>
          <w:rFonts w:eastAsia="Times New Roman"/>
          <w:sz w:val="24"/>
          <w:szCs w:val="24"/>
          <w:u w:val="single"/>
        </w:rPr>
        <w:t>Peňažné prostriedky a</w:t>
      </w:r>
      <w:r>
        <w:rPr>
          <w:rFonts w:eastAsia="Times New Roman"/>
          <w:sz w:val="24"/>
          <w:szCs w:val="24"/>
        </w:rPr>
        <w:t xml:space="preserve"> </w:t>
      </w:r>
      <w:r>
        <w:rPr>
          <w:rFonts w:eastAsia="Times New Roman"/>
          <w:sz w:val="24"/>
          <w:szCs w:val="24"/>
          <w:u w:val="single"/>
        </w:rPr>
        <w:t>ceniny</w:t>
      </w:r>
      <w:r>
        <w:rPr>
          <w:rFonts w:eastAsia="Times New Roman"/>
          <w:sz w:val="24"/>
          <w:szCs w:val="24"/>
        </w:rPr>
        <w:t xml:space="preserve"> sa oceňujú menovitou hodnotou.</w:t>
      </w:r>
    </w:p>
    <w:p w:rsidR="00622E1A" w:rsidRDefault="00622E1A">
      <w:pPr>
        <w:spacing w:line="288" w:lineRule="exact"/>
        <w:rPr>
          <w:sz w:val="20"/>
          <w:szCs w:val="20"/>
        </w:rPr>
      </w:pPr>
    </w:p>
    <w:p w:rsidR="00622E1A" w:rsidRDefault="00EA62EF">
      <w:pPr>
        <w:spacing w:line="234" w:lineRule="auto"/>
        <w:ind w:right="80"/>
        <w:jc w:val="both"/>
        <w:rPr>
          <w:sz w:val="20"/>
          <w:szCs w:val="20"/>
        </w:rPr>
      </w:pPr>
      <w:r>
        <w:rPr>
          <w:rFonts w:eastAsia="Times New Roman"/>
          <w:sz w:val="24"/>
          <w:szCs w:val="24"/>
          <w:u w:val="single"/>
        </w:rPr>
        <w:t>Rezervy</w:t>
      </w:r>
      <w:r>
        <w:rPr>
          <w:rFonts w:eastAsia="Times New Roman"/>
          <w:sz w:val="24"/>
          <w:szCs w:val="24"/>
        </w:rPr>
        <w:t xml:space="preserve"> sú záväzky s neurčitým časovým vymedzením alebo výškou a oceňujú sa v očakávanej výške záväzku.</w:t>
      </w:r>
    </w:p>
    <w:p w:rsidR="00622E1A" w:rsidRDefault="00622E1A">
      <w:pPr>
        <w:spacing w:line="290" w:lineRule="exact"/>
        <w:rPr>
          <w:sz w:val="20"/>
          <w:szCs w:val="20"/>
        </w:rPr>
      </w:pPr>
    </w:p>
    <w:p w:rsidR="00622E1A" w:rsidRDefault="00EA62EF">
      <w:pPr>
        <w:spacing w:line="234" w:lineRule="auto"/>
        <w:ind w:right="80"/>
        <w:jc w:val="both"/>
        <w:rPr>
          <w:sz w:val="20"/>
          <w:szCs w:val="20"/>
        </w:rPr>
      </w:pPr>
      <w:r>
        <w:rPr>
          <w:rFonts w:eastAsia="Times New Roman"/>
          <w:sz w:val="24"/>
          <w:szCs w:val="24"/>
          <w:u w:val="single"/>
        </w:rPr>
        <w:t>Záväzky</w:t>
      </w:r>
      <w:r>
        <w:rPr>
          <w:rFonts w:eastAsia="Times New Roman"/>
          <w:sz w:val="24"/>
          <w:szCs w:val="24"/>
        </w:rPr>
        <w:t xml:space="preserve"> sa pri ich vzniku oceňujú menovitou hodnotou a pri ich prevzatí sa oceňujú obstarávacou cenou.</w:t>
      </w:r>
    </w:p>
    <w:p w:rsidR="00622E1A" w:rsidRDefault="00622E1A">
      <w:pPr>
        <w:spacing w:line="290" w:lineRule="exact"/>
        <w:rPr>
          <w:sz w:val="20"/>
          <w:szCs w:val="20"/>
        </w:rPr>
      </w:pPr>
    </w:p>
    <w:p w:rsidR="00622E1A" w:rsidRDefault="00EA62EF">
      <w:pPr>
        <w:spacing w:line="234" w:lineRule="auto"/>
        <w:ind w:right="80"/>
        <w:jc w:val="both"/>
        <w:rPr>
          <w:sz w:val="20"/>
          <w:szCs w:val="20"/>
        </w:rPr>
      </w:pPr>
      <w:r>
        <w:rPr>
          <w:rFonts w:eastAsia="Times New Roman"/>
          <w:sz w:val="24"/>
          <w:szCs w:val="24"/>
        </w:rPr>
        <w:t xml:space="preserve">Účty </w:t>
      </w:r>
      <w:r>
        <w:rPr>
          <w:rFonts w:eastAsia="Times New Roman"/>
          <w:sz w:val="24"/>
          <w:szCs w:val="24"/>
          <w:u w:val="single"/>
        </w:rPr>
        <w:t>časového rozlíšenia aktív a pasív</w:t>
      </w:r>
      <w:r>
        <w:rPr>
          <w:rFonts w:eastAsia="Times New Roman"/>
          <w:sz w:val="24"/>
          <w:szCs w:val="24"/>
        </w:rPr>
        <w:t xml:space="preserve"> sú vykázané vo výške, ktorá je potrebná na dodržanie zásady vecnej a časovej súvislosti s účtovným obdobím.</w:t>
      </w: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27" w:lineRule="exact"/>
        <w:rPr>
          <w:sz w:val="20"/>
          <w:szCs w:val="20"/>
        </w:rPr>
      </w:pPr>
    </w:p>
    <w:p w:rsidR="00622E1A" w:rsidRDefault="00EA62EF">
      <w:pPr>
        <w:ind w:right="140"/>
        <w:jc w:val="center"/>
        <w:rPr>
          <w:sz w:val="20"/>
          <w:szCs w:val="20"/>
        </w:rPr>
      </w:pPr>
      <w:r>
        <w:rPr>
          <w:rFonts w:eastAsia="Times New Roman"/>
          <w:sz w:val="24"/>
          <w:szCs w:val="24"/>
        </w:rPr>
        <w:t>3</w:t>
      </w:r>
    </w:p>
    <w:p w:rsidR="00622E1A" w:rsidRDefault="00622E1A">
      <w:pPr>
        <w:sectPr w:rsidR="00622E1A">
          <w:pgSz w:w="11900" w:h="16838"/>
          <w:pgMar w:top="932" w:right="1266" w:bottom="428" w:left="1420" w:header="0" w:footer="0" w:gutter="0"/>
          <w:cols w:space="708" w:equalWidth="0">
            <w:col w:w="9220"/>
          </w:cols>
        </w:sectPr>
      </w:pPr>
    </w:p>
    <w:p w:rsidR="00622E1A" w:rsidRDefault="00EA62EF">
      <w:pPr>
        <w:ind w:right="40"/>
        <w:jc w:val="center"/>
        <w:rPr>
          <w:sz w:val="20"/>
          <w:szCs w:val="20"/>
        </w:rPr>
      </w:pPr>
      <w:bookmarkStart w:id="3" w:name="page4"/>
      <w:bookmarkEnd w:id="3"/>
      <w:r>
        <w:rPr>
          <w:rFonts w:eastAsia="Times New Roman"/>
          <w:sz w:val="20"/>
          <w:szCs w:val="20"/>
        </w:rPr>
        <w:lastRenderedPageBreak/>
        <w:t>Poznámky  konsolidovanej účtovnej závierk</w:t>
      </w:r>
      <w:r w:rsidR="00AA23CB">
        <w:rPr>
          <w:rFonts w:eastAsia="Times New Roman"/>
          <w:sz w:val="20"/>
          <w:szCs w:val="20"/>
        </w:rPr>
        <w:t>y zostavenej k 31. decembru 2019</w:t>
      </w:r>
    </w:p>
    <w:p w:rsidR="00622E1A" w:rsidRDefault="00EA62EF">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29845</wp:posOffset>
                </wp:positionH>
                <wp:positionV relativeFrom="paragraph">
                  <wp:posOffset>19050</wp:posOffset>
                </wp:positionV>
                <wp:extent cx="5798820" cy="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8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67E9B86" id="Shape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35pt,1.5pt" to="45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luQEAAH8DAAAOAAAAZHJzL2Uyb0RvYy54bWysU01vGyEQvVfqf0Dc6924ruOsvM4hqXuJ&#10;Wktpf8AYWC8qX2Ko1/73HVjbjduconJADPN4zHsDy/uDNWyvImrvWn4zqTlTTnip3a7lP76vPyw4&#10;wwROgvFOtfyokN+v3r9bDqFRU997I1VkROKwGULL+5RCU1UoemUBJz4oR8nORwuJwrirZISB2K2p&#10;pnU9rwYfZYheKETafRyTfFX4u06J9K3rUCVmWk61pTLHMm/zXK2W0OwihF6LUxnwhiosaEeXXqge&#10;IQH7FfU/VFaL6NF3aSK8rXzXaaGKBlJzU/+l5rmHoIoWMgfDxSb8f7Ti634TmZYtn3HmwFKLyq1s&#10;lq0ZAjaEeHCbmMWJg3sOT178RMpVV8kcYBhhhy7aDCd17FCsPl6sVofEBG1+ur1bLKbUEUG52e38&#10;Y76uguZ8NkRMX5S3LC9abrTLRkAD+ydMI/QMydvojZZrbUwJ4m77YCLbAzV9XcaJ/QpmHBtaPq/v&#10;5oX5KocvKeoyXqOwOtHrNdq2fHEBQdMrkJ+dpDKhSaDNuCZ1xp18G63Kpm29PG7i2U/qcrHh9CLz&#10;M3oZl9N//s3qNwAAAP//AwBQSwMEFAAGAAgAAAAhAL6jmO/cAAAABQEAAA8AAABkcnMvZG93bnJl&#10;di54bWxMj81OwzAQhO9IvIO1SNyoU/5KQ5yqVOICqioCEhw38ZIE4nWI3TZ9exYucBzNaOabbDG6&#10;Tu1oCK1nA9NJAoq48rbl2sDL8/3ZDagQkS12nsnAgQIs8uOjDFPr9/xEuyLWSko4pGigibFPtQ5V&#10;Qw7DxPfE4r37wWEUOdTaDriXctfp8yS51g5bloUGe1o1VH0WW2fgrnx8e/UbDMWmjOvDw9XqY/nV&#10;GnN6Mi5vQUUa418YfvAFHXJhKv2WbVCdgcuZBA1cyCFx59PZHFT5q3We6f/0+TcAAAD//wMAUEsB&#10;Ai0AFAAGAAgAAAAhALaDOJL+AAAA4QEAABMAAAAAAAAAAAAAAAAAAAAAAFtDb250ZW50X1R5cGVz&#10;XS54bWxQSwECLQAUAAYACAAAACEAOP0h/9YAAACUAQAACwAAAAAAAAAAAAAAAAAvAQAAX3JlbHMv&#10;LnJlbHNQSwECLQAUAAYACAAAACEAG/kx5bkBAAB/AwAADgAAAAAAAAAAAAAAAAAuAgAAZHJzL2Uy&#10;b0RvYy54bWxQSwECLQAUAAYACAAAACEAvqOY79wAAAAFAQAADwAAAAAAAAAAAAAAAAATBAAAZHJz&#10;L2Rvd25yZXYueG1sUEsFBgAAAAAEAAQA8wAAABwFAAAAAA==&#10;" o:allowincell="f" filled="t" strokeweight=".48pt">
                <v:stroke joinstyle="miter"/>
                <o:lock v:ext="edit" shapetype="f"/>
              </v:line>
            </w:pict>
          </mc:Fallback>
        </mc:AlternateContent>
      </w:r>
    </w:p>
    <w:p w:rsidR="00622E1A" w:rsidRDefault="00622E1A">
      <w:pPr>
        <w:spacing w:line="200" w:lineRule="exact"/>
        <w:rPr>
          <w:sz w:val="20"/>
          <w:szCs w:val="20"/>
        </w:rPr>
      </w:pPr>
    </w:p>
    <w:p w:rsidR="00622E1A" w:rsidRDefault="00622E1A">
      <w:pPr>
        <w:spacing w:line="362" w:lineRule="exact"/>
        <w:rPr>
          <w:sz w:val="20"/>
          <w:szCs w:val="20"/>
        </w:rPr>
      </w:pPr>
    </w:p>
    <w:p w:rsidR="00622E1A" w:rsidRDefault="00EA62EF">
      <w:pPr>
        <w:ind w:left="80"/>
        <w:rPr>
          <w:sz w:val="20"/>
          <w:szCs w:val="20"/>
        </w:rPr>
      </w:pPr>
      <w:r>
        <w:rPr>
          <w:rFonts w:eastAsia="Times New Roman"/>
          <w:b/>
          <w:bCs/>
          <w:sz w:val="24"/>
          <w:szCs w:val="24"/>
        </w:rPr>
        <w:t>INFORMÁCIE O METÓDACH A POSTUPOCH KONSOLIDÁCIE</w:t>
      </w:r>
    </w:p>
    <w:p w:rsidR="00622E1A" w:rsidRDefault="00622E1A">
      <w:pPr>
        <w:spacing w:line="200" w:lineRule="exact"/>
        <w:rPr>
          <w:sz w:val="20"/>
          <w:szCs w:val="20"/>
        </w:rPr>
      </w:pPr>
    </w:p>
    <w:p w:rsidR="00622E1A" w:rsidRDefault="00622E1A">
      <w:pPr>
        <w:spacing w:line="210" w:lineRule="exact"/>
        <w:rPr>
          <w:sz w:val="20"/>
          <w:szCs w:val="20"/>
        </w:rPr>
      </w:pPr>
    </w:p>
    <w:p w:rsidR="00622E1A" w:rsidRDefault="00EA62EF">
      <w:pPr>
        <w:tabs>
          <w:tab w:val="left" w:pos="1660"/>
          <w:tab w:val="left" w:pos="2580"/>
          <w:tab w:val="left" w:pos="3560"/>
          <w:tab w:val="left" w:pos="4220"/>
          <w:tab w:val="left" w:pos="5240"/>
          <w:tab w:val="left" w:pos="5820"/>
          <w:tab w:val="left" w:pos="6920"/>
          <w:tab w:val="left" w:pos="7880"/>
          <w:tab w:val="left" w:pos="8240"/>
        </w:tabs>
        <w:ind w:left="80"/>
        <w:rPr>
          <w:sz w:val="20"/>
          <w:szCs w:val="20"/>
        </w:rPr>
      </w:pPr>
      <w:r>
        <w:rPr>
          <w:rFonts w:eastAsia="Times New Roman"/>
          <w:sz w:val="24"/>
          <w:szCs w:val="24"/>
        </w:rPr>
        <w:t>Konsolidovaná</w:t>
      </w:r>
      <w:r>
        <w:rPr>
          <w:rFonts w:eastAsia="Times New Roman"/>
          <w:sz w:val="24"/>
          <w:szCs w:val="24"/>
        </w:rPr>
        <w:tab/>
        <w:t>účtovná</w:t>
      </w:r>
      <w:r>
        <w:rPr>
          <w:rFonts w:eastAsia="Times New Roman"/>
          <w:sz w:val="24"/>
          <w:szCs w:val="24"/>
        </w:rPr>
        <w:tab/>
        <w:t>závierka</w:t>
      </w:r>
      <w:r>
        <w:rPr>
          <w:rFonts w:eastAsia="Times New Roman"/>
          <w:sz w:val="24"/>
          <w:szCs w:val="24"/>
        </w:rPr>
        <w:tab/>
        <w:t>Obce</w:t>
      </w:r>
      <w:r>
        <w:rPr>
          <w:sz w:val="20"/>
          <w:szCs w:val="20"/>
        </w:rPr>
        <w:tab/>
      </w:r>
      <w:r>
        <w:rPr>
          <w:rFonts w:eastAsia="Times New Roman"/>
          <w:sz w:val="24"/>
          <w:szCs w:val="24"/>
        </w:rPr>
        <w:t>Jablonov</w:t>
      </w:r>
      <w:r>
        <w:rPr>
          <w:sz w:val="20"/>
          <w:szCs w:val="20"/>
        </w:rPr>
        <w:tab/>
      </w:r>
      <w:r>
        <w:rPr>
          <w:rFonts w:eastAsia="Times New Roman"/>
          <w:sz w:val="24"/>
          <w:szCs w:val="24"/>
        </w:rPr>
        <w:t>bola</w:t>
      </w:r>
      <w:r>
        <w:rPr>
          <w:rFonts w:eastAsia="Times New Roman"/>
          <w:sz w:val="24"/>
          <w:szCs w:val="24"/>
        </w:rPr>
        <w:tab/>
        <w:t>zostavená</w:t>
      </w:r>
      <w:r>
        <w:rPr>
          <w:rFonts w:eastAsia="Times New Roman"/>
          <w:sz w:val="24"/>
          <w:szCs w:val="24"/>
        </w:rPr>
        <w:tab/>
        <w:t>v súlade</w:t>
      </w:r>
      <w:r>
        <w:rPr>
          <w:rFonts w:eastAsia="Times New Roman"/>
          <w:sz w:val="24"/>
          <w:szCs w:val="24"/>
        </w:rPr>
        <w:tab/>
        <w:t>so</w:t>
      </w:r>
      <w:r>
        <w:rPr>
          <w:rFonts w:eastAsia="Times New Roman"/>
          <w:sz w:val="24"/>
          <w:szCs w:val="24"/>
        </w:rPr>
        <w:tab/>
        <w:t>zákonom</w:t>
      </w:r>
    </w:p>
    <w:p w:rsidR="00622E1A" w:rsidRDefault="00622E1A">
      <w:pPr>
        <w:spacing w:line="12" w:lineRule="exact"/>
        <w:rPr>
          <w:sz w:val="20"/>
          <w:szCs w:val="20"/>
        </w:rPr>
      </w:pPr>
    </w:p>
    <w:p w:rsidR="00622E1A" w:rsidRDefault="00EA62EF">
      <w:pPr>
        <w:numPr>
          <w:ilvl w:val="0"/>
          <w:numId w:val="2"/>
        </w:numPr>
        <w:tabs>
          <w:tab w:val="left" w:pos="404"/>
        </w:tabs>
        <w:spacing w:line="237" w:lineRule="auto"/>
        <w:ind w:left="80" w:right="100" w:hanging="4"/>
        <w:jc w:val="both"/>
        <w:rPr>
          <w:rFonts w:eastAsia="Times New Roman"/>
          <w:sz w:val="24"/>
          <w:szCs w:val="24"/>
        </w:rPr>
      </w:pPr>
      <w:r>
        <w:rPr>
          <w:rFonts w:eastAsia="Times New Roman"/>
          <w:sz w:val="24"/>
          <w:szCs w:val="24"/>
        </w:rPr>
        <w:t>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622E1A" w:rsidRDefault="00622E1A">
      <w:pPr>
        <w:spacing w:line="293" w:lineRule="exact"/>
        <w:rPr>
          <w:sz w:val="20"/>
          <w:szCs w:val="20"/>
        </w:rPr>
      </w:pPr>
    </w:p>
    <w:p w:rsidR="00622E1A" w:rsidRDefault="00EA62EF">
      <w:pPr>
        <w:spacing w:line="234" w:lineRule="auto"/>
        <w:ind w:left="80" w:right="120"/>
        <w:jc w:val="both"/>
        <w:rPr>
          <w:sz w:val="20"/>
          <w:szCs w:val="20"/>
        </w:rPr>
      </w:pPr>
      <w:r>
        <w:rPr>
          <w:rFonts w:eastAsia="Times New Roman"/>
          <w:sz w:val="24"/>
          <w:szCs w:val="24"/>
        </w:rPr>
        <w:t>V rámci konsolidácie konsolidovaného celku Obce boli eliminované vzájomné pohľadávky, záväzky, náklady a výnosy, bola vykonaná konsolidácia kapitálu.</w:t>
      </w:r>
    </w:p>
    <w:p w:rsidR="00622E1A" w:rsidRDefault="00622E1A">
      <w:pPr>
        <w:spacing w:line="278" w:lineRule="exact"/>
        <w:rPr>
          <w:sz w:val="20"/>
          <w:szCs w:val="20"/>
        </w:rPr>
      </w:pPr>
    </w:p>
    <w:p w:rsidR="00622E1A" w:rsidRDefault="00EA62EF">
      <w:pPr>
        <w:ind w:left="80"/>
        <w:rPr>
          <w:sz w:val="20"/>
          <w:szCs w:val="20"/>
        </w:rPr>
      </w:pPr>
      <w:r>
        <w:rPr>
          <w:rFonts w:eastAsia="Times New Roman"/>
          <w:i/>
          <w:iCs/>
          <w:sz w:val="24"/>
          <w:szCs w:val="24"/>
        </w:rPr>
        <w:t>Zahrnutie konsolidovaných účtovných jednotiek do konsolidovanej účtovnej závierky</w:t>
      </w:r>
    </w:p>
    <w:tbl>
      <w:tblPr>
        <w:tblW w:w="0" w:type="auto"/>
        <w:tblInd w:w="10" w:type="dxa"/>
        <w:tblLayout w:type="fixed"/>
        <w:tblCellMar>
          <w:left w:w="0" w:type="dxa"/>
          <w:right w:w="0" w:type="dxa"/>
        </w:tblCellMar>
        <w:tblLook w:val="04A0" w:firstRow="1" w:lastRow="0" w:firstColumn="1" w:lastColumn="0" w:noHBand="0" w:noVBand="1"/>
      </w:tblPr>
      <w:tblGrid>
        <w:gridCol w:w="120"/>
        <w:gridCol w:w="4420"/>
        <w:gridCol w:w="120"/>
        <w:gridCol w:w="100"/>
        <w:gridCol w:w="1300"/>
        <w:gridCol w:w="120"/>
        <w:gridCol w:w="100"/>
        <w:gridCol w:w="1320"/>
        <w:gridCol w:w="120"/>
        <w:gridCol w:w="100"/>
        <w:gridCol w:w="1340"/>
        <w:gridCol w:w="120"/>
        <w:gridCol w:w="30"/>
      </w:tblGrid>
      <w:tr w:rsidR="00622E1A">
        <w:trPr>
          <w:trHeight w:val="266"/>
        </w:trPr>
        <w:tc>
          <w:tcPr>
            <w:tcW w:w="120" w:type="dxa"/>
            <w:tcBorders>
              <w:top w:val="single" w:sz="8" w:space="0" w:color="auto"/>
              <w:left w:val="single" w:sz="8" w:space="0" w:color="auto"/>
            </w:tcBorders>
            <w:shd w:val="clear" w:color="auto" w:fill="F2F2F2"/>
            <w:vAlign w:val="bottom"/>
          </w:tcPr>
          <w:p w:rsidR="00622E1A" w:rsidRDefault="00622E1A">
            <w:pPr>
              <w:rPr>
                <w:sz w:val="23"/>
                <w:szCs w:val="23"/>
              </w:rPr>
            </w:pPr>
          </w:p>
        </w:tc>
        <w:tc>
          <w:tcPr>
            <w:tcW w:w="4420" w:type="dxa"/>
            <w:vMerge w:val="restart"/>
            <w:tcBorders>
              <w:top w:val="single" w:sz="8" w:space="0" w:color="auto"/>
            </w:tcBorders>
            <w:shd w:val="clear" w:color="auto" w:fill="F2F2F2"/>
            <w:vAlign w:val="bottom"/>
          </w:tcPr>
          <w:p w:rsidR="00622E1A" w:rsidRDefault="00EA62EF">
            <w:pPr>
              <w:jc w:val="center"/>
              <w:rPr>
                <w:sz w:val="20"/>
                <w:szCs w:val="20"/>
              </w:rPr>
            </w:pPr>
            <w:r>
              <w:rPr>
                <w:rFonts w:eastAsia="Times New Roman"/>
                <w:w w:val="99"/>
                <w:sz w:val="24"/>
                <w:szCs w:val="24"/>
              </w:rPr>
              <w:t>Názov resp. obchodné meno</w:t>
            </w:r>
          </w:p>
        </w:tc>
        <w:tc>
          <w:tcPr>
            <w:tcW w:w="120" w:type="dxa"/>
            <w:tcBorders>
              <w:top w:val="single" w:sz="8" w:space="0" w:color="auto"/>
              <w:right w:val="single" w:sz="8" w:space="0" w:color="auto"/>
            </w:tcBorders>
            <w:shd w:val="clear" w:color="auto" w:fill="F2F2F2"/>
            <w:vAlign w:val="bottom"/>
          </w:tcPr>
          <w:p w:rsidR="00622E1A" w:rsidRDefault="00622E1A">
            <w:pPr>
              <w:rPr>
                <w:sz w:val="23"/>
                <w:szCs w:val="23"/>
              </w:rPr>
            </w:pPr>
          </w:p>
        </w:tc>
        <w:tc>
          <w:tcPr>
            <w:tcW w:w="100" w:type="dxa"/>
            <w:tcBorders>
              <w:top w:val="single" w:sz="8" w:space="0" w:color="auto"/>
            </w:tcBorders>
            <w:shd w:val="clear" w:color="auto" w:fill="F2F2F2"/>
            <w:vAlign w:val="bottom"/>
          </w:tcPr>
          <w:p w:rsidR="00622E1A" w:rsidRDefault="00622E1A">
            <w:pPr>
              <w:rPr>
                <w:sz w:val="23"/>
                <w:szCs w:val="23"/>
              </w:rPr>
            </w:pPr>
          </w:p>
        </w:tc>
        <w:tc>
          <w:tcPr>
            <w:tcW w:w="1300" w:type="dxa"/>
            <w:tcBorders>
              <w:top w:val="single" w:sz="8" w:space="0" w:color="auto"/>
            </w:tcBorders>
            <w:shd w:val="clear" w:color="auto" w:fill="F2F2F2"/>
            <w:vAlign w:val="bottom"/>
          </w:tcPr>
          <w:p w:rsidR="00622E1A" w:rsidRDefault="00EA62EF">
            <w:pPr>
              <w:spacing w:line="266" w:lineRule="exact"/>
              <w:jc w:val="center"/>
              <w:rPr>
                <w:sz w:val="20"/>
                <w:szCs w:val="20"/>
              </w:rPr>
            </w:pPr>
            <w:r>
              <w:rPr>
                <w:rFonts w:eastAsia="Times New Roman"/>
                <w:w w:val="98"/>
                <w:sz w:val="24"/>
                <w:szCs w:val="24"/>
              </w:rPr>
              <w:t>Metóda</w:t>
            </w:r>
          </w:p>
        </w:tc>
        <w:tc>
          <w:tcPr>
            <w:tcW w:w="120" w:type="dxa"/>
            <w:tcBorders>
              <w:top w:val="single" w:sz="8" w:space="0" w:color="auto"/>
              <w:right w:val="single" w:sz="8" w:space="0" w:color="auto"/>
            </w:tcBorders>
            <w:shd w:val="clear" w:color="auto" w:fill="F2F2F2"/>
            <w:vAlign w:val="bottom"/>
          </w:tcPr>
          <w:p w:rsidR="00622E1A" w:rsidRDefault="00622E1A">
            <w:pPr>
              <w:rPr>
                <w:sz w:val="23"/>
                <w:szCs w:val="23"/>
              </w:rPr>
            </w:pPr>
          </w:p>
        </w:tc>
        <w:tc>
          <w:tcPr>
            <w:tcW w:w="100" w:type="dxa"/>
            <w:tcBorders>
              <w:top w:val="single" w:sz="8" w:space="0" w:color="auto"/>
            </w:tcBorders>
            <w:shd w:val="clear" w:color="auto" w:fill="F2F2F2"/>
            <w:vAlign w:val="bottom"/>
          </w:tcPr>
          <w:p w:rsidR="00622E1A" w:rsidRDefault="00622E1A">
            <w:pPr>
              <w:rPr>
                <w:sz w:val="23"/>
                <w:szCs w:val="23"/>
              </w:rPr>
            </w:pPr>
          </w:p>
        </w:tc>
        <w:tc>
          <w:tcPr>
            <w:tcW w:w="1320" w:type="dxa"/>
            <w:tcBorders>
              <w:top w:val="single" w:sz="8" w:space="0" w:color="auto"/>
            </w:tcBorders>
            <w:shd w:val="clear" w:color="auto" w:fill="F2F2F2"/>
            <w:vAlign w:val="bottom"/>
          </w:tcPr>
          <w:p w:rsidR="00622E1A" w:rsidRDefault="00EA62EF">
            <w:pPr>
              <w:spacing w:line="266" w:lineRule="exact"/>
              <w:jc w:val="center"/>
              <w:rPr>
                <w:sz w:val="20"/>
                <w:szCs w:val="20"/>
              </w:rPr>
            </w:pPr>
            <w:r>
              <w:rPr>
                <w:rFonts w:eastAsia="Times New Roman"/>
                <w:sz w:val="24"/>
                <w:szCs w:val="24"/>
              </w:rPr>
              <w:t>Metóda</w:t>
            </w:r>
          </w:p>
        </w:tc>
        <w:tc>
          <w:tcPr>
            <w:tcW w:w="120" w:type="dxa"/>
            <w:tcBorders>
              <w:top w:val="single" w:sz="8" w:space="0" w:color="auto"/>
              <w:right w:val="single" w:sz="8" w:space="0" w:color="auto"/>
            </w:tcBorders>
            <w:shd w:val="clear" w:color="auto" w:fill="F2F2F2"/>
            <w:vAlign w:val="bottom"/>
          </w:tcPr>
          <w:p w:rsidR="00622E1A" w:rsidRDefault="00622E1A">
            <w:pPr>
              <w:rPr>
                <w:sz w:val="23"/>
                <w:szCs w:val="23"/>
              </w:rPr>
            </w:pPr>
          </w:p>
        </w:tc>
        <w:tc>
          <w:tcPr>
            <w:tcW w:w="100" w:type="dxa"/>
            <w:tcBorders>
              <w:top w:val="single" w:sz="8" w:space="0" w:color="auto"/>
            </w:tcBorders>
            <w:shd w:val="clear" w:color="auto" w:fill="F2F2F2"/>
            <w:vAlign w:val="bottom"/>
          </w:tcPr>
          <w:p w:rsidR="00622E1A" w:rsidRDefault="00622E1A">
            <w:pPr>
              <w:rPr>
                <w:sz w:val="23"/>
                <w:szCs w:val="23"/>
              </w:rPr>
            </w:pPr>
          </w:p>
        </w:tc>
        <w:tc>
          <w:tcPr>
            <w:tcW w:w="1340" w:type="dxa"/>
            <w:tcBorders>
              <w:top w:val="single" w:sz="8" w:space="0" w:color="auto"/>
            </w:tcBorders>
            <w:shd w:val="clear" w:color="auto" w:fill="F2F2F2"/>
            <w:vAlign w:val="bottom"/>
          </w:tcPr>
          <w:p w:rsidR="00622E1A" w:rsidRDefault="00EA62EF">
            <w:pPr>
              <w:spacing w:line="266" w:lineRule="exact"/>
              <w:jc w:val="center"/>
              <w:rPr>
                <w:sz w:val="20"/>
                <w:szCs w:val="20"/>
              </w:rPr>
            </w:pPr>
            <w:r>
              <w:rPr>
                <w:rFonts w:eastAsia="Times New Roman"/>
                <w:w w:val="98"/>
                <w:sz w:val="24"/>
                <w:szCs w:val="24"/>
              </w:rPr>
              <w:t>Metóda</w:t>
            </w:r>
          </w:p>
        </w:tc>
        <w:tc>
          <w:tcPr>
            <w:tcW w:w="120" w:type="dxa"/>
            <w:tcBorders>
              <w:top w:val="single" w:sz="8" w:space="0" w:color="auto"/>
              <w:right w:val="single" w:sz="8" w:space="0" w:color="auto"/>
            </w:tcBorders>
            <w:shd w:val="clear" w:color="auto" w:fill="F2F2F2"/>
            <w:vAlign w:val="bottom"/>
          </w:tcPr>
          <w:p w:rsidR="00622E1A" w:rsidRDefault="00622E1A">
            <w:pPr>
              <w:rPr>
                <w:sz w:val="23"/>
                <w:szCs w:val="23"/>
              </w:rPr>
            </w:pPr>
          </w:p>
        </w:tc>
        <w:tc>
          <w:tcPr>
            <w:tcW w:w="0" w:type="dxa"/>
            <w:vAlign w:val="bottom"/>
          </w:tcPr>
          <w:p w:rsidR="00622E1A" w:rsidRDefault="00622E1A">
            <w:pPr>
              <w:rPr>
                <w:sz w:val="1"/>
                <w:szCs w:val="1"/>
              </w:rPr>
            </w:pPr>
          </w:p>
        </w:tc>
      </w:tr>
      <w:tr w:rsidR="00622E1A">
        <w:trPr>
          <w:trHeight w:val="137"/>
        </w:trPr>
        <w:tc>
          <w:tcPr>
            <w:tcW w:w="120" w:type="dxa"/>
            <w:tcBorders>
              <w:left w:val="single" w:sz="8" w:space="0" w:color="auto"/>
            </w:tcBorders>
            <w:shd w:val="clear" w:color="auto" w:fill="F2F2F2"/>
            <w:vAlign w:val="bottom"/>
          </w:tcPr>
          <w:p w:rsidR="00622E1A" w:rsidRDefault="00622E1A">
            <w:pPr>
              <w:rPr>
                <w:sz w:val="11"/>
                <w:szCs w:val="11"/>
              </w:rPr>
            </w:pPr>
          </w:p>
        </w:tc>
        <w:tc>
          <w:tcPr>
            <w:tcW w:w="4420" w:type="dxa"/>
            <w:vMerge/>
            <w:shd w:val="clear" w:color="auto" w:fill="F2F2F2"/>
            <w:vAlign w:val="bottom"/>
          </w:tcPr>
          <w:p w:rsidR="00622E1A" w:rsidRDefault="00622E1A">
            <w:pPr>
              <w:rPr>
                <w:sz w:val="11"/>
                <w:szCs w:val="11"/>
              </w:rPr>
            </w:pP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00" w:type="dxa"/>
            <w:vMerge w:val="restart"/>
            <w:shd w:val="clear" w:color="auto" w:fill="F2F2F2"/>
            <w:vAlign w:val="bottom"/>
          </w:tcPr>
          <w:p w:rsidR="00622E1A" w:rsidRDefault="00EA62EF">
            <w:pPr>
              <w:jc w:val="center"/>
              <w:rPr>
                <w:sz w:val="20"/>
                <w:szCs w:val="20"/>
              </w:rPr>
            </w:pPr>
            <w:r>
              <w:rPr>
                <w:rFonts w:eastAsia="Times New Roman"/>
                <w:w w:val="99"/>
                <w:sz w:val="24"/>
                <w:szCs w:val="24"/>
              </w:rPr>
              <w:t>úplnej</w:t>
            </w: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20" w:type="dxa"/>
            <w:vMerge w:val="restart"/>
            <w:shd w:val="clear" w:color="auto" w:fill="F2F2F2"/>
            <w:vAlign w:val="bottom"/>
          </w:tcPr>
          <w:p w:rsidR="00622E1A" w:rsidRDefault="00EA62EF">
            <w:pPr>
              <w:jc w:val="center"/>
              <w:rPr>
                <w:sz w:val="20"/>
                <w:szCs w:val="20"/>
              </w:rPr>
            </w:pPr>
            <w:r>
              <w:rPr>
                <w:rFonts w:eastAsia="Times New Roman"/>
                <w:sz w:val="24"/>
                <w:szCs w:val="24"/>
              </w:rPr>
              <w:t>podielovej</w:t>
            </w: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40" w:type="dxa"/>
            <w:vMerge w:val="restart"/>
            <w:shd w:val="clear" w:color="auto" w:fill="F2F2F2"/>
            <w:vAlign w:val="bottom"/>
          </w:tcPr>
          <w:p w:rsidR="00622E1A" w:rsidRDefault="00EA62EF">
            <w:pPr>
              <w:jc w:val="center"/>
              <w:rPr>
                <w:sz w:val="20"/>
                <w:szCs w:val="20"/>
              </w:rPr>
            </w:pPr>
            <w:r>
              <w:rPr>
                <w:rFonts w:eastAsia="Times New Roman"/>
                <w:w w:val="99"/>
                <w:sz w:val="24"/>
                <w:szCs w:val="24"/>
              </w:rPr>
              <w:t>vlastného</w:t>
            </w:r>
          </w:p>
        </w:tc>
        <w:tc>
          <w:tcPr>
            <w:tcW w:w="120" w:type="dxa"/>
            <w:tcBorders>
              <w:right w:val="single" w:sz="8" w:space="0" w:color="auto"/>
            </w:tcBorders>
            <w:shd w:val="clear" w:color="auto" w:fill="F2F2F2"/>
            <w:vAlign w:val="bottom"/>
          </w:tcPr>
          <w:p w:rsidR="00622E1A" w:rsidRDefault="00622E1A">
            <w:pPr>
              <w:rPr>
                <w:sz w:val="11"/>
                <w:szCs w:val="11"/>
              </w:rPr>
            </w:pPr>
          </w:p>
        </w:tc>
        <w:tc>
          <w:tcPr>
            <w:tcW w:w="0" w:type="dxa"/>
            <w:vAlign w:val="bottom"/>
          </w:tcPr>
          <w:p w:rsidR="00622E1A" w:rsidRDefault="00622E1A">
            <w:pPr>
              <w:rPr>
                <w:sz w:val="1"/>
                <w:szCs w:val="1"/>
              </w:rPr>
            </w:pPr>
          </w:p>
        </w:tc>
      </w:tr>
      <w:tr w:rsidR="00622E1A">
        <w:trPr>
          <w:trHeight w:val="139"/>
        </w:trPr>
        <w:tc>
          <w:tcPr>
            <w:tcW w:w="120" w:type="dxa"/>
            <w:tcBorders>
              <w:left w:val="single" w:sz="8" w:space="0" w:color="auto"/>
            </w:tcBorders>
            <w:shd w:val="clear" w:color="auto" w:fill="F2F2F2"/>
            <w:vAlign w:val="bottom"/>
          </w:tcPr>
          <w:p w:rsidR="00622E1A" w:rsidRDefault="00622E1A">
            <w:pPr>
              <w:rPr>
                <w:sz w:val="12"/>
                <w:szCs w:val="12"/>
              </w:rPr>
            </w:pPr>
          </w:p>
        </w:tc>
        <w:tc>
          <w:tcPr>
            <w:tcW w:w="4420" w:type="dxa"/>
            <w:vMerge w:val="restart"/>
            <w:shd w:val="clear" w:color="auto" w:fill="F2F2F2"/>
            <w:vAlign w:val="bottom"/>
          </w:tcPr>
          <w:p w:rsidR="00622E1A" w:rsidRDefault="00EA62EF">
            <w:pPr>
              <w:jc w:val="center"/>
              <w:rPr>
                <w:sz w:val="20"/>
                <w:szCs w:val="20"/>
              </w:rPr>
            </w:pPr>
            <w:r>
              <w:rPr>
                <w:rFonts w:eastAsia="Times New Roman"/>
                <w:w w:val="99"/>
                <w:sz w:val="24"/>
                <w:szCs w:val="24"/>
              </w:rPr>
              <w:t>konsolidovanej účtovnej jednotky</w:t>
            </w:r>
          </w:p>
        </w:tc>
        <w:tc>
          <w:tcPr>
            <w:tcW w:w="120" w:type="dxa"/>
            <w:tcBorders>
              <w:right w:val="single" w:sz="8" w:space="0" w:color="auto"/>
            </w:tcBorders>
            <w:shd w:val="clear" w:color="auto" w:fill="F2F2F2"/>
            <w:vAlign w:val="bottom"/>
          </w:tcPr>
          <w:p w:rsidR="00622E1A" w:rsidRDefault="00622E1A">
            <w:pPr>
              <w:rPr>
                <w:sz w:val="12"/>
                <w:szCs w:val="12"/>
              </w:rPr>
            </w:pPr>
          </w:p>
        </w:tc>
        <w:tc>
          <w:tcPr>
            <w:tcW w:w="100" w:type="dxa"/>
            <w:shd w:val="clear" w:color="auto" w:fill="F2F2F2"/>
            <w:vAlign w:val="bottom"/>
          </w:tcPr>
          <w:p w:rsidR="00622E1A" w:rsidRDefault="00622E1A">
            <w:pPr>
              <w:rPr>
                <w:sz w:val="12"/>
                <w:szCs w:val="12"/>
              </w:rPr>
            </w:pPr>
          </w:p>
        </w:tc>
        <w:tc>
          <w:tcPr>
            <w:tcW w:w="1300" w:type="dxa"/>
            <w:vMerge/>
            <w:shd w:val="clear" w:color="auto" w:fill="F2F2F2"/>
            <w:vAlign w:val="bottom"/>
          </w:tcPr>
          <w:p w:rsidR="00622E1A" w:rsidRDefault="00622E1A">
            <w:pPr>
              <w:rPr>
                <w:sz w:val="12"/>
                <w:szCs w:val="12"/>
              </w:rPr>
            </w:pPr>
          </w:p>
        </w:tc>
        <w:tc>
          <w:tcPr>
            <w:tcW w:w="120" w:type="dxa"/>
            <w:tcBorders>
              <w:right w:val="single" w:sz="8" w:space="0" w:color="auto"/>
            </w:tcBorders>
            <w:shd w:val="clear" w:color="auto" w:fill="F2F2F2"/>
            <w:vAlign w:val="bottom"/>
          </w:tcPr>
          <w:p w:rsidR="00622E1A" w:rsidRDefault="00622E1A">
            <w:pPr>
              <w:rPr>
                <w:sz w:val="12"/>
                <w:szCs w:val="12"/>
              </w:rPr>
            </w:pPr>
          </w:p>
        </w:tc>
        <w:tc>
          <w:tcPr>
            <w:tcW w:w="100" w:type="dxa"/>
            <w:shd w:val="clear" w:color="auto" w:fill="F2F2F2"/>
            <w:vAlign w:val="bottom"/>
          </w:tcPr>
          <w:p w:rsidR="00622E1A" w:rsidRDefault="00622E1A">
            <w:pPr>
              <w:rPr>
                <w:sz w:val="12"/>
                <w:szCs w:val="12"/>
              </w:rPr>
            </w:pPr>
          </w:p>
        </w:tc>
        <w:tc>
          <w:tcPr>
            <w:tcW w:w="1320" w:type="dxa"/>
            <w:vMerge/>
            <w:shd w:val="clear" w:color="auto" w:fill="F2F2F2"/>
            <w:vAlign w:val="bottom"/>
          </w:tcPr>
          <w:p w:rsidR="00622E1A" w:rsidRDefault="00622E1A">
            <w:pPr>
              <w:rPr>
                <w:sz w:val="12"/>
                <w:szCs w:val="12"/>
              </w:rPr>
            </w:pPr>
          </w:p>
        </w:tc>
        <w:tc>
          <w:tcPr>
            <w:tcW w:w="120" w:type="dxa"/>
            <w:tcBorders>
              <w:right w:val="single" w:sz="8" w:space="0" w:color="auto"/>
            </w:tcBorders>
            <w:shd w:val="clear" w:color="auto" w:fill="F2F2F2"/>
            <w:vAlign w:val="bottom"/>
          </w:tcPr>
          <w:p w:rsidR="00622E1A" w:rsidRDefault="00622E1A">
            <w:pPr>
              <w:rPr>
                <w:sz w:val="12"/>
                <w:szCs w:val="12"/>
              </w:rPr>
            </w:pPr>
          </w:p>
        </w:tc>
        <w:tc>
          <w:tcPr>
            <w:tcW w:w="100" w:type="dxa"/>
            <w:shd w:val="clear" w:color="auto" w:fill="F2F2F2"/>
            <w:vAlign w:val="bottom"/>
          </w:tcPr>
          <w:p w:rsidR="00622E1A" w:rsidRDefault="00622E1A">
            <w:pPr>
              <w:rPr>
                <w:sz w:val="12"/>
                <w:szCs w:val="12"/>
              </w:rPr>
            </w:pPr>
          </w:p>
        </w:tc>
        <w:tc>
          <w:tcPr>
            <w:tcW w:w="1340" w:type="dxa"/>
            <w:vMerge/>
            <w:shd w:val="clear" w:color="auto" w:fill="F2F2F2"/>
            <w:vAlign w:val="bottom"/>
          </w:tcPr>
          <w:p w:rsidR="00622E1A" w:rsidRDefault="00622E1A">
            <w:pPr>
              <w:rPr>
                <w:sz w:val="12"/>
                <w:szCs w:val="12"/>
              </w:rPr>
            </w:pPr>
          </w:p>
        </w:tc>
        <w:tc>
          <w:tcPr>
            <w:tcW w:w="120" w:type="dxa"/>
            <w:tcBorders>
              <w:right w:val="single" w:sz="8" w:space="0" w:color="auto"/>
            </w:tcBorders>
            <w:shd w:val="clear" w:color="auto" w:fill="F2F2F2"/>
            <w:vAlign w:val="bottom"/>
          </w:tcPr>
          <w:p w:rsidR="00622E1A" w:rsidRDefault="00622E1A">
            <w:pPr>
              <w:rPr>
                <w:sz w:val="12"/>
                <w:szCs w:val="12"/>
              </w:rPr>
            </w:pPr>
          </w:p>
        </w:tc>
        <w:tc>
          <w:tcPr>
            <w:tcW w:w="0" w:type="dxa"/>
            <w:vAlign w:val="bottom"/>
          </w:tcPr>
          <w:p w:rsidR="00622E1A" w:rsidRDefault="00622E1A">
            <w:pPr>
              <w:rPr>
                <w:sz w:val="1"/>
                <w:szCs w:val="1"/>
              </w:rPr>
            </w:pPr>
          </w:p>
        </w:tc>
      </w:tr>
      <w:tr w:rsidR="00622E1A">
        <w:trPr>
          <w:trHeight w:val="137"/>
        </w:trPr>
        <w:tc>
          <w:tcPr>
            <w:tcW w:w="120" w:type="dxa"/>
            <w:tcBorders>
              <w:left w:val="single" w:sz="8" w:space="0" w:color="auto"/>
            </w:tcBorders>
            <w:shd w:val="clear" w:color="auto" w:fill="F2F2F2"/>
            <w:vAlign w:val="bottom"/>
          </w:tcPr>
          <w:p w:rsidR="00622E1A" w:rsidRDefault="00622E1A">
            <w:pPr>
              <w:rPr>
                <w:sz w:val="11"/>
                <w:szCs w:val="11"/>
              </w:rPr>
            </w:pPr>
          </w:p>
        </w:tc>
        <w:tc>
          <w:tcPr>
            <w:tcW w:w="4420" w:type="dxa"/>
            <w:vMerge/>
            <w:shd w:val="clear" w:color="auto" w:fill="F2F2F2"/>
            <w:vAlign w:val="bottom"/>
          </w:tcPr>
          <w:p w:rsidR="00622E1A" w:rsidRDefault="00622E1A">
            <w:pPr>
              <w:rPr>
                <w:sz w:val="11"/>
                <w:szCs w:val="11"/>
              </w:rPr>
            </w:pP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00" w:type="dxa"/>
            <w:vMerge w:val="restart"/>
            <w:shd w:val="clear" w:color="auto" w:fill="F2F2F2"/>
            <w:vAlign w:val="bottom"/>
          </w:tcPr>
          <w:p w:rsidR="00622E1A" w:rsidRDefault="00EA62EF">
            <w:pPr>
              <w:jc w:val="center"/>
              <w:rPr>
                <w:sz w:val="20"/>
                <w:szCs w:val="20"/>
              </w:rPr>
            </w:pPr>
            <w:r>
              <w:rPr>
                <w:rFonts w:eastAsia="Times New Roman"/>
                <w:w w:val="98"/>
                <w:sz w:val="24"/>
                <w:szCs w:val="24"/>
                <w:shd w:val="clear" w:color="auto" w:fill="F2F2F2"/>
              </w:rPr>
              <w:t>konsolidácie</w:t>
            </w: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20" w:type="dxa"/>
            <w:vMerge w:val="restart"/>
            <w:shd w:val="clear" w:color="auto" w:fill="F2F2F2"/>
            <w:vAlign w:val="bottom"/>
          </w:tcPr>
          <w:p w:rsidR="00622E1A" w:rsidRDefault="00EA62EF">
            <w:pPr>
              <w:jc w:val="center"/>
              <w:rPr>
                <w:sz w:val="20"/>
                <w:szCs w:val="20"/>
              </w:rPr>
            </w:pPr>
            <w:r>
              <w:rPr>
                <w:rFonts w:eastAsia="Times New Roman"/>
                <w:sz w:val="24"/>
                <w:szCs w:val="24"/>
                <w:shd w:val="clear" w:color="auto" w:fill="F2F2F2"/>
              </w:rPr>
              <w:t>konsolidácie</w:t>
            </w:r>
          </w:p>
        </w:tc>
        <w:tc>
          <w:tcPr>
            <w:tcW w:w="120" w:type="dxa"/>
            <w:tcBorders>
              <w:right w:val="single" w:sz="8" w:space="0" w:color="auto"/>
            </w:tcBorders>
            <w:shd w:val="clear" w:color="auto" w:fill="F2F2F2"/>
            <w:vAlign w:val="bottom"/>
          </w:tcPr>
          <w:p w:rsidR="00622E1A" w:rsidRDefault="00622E1A">
            <w:pPr>
              <w:rPr>
                <w:sz w:val="11"/>
                <w:szCs w:val="11"/>
              </w:rPr>
            </w:pPr>
          </w:p>
        </w:tc>
        <w:tc>
          <w:tcPr>
            <w:tcW w:w="100" w:type="dxa"/>
            <w:shd w:val="clear" w:color="auto" w:fill="F2F2F2"/>
            <w:vAlign w:val="bottom"/>
          </w:tcPr>
          <w:p w:rsidR="00622E1A" w:rsidRDefault="00622E1A">
            <w:pPr>
              <w:rPr>
                <w:sz w:val="11"/>
                <w:szCs w:val="11"/>
              </w:rPr>
            </w:pPr>
          </w:p>
        </w:tc>
        <w:tc>
          <w:tcPr>
            <w:tcW w:w="1340" w:type="dxa"/>
            <w:vMerge w:val="restart"/>
            <w:shd w:val="clear" w:color="auto" w:fill="F2F2F2"/>
            <w:vAlign w:val="bottom"/>
          </w:tcPr>
          <w:p w:rsidR="00622E1A" w:rsidRDefault="00EA62EF">
            <w:pPr>
              <w:jc w:val="center"/>
              <w:rPr>
                <w:sz w:val="20"/>
                <w:szCs w:val="20"/>
              </w:rPr>
            </w:pPr>
            <w:r>
              <w:rPr>
                <w:rFonts w:eastAsia="Times New Roman"/>
                <w:w w:val="97"/>
                <w:sz w:val="24"/>
                <w:szCs w:val="24"/>
              </w:rPr>
              <w:t>imania</w:t>
            </w:r>
          </w:p>
        </w:tc>
        <w:tc>
          <w:tcPr>
            <w:tcW w:w="120" w:type="dxa"/>
            <w:tcBorders>
              <w:right w:val="single" w:sz="8" w:space="0" w:color="auto"/>
            </w:tcBorders>
            <w:shd w:val="clear" w:color="auto" w:fill="F2F2F2"/>
            <w:vAlign w:val="bottom"/>
          </w:tcPr>
          <w:p w:rsidR="00622E1A" w:rsidRDefault="00622E1A">
            <w:pPr>
              <w:rPr>
                <w:sz w:val="11"/>
                <w:szCs w:val="11"/>
              </w:rPr>
            </w:pPr>
          </w:p>
        </w:tc>
        <w:tc>
          <w:tcPr>
            <w:tcW w:w="0" w:type="dxa"/>
            <w:vAlign w:val="bottom"/>
          </w:tcPr>
          <w:p w:rsidR="00622E1A" w:rsidRDefault="00622E1A">
            <w:pPr>
              <w:rPr>
                <w:sz w:val="1"/>
                <w:szCs w:val="1"/>
              </w:rPr>
            </w:pPr>
          </w:p>
        </w:tc>
      </w:tr>
      <w:tr w:rsidR="00622E1A">
        <w:trPr>
          <w:trHeight w:val="144"/>
        </w:trPr>
        <w:tc>
          <w:tcPr>
            <w:tcW w:w="120" w:type="dxa"/>
            <w:tcBorders>
              <w:left w:val="single" w:sz="8" w:space="0" w:color="auto"/>
              <w:bottom w:val="single" w:sz="8" w:space="0" w:color="auto"/>
            </w:tcBorders>
            <w:shd w:val="clear" w:color="auto" w:fill="F2F2F2"/>
            <w:vAlign w:val="bottom"/>
          </w:tcPr>
          <w:p w:rsidR="00622E1A" w:rsidRDefault="00622E1A">
            <w:pPr>
              <w:rPr>
                <w:sz w:val="12"/>
                <w:szCs w:val="12"/>
              </w:rPr>
            </w:pPr>
          </w:p>
        </w:tc>
        <w:tc>
          <w:tcPr>
            <w:tcW w:w="4420" w:type="dxa"/>
            <w:tcBorders>
              <w:bottom w:val="single" w:sz="8" w:space="0" w:color="auto"/>
            </w:tcBorders>
            <w:shd w:val="clear" w:color="auto" w:fill="F2F2F2"/>
            <w:vAlign w:val="bottom"/>
          </w:tcPr>
          <w:p w:rsidR="00622E1A" w:rsidRDefault="00622E1A">
            <w:pPr>
              <w:rPr>
                <w:sz w:val="12"/>
                <w:szCs w:val="12"/>
              </w:rPr>
            </w:pPr>
          </w:p>
        </w:tc>
        <w:tc>
          <w:tcPr>
            <w:tcW w:w="120" w:type="dxa"/>
            <w:tcBorders>
              <w:bottom w:val="single" w:sz="8" w:space="0" w:color="auto"/>
              <w:right w:val="single" w:sz="8" w:space="0" w:color="auto"/>
            </w:tcBorders>
            <w:shd w:val="clear" w:color="auto" w:fill="F2F2F2"/>
            <w:vAlign w:val="bottom"/>
          </w:tcPr>
          <w:p w:rsidR="00622E1A" w:rsidRDefault="00622E1A">
            <w:pPr>
              <w:rPr>
                <w:sz w:val="12"/>
                <w:szCs w:val="12"/>
              </w:rPr>
            </w:pPr>
          </w:p>
        </w:tc>
        <w:tc>
          <w:tcPr>
            <w:tcW w:w="100" w:type="dxa"/>
            <w:tcBorders>
              <w:bottom w:val="single" w:sz="8" w:space="0" w:color="auto"/>
            </w:tcBorders>
            <w:shd w:val="clear" w:color="auto" w:fill="F2F2F2"/>
            <w:vAlign w:val="bottom"/>
          </w:tcPr>
          <w:p w:rsidR="00622E1A" w:rsidRDefault="00622E1A">
            <w:pPr>
              <w:rPr>
                <w:sz w:val="12"/>
                <w:szCs w:val="12"/>
              </w:rPr>
            </w:pPr>
          </w:p>
        </w:tc>
        <w:tc>
          <w:tcPr>
            <w:tcW w:w="1300" w:type="dxa"/>
            <w:vMerge/>
            <w:tcBorders>
              <w:bottom w:val="single" w:sz="8" w:space="0" w:color="auto"/>
            </w:tcBorders>
            <w:shd w:val="clear" w:color="auto" w:fill="F2F2F2"/>
            <w:vAlign w:val="bottom"/>
          </w:tcPr>
          <w:p w:rsidR="00622E1A" w:rsidRDefault="00622E1A">
            <w:pPr>
              <w:rPr>
                <w:sz w:val="12"/>
                <w:szCs w:val="12"/>
              </w:rPr>
            </w:pPr>
          </w:p>
        </w:tc>
        <w:tc>
          <w:tcPr>
            <w:tcW w:w="120" w:type="dxa"/>
            <w:tcBorders>
              <w:bottom w:val="single" w:sz="8" w:space="0" w:color="auto"/>
              <w:right w:val="single" w:sz="8" w:space="0" w:color="auto"/>
            </w:tcBorders>
            <w:shd w:val="clear" w:color="auto" w:fill="F2F2F2"/>
            <w:vAlign w:val="bottom"/>
          </w:tcPr>
          <w:p w:rsidR="00622E1A" w:rsidRDefault="00622E1A">
            <w:pPr>
              <w:rPr>
                <w:sz w:val="12"/>
                <w:szCs w:val="12"/>
              </w:rPr>
            </w:pPr>
          </w:p>
        </w:tc>
        <w:tc>
          <w:tcPr>
            <w:tcW w:w="100" w:type="dxa"/>
            <w:tcBorders>
              <w:bottom w:val="single" w:sz="8" w:space="0" w:color="auto"/>
            </w:tcBorders>
            <w:shd w:val="clear" w:color="auto" w:fill="F2F2F2"/>
            <w:vAlign w:val="bottom"/>
          </w:tcPr>
          <w:p w:rsidR="00622E1A" w:rsidRDefault="00622E1A">
            <w:pPr>
              <w:rPr>
                <w:sz w:val="12"/>
                <w:szCs w:val="12"/>
              </w:rPr>
            </w:pPr>
          </w:p>
        </w:tc>
        <w:tc>
          <w:tcPr>
            <w:tcW w:w="1320" w:type="dxa"/>
            <w:vMerge/>
            <w:tcBorders>
              <w:bottom w:val="single" w:sz="8" w:space="0" w:color="auto"/>
            </w:tcBorders>
            <w:shd w:val="clear" w:color="auto" w:fill="F2F2F2"/>
            <w:vAlign w:val="bottom"/>
          </w:tcPr>
          <w:p w:rsidR="00622E1A" w:rsidRDefault="00622E1A">
            <w:pPr>
              <w:rPr>
                <w:sz w:val="12"/>
                <w:szCs w:val="12"/>
              </w:rPr>
            </w:pPr>
          </w:p>
        </w:tc>
        <w:tc>
          <w:tcPr>
            <w:tcW w:w="120" w:type="dxa"/>
            <w:tcBorders>
              <w:bottom w:val="single" w:sz="8" w:space="0" w:color="auto"/>
              <w:right w:val="single" w:sz="8" w:space="0" w:color="auto"/>
            </w:tcBorders>
            <w:shd w:val="clear" w:color="auto" w:fill="F2F2F2"/>
            <w:vAlign w:val="bottom"/>
          </w:tcPr>
          <w:p w:rsidR="00622E1A" w:rsidRDefault="00622E1A">
            <w:pPr>
              <w:rPr>
                <w:sz w:val="12"/>
                <w:szCs w:val="12"/>
              </w:rPr>
            </w:pPr>
          </w:p>
        </w:tc>
        <w:tc>
          <w:tcPr>
            <w:tcW w:w="100" w:type="dxa"/>
            <w:tcBorders>
              <w:bottom w:val="single" w:sz="8" w:space="0" w:color="auto"/>
            </w:tcBorders>
            <w:shd w:val="clear" w:color="auto" w:fill="F2F2F2"/>
            <w:vAlign w:val="bottom"/>
          </w:tcPr>
          <w:p w:rsidR="00622E1A" w:rsidRDefault="00622E1A">
            <w:pPr>
              <w:rPr>
                <w:sz w:val="12"/>
                <w:szCs w:val="12"/>
              </w:rPr>
            </w:pPr>
          </w:p>
        </w:tc>
        <w:tc>
          <w:tcPr>
            <w:tcW w:w="1340" w:type="dxa"/>
            <w:vMerge/>
            <w:tcBorders>
              <w:bottom w:val="single" w:sz="8" w:space="0" w:color="auto"/>
            </w:tcBorders>
            <w:shd w:val="clear" w:color="auto" w:fill="F2F2F2"/>
            <w:vAlign w:val="bottom"/>
          </w:tcPr>
          <w:p w:rsidR="00622E1A" w:rsidRDefault="00622E1A">
            <w:pPr>
              <w:rPr>
                <w:sz w:val="12"/>
                <w:szCs w:val="12"/>
              </w:rPr>
            </w:pPr>
          </w:p>
        </w:tc>
        <w:tc>
          <w:tcPr>
            <w:tcW w:w="120" w:type="dxa"/>
            <w:tcBorders>
              <w:bottom w:val="single" w:sz="8" w:space="0" w:color="auto"/>
              <w:right w:val="single" w:sz="8" w:space="0" w:color="auto"/>
            </w:tcBorders>
            <w:shd w:val="clear" w:color="auto" w:fill="F2F2F2"/>
            <w:vAlign w:val="bottom"/>
          </w:tcPr>
          <w:p w:rsidR="00622E1A" w:rsidRDefault="00622E1A">
            <w:pPr>
              <w:rPr>
                <w:sz w:val="12"/>
                <w:szCs w:val="12"/>
              </w:rPr>
            </w:pPr>
          </w:p>
        </w:tc>
        <w:tc>
          <w:tcPr>
            <w:tcW w:w="0" w:type="dxa"/>
            <w:vAlign w:val="bottom"/>
          </w:tcPr>
          <w:p w:rsidR="00622E1A" w:rsidRDefault="00622E1A">
            <w:pPr>
              <w:rPr>
                <w:sz w:val="1"/>
                <w:szCs w:val="1"/>
              </w:rPr>
            </w:pPr>
          </w:p>
        </w:tc>
      </w:tr>
      <w:tr w:rsidR="00622E1A">
        <w:trPr>
          <w:trHeight w:val="266"/>
        </w:trPr>
        <w:tc>
          <w:tcPr>
            <w:tcW w:w="4660" w:type="dxa"/>
            <w:gridSpan w:val="3"/>
            <w:tcBorders>
              <w:left w:val="single" w:sz="8" w:space="0" w:color="auto"/>
              <w:bottom w:val="single" w:sz="8" w:space="0" w:color="auto"/>
              <w:right w:val="single" w:sz="8" w:space="0" w:color="auto"/>
            </w:tcBorders>
            <w:vAlign w:val="bottom"/>
          </w:tcPr>
          <w:p w:rsidR="00622E1A" w:rsidRDefault="00EA62EF">
            <w:pPr>
              <w:spacing w:line="264" w:lineRule="exact"/>
              <w:ind w:left="120"/>
              <w:rPr>
                <w:sz w:val="20"/>
                <w:szCs w:val="20"/>
              </w:rPr>
            </w:pPr>
            <w:r>
              <w:rPr>
                <w:rFonts w:eastAsia="Times New Roman"/>
                <w:sz w:val="24"/>
                <w:szCs w:val="24"/>
              </w:rPr>
              <w:t>Obec Jablonov</w:t>
            </w:r>
          </w:p>
        </w:tc>
        <w:tc>
          <w:tcPr>
            <w:tcW w:w="100" w:type="dxa"/>
            <w:tcBorders>
              <w:bottom w:val="single" w:sz="8" w:space="0" w:color="auto"/>
            </w:tcBorders>
            <w:vAlign w:val="bottom"/>
          </w:tcPr>
          <w:p w:rsidR="00622E1A" w:rsidRDefault="00622E1A">
            <w:pPr>
              <w:rPr>
                <w:sz w:val="23"/>
                <w:szCs w:val="23"/>
              </w:rPr>
            </w:pPr>
          </w:p>
        </w:tc>
        <w:tc>
          <w:tcPr>
            <w:tcW w:w="1420" w:type="dxa"/>
            <w:gridSpan w:val="2"/>
            <w:tcBorders>
              <w:bottom w:val="single" w:sz="8" w:space="0" w:color="auto"/>
              <w:right w:val="single" w:sz="8" w:space="0" w:color="auto"/>
            </w:tcBorders>
            <w:vAlign w:val="bottom"/>
          </w:tcPr>
          <w:p w:rsidR="00622E1A" w:rsidRDefault="00EA62EF">
            <w:pPr>
              <w:spacing w:line="264" w:lineRule="exact"/>
              <w:ind w:right="140"/>
              <w:jc w:val="center"/>
              <w:rPr>
                <w:sz w:val="20"/>
                <w:szCs w:val="20"/>
              </w:rPr>
            </w:pPr>
            <w:r>
              <w:rPr>
                <w:rFonts w:eastAsia="Times New Roman"/>
                <w:w w:val="96"/>
                <w:sz w:val="24"/>
                <w:szCs w:val="24"/>
              </w:rPr>
              <w:t>Áno</w:t>
            </w:r>
          </w:p>
        </w:tc>
        <w:tc>
          <w:tcPr>
            <w:tcW w:w="100" w:type="dxa"/>
            <w:tcBorders>
              <w:bottom w:val="single" w:sz="8" w:space="0" w:color="auto"/>
            </w:tcBorders>
            <w:vAlign w:val="bottom"/>
          </w:tcPr>
          <w:p w:rsidR="00622E1A" w:rsidRDefault="00622E1A">
            <w:pPr>
              <w:rPr>
                <w:sz w:val="23"/>
                <w:szCs w:val="23"/>
              </w:rPr>
            </w:pPr>
          </w:p>
        </w:tc>
        <w:tc>
          <w:tcPr>
            <w:tcW w:w="1320" w:type="dxa"/>
            <w:tcBorders>
              <w:bottom w:val="single" w:sz="8" w:space="0" w:color="auto"/>
            </w:tcBorders>
            <w:vAlign w:val="bottom"/>
          </w:tcPr>
          <w:p w:rsidR="00622E1A" w:rsidRDefault="00622E1A">
            <w:pPr>
              <w:rPr>
                <w:sz w:val="23"/>
                <w:szCs w:val="23"/>
              </w:rPr>
            </w:pPr>
          </w:p>
        </w:tc>
        <w:tc>
          <w:tcPr>
            <w:tcW w:w="120" w:type="dxa"/>
            <w:tcBorders>
              <w:bottom w:val="single" w:sz="8" w:space="0" w:color="auto"/>
              <w:right w:val="single" w:sz="8" w:space="0" w:color="auto"/>
            </w:tcBorders>
            <w:vAlign w:val="bottom"/>
          </w:tcPr>
          <w:p w:rsidR="00622E1A" w:rsidRDefault="00622E1A">
            <w:pPr>
              <w:rPr>
                <w:sz w:val="23"/>
                <w:szCs w:val="23"/>
              </w:rPr>
            </w:pPr>
          </w:p>
        </w:tc>
        <w:tc>
          <w:tcPr>
            <w:tcW w:w="100" w:type="dxa"/>
            <w:tcBorders>
              <w:bottom w:val="single" w:sz="8" w:space="0" w:color="auto"/>
            </w:tcBorders>
            <w:vAlign w:val="bottom"/>
          </w:tcPr>
          <w:p w:rsidR="00622E1A" w:rsidRDefault="00622E1A">
            <w:pPr>
              <w:rPr>
                <w:sz w:val="23"/>
                <w:szCs w:val="23"/>
              </w:rPr>
            </w:pPr>
          </w:p>
        </w:tc>
        <w:tc>
          <w:tcPr>
            <w:tcW w:w="1340" w:type="dxa"/>
            <w:tcBorders>
              <w:bottom w:val="single" w:sz="8" w:space="0" w:color="auto"/>
            </w:tcBorders>
            <w:vAlign w:val="bottom"/>
          </w:tcPr>
          <w:p w:rsidR="00622E1A" w:rsidRDefault="00622E1A">
            <w:pPr>
              <w:rPr>
                <w:sz w:val="23"/>
                <w:szCs w:val="23"/>
              </w:rPr>
            </w:pPr>
          </w:p>
        </w:tc>
        <w:tc>
          <w:tcPr>
            <w:tcW w:w="120" w:type="dxa"/>
            <w:tcBorders>
              <w:bottom w:val="single" w:sz="8" w:space="0" w:color="auto"/>
              <w:right w:val="single" w:sz="8" w:space="0" w:color="auto"/>
            </w:tcBorders>
            <w:vAlign w:val="bottom"/>
          </w:tcPr>
          <w:p w:rsidR="00622E1A" w:rsidRDefault="00622E1A">
            <w:pPr>
              <w:rPr>
                <w:sz w:val="23"/>
                <w:szCs w:val="23"/>
              </w:rPr>
            </w:pPr>
          </w:p>
        </w:tc>
        <w:tc>
          <w:tcPr>
            <w:tcW w:w="0" w:type="dxa"/>
            <w:vAlign w:val="bottom"/>
          </w:tcPr>
          <w:p w:rsidR="00622E1A" w:rsidRDefault="00622E1A">
            <w:pPr>
              <w:rPr>
                <w:sz w:val="1"/>
                <w:szCs w:val="1"/>
              </w:rPr>
            </w:pPr>
          </w:p>
        </w:tc>
      </w:tr>
      <w:tr w:rsidR="00622E1A">
        <w:trPr>
          <w:trHeight w:val="266"/>
        </w:trPr>
        <w:tc>
          <w:tcPr>
            <w:tcW w:w="4660" w:type="dxa"/>
            <w:gridSpan w:val="3"/>
            <w:tcBorders>
              <w:left w:val="single" w:sz="8" w:space="0" w:color="auto"/>
              <w:bottom w:val="single" w:sz="8" w:space="0" w:color="auto"/>
              <w:right w:val="single" w:sz="8" w:space="0" w:color="auto"/>
            </w:tcBorders>
            <w:vAlign w:val="bottom"/>
          </w:tcPr>
          <w:p w:rsidR="00622E1A" w:rsidRDefault="00EA62EF">
            <w:pPr>
              <w:spacing w:line="264" w:lineRule="exact"/>
              <w:ind w:left="120"/>
              <w:rPr>
                <w:sz w:val="20"/>
                <w:szCs w:val="20"/>
              </w:rPr>
            </w:pPr>
            <w:r>
              <w:rPr>
                <w:rFonts w:eastAsia="Times New Roman"/>
                <w:sz w:val="24"/>
                <w:szCs w:val="24"/>
              </w:rPr>
              <w:t>Základná škola s materskou školou Jablonov</w:t>
            </w:r>
          </w:p>
        </w:tc>
        <w:tc>
          <w:tcPr>
            <w:tcW w:w="100" w:type="dxa"/>
            <w:tcBorders>
              <w:bottom w:val="single" w:sz="8" w:space="0" w:color="auto"/>
            </w:tcBorders>
            <w:vAlign w:val="bottom"/>
          </w:tcPr>
          <w:p w:rsidR="00622E1A" w:rsidRDefault="00622E1A">
            <w:pPr>
              <w:rPr>
                <w:sz w:val="23"/>
                <w:szCs w:val="23"/>
              </w:rPr>
            </w:pPr>
          </w:p>
        </w:tc>
        <w:tc>
          <w:tcPr>
            <w:tcW w:w="1420" w:type="dxa"/>
            <w:gridSpan w:val="2"/>
            <w:tcBorders>
              <w:bottom w:val="single" w:sz="8" w:space="0" w:color="auto"/>
              <w:right w:val="single" w:sz="8" w:space="0" w:color="auto"/>
            </w:tcBorders>
            <w:vAlign w:val="bottom"/>
          </w:tcPr>
          <w:p w:rsidR="00622E1A" w:rsidRDefault="00EA62EF">
            <w:pPr>
              <w:spacing w:line="264" w:lineRule="exact"/>
              <w:ind w:right="140"/>
              <w:jc w:val="center"/>
              <w:rPr>
                <w:sz w:val="20"/>
                <w:szCs w:val="20"/>
              </w:rPr>
            </w:pPr>
            <w:r>
              <w:rPr>
                <w:rFonts w:eastAsia="Times New Roman"/>
                <w:w w:val="96"/>
                <w:sz w:val="24"/>
                <w:szCs w:val="24"/>
              </w:rPr>
              <w:t>Áno</w:t>
            </w:r>
          </w:p>
        </w:tc>
        <w:tc>
          <w:tcPr>
            <w:tcW w:w="100" w:type="dxa"/>
            <w:tcBorders>
              <w:bottom w:val="single" w:sz="8" w:space="0" w:color="auto"/>
            </w:tcBorders>
            <w:vAlign w:val="bottom"/>
          </w:tcPr>
          <w:p w:rsidR="00622E1A" w:rsidRDefault="00622E1A">
            <w:pPr>
              <w:rPr>
                <w:sz w:val="23"/>
                <w:szCs w:val="23"/>
              </w:rPr>
            </w:pPr>
          </w:p>
        </w:tc>
        <w:tc>
          <w:tcPr>
            <w:tcW w:w="1320" w:type="dxa"/>
            <w:tcBorders>
              <w:bottom w:val="single" w:sz="8" w:space="0" w:color="auto"/>
            </w:tcBorders>
            <w:vAlign w:val="bottom"/>
          </w:tcPr>
          <w:p w:rsidR="00622E1A" w:rsidRDefault="00622E1A">
            <w:pPr>
              <w:rPr>
                <w:sz w:val="23"/>
                <w:szCs w:val="23"/>
              </w:rPr>
            </w:pPr>
          </w:p>
        </w:tc>
        <w:tc>
          <w:tcPr>
            <w:tcW w:w="120" w:type="dxa"/>
            <w:tcBorders>
              <w:bottom w:val="single" w:sz="8" w:space="0" w:color="auto"/>
              <w:right w:val="single" w:sz="8" w:space="0" w:color="auto"/>
            </w:tcBorders>
            <w:vAlign w:val="bottom"/>
          </w:tcPr>
          <w:p w:rsidR="00622E1A" w:rsidRDefault="00622E1A">
            <w:pPr>
              <w:rPr>
                <w:sz w:val="23"/>
                <w:szCs w:val="23"/>
              </w:rPr>
            </w:pPr>
          </w:p>
        </w:tc>
        <w:tc>
          <w:tcPr>
            <w:tcW w:w="100" w:type="dxa"/>
            <w:tcBorders>
              <w:bottom w:val="single" w:sz="8" w:space="0" w:color="auto"/>
            </w:tcBorders>
            <w:vAlign w:val="bottom"/>
          </w:tcPr>
          <w:p w:rsidR="00622E1A" w:rsidRDefault="00622E1A">
            <w:pPr>
              <w:rPr>
                <w:sz w:val="23"/>
                <w:szCs w:val="23"/>
              </w:rPr>
            </w:pPr>
          </w:p>
        </w:tc>
        <w:tc>
          <w:tcPr>
            <w:tcW w:w="1340" w:type="dxa"/>
            <w:tcBorders>
              <w:bottom w:val="single" w:sz="8" w:space="0" w:color="auto"/>
            </w:tcBorders>
            <w:vAlign w:val="bottom"/>
          </w:tcPr>
          <w:p w:rsidR="00622E1A" w:rsidRDefault="00622E1A">
            <w:pPr>
              <w:rPr>
                <w:sz w:val="23"/>
                <w:szCs w:val="23"/>
              </w:rPr>
            </w:pPr>
          </w:p>
        </w:tc>
        <w:tc>
          <w:tcPr>
            <w:tcW w:w="120" w:type="dxa"/>
            <w:tcBorders>
              <w:bottom w:val="single" w:sz="8" w:space="0" w:color="auto"/>
              <w:right w:val="single" w:sz="8" w:space="0" w:color="auto"/>
            </w:tcBorders>
            <w:vAlign w:val="bottom"/>
          </w:tcPr>
          <w:p w:rsidR="00622E1A" w:rsidRDefault="00622E1A">
            <w:pPr>
              <w:rPr>
                <w:sz w:val="23"/>
                <w:szCs w:val="23"/>
              </w:rPr>
            </w:pPr>
          </w:p>
        </w:tc>
        <w:tc>
          <w:tcPr>
            <w:tcW w:w="0" w:type="dxa"/>
            <w:vAlign w:val="bottom"/>
          </w:tcPr>
          <w:p w:rsidR="00622E1A" w:rsidRDefault="00622E1A">
            <w:pPr>
              <w:rPr>
                <w:sz w:val="1"/>
                <w:szCs w:val="1"/>
              </w:rPr>
            </w:pPr>
          </w:p>
        </w:tc>
      </w:tr>
    </w:tbl>
    <w:p w:rsidR="00622E1A" w:rsidRDefault="00622E1A">
      <w:pPr>
        <w:spacing w:line="266" w:lineRule="exact"/>
        <w:rPr>
          <w:sz w:val="20"/>
          <w:szCs w:val="20"/>
        </w:rPr>
      </w:pPr>
    </w:p>
    <w:p w:rsidR="00622E1A" w:rsidRDefault="00EA62EF">
      <w:pPr>
        <w:ind w:left="80"/>
        <w:rPr>
          <w:sz w:val="20"/>
          <w:szCs w:val="20"/>
        </w:rPr>
      </w:pPr>
      <w:r>
        <w:rPr>
          <w:rFonts w:eastAsia="Times New Roman"/>
          <w:sz w:val="24"/>
          <w:szCs w:val="24"/>
        </w:rPr>
        <w:t>Pri dcérskych účtovných jednotkách bola použitá metóda úplnej konsolidácie.</w:t>
      </w:r>
    </w:p>
    <w:p w:rsidR="00622E1A" w:rsidRDefault="00622E1A">
      <w:pPr>
        <w:spacing w:line="288" w:lineRule="exact"/>
        <w:rPr>
          <w:sz w:val="20"/>
          <w:szCs w:val="20"/>
        </w:rPr>
      </w:pPr>
    </w:p>
    <w:p w:rsidR="00622E1A" w:rsidRDefault="00AA23CB">
      <w:pPr>
        <w:spacing w:line="236" w:lineRule="auto"/>
        <w:ind w:left="80" w:right="100"/>
        <w:jc w:val="both"/>
        <w:rPr>
          <w:sz w:val="20"/>
          <w:szCs w:val="20"/>
        </w:rPr>
      </w:pPr>
      <w:r>
        <w:rPr>
          <w:rFonts w:eastAsia="Times New Roman"/>
          <w:sz w:val="24"/>
          <w:szCs w:val="24"/>
        </w:rPr>
        <w:t>V roku 2019</w:t>
      </w:r>
      <w:r w:rsidR="00EA62EF">
        <w:rPr>
          <w:rFonts w:eastAsia="Times New Roman"/>
          <w:sz w:val="24"/>
          <w:szCs w:val="24"/>
        </w:rPr>
        <w:t>, rovnako ako v predchádzajúcich účtovných obdobiach, sa medzi účtovnými jednotkami konsolidovaného celku Obce neuskutočnil nákup, resp. predaj majetku. Preto nebolo potrebné vykonať konsolidáciu medzivýsledku.</w:t>
      </w:r>
    </w:p>
    <w:p w:rsidR="00622E1A" w:rsidRDefault="00622E1A">
      <w:pPr>
        <w:spacing w:line="342" w:lineRule="exact"/>
        <w:rPr>
          <w:sz w:val="20"/>
          <w:szCs w:val="20"/>
        </w:rPr>
      </w:pPr>
    </w:p>
    <w:p w:rsidR="00622E1A" w:rsidRDefault="00EA62EF">
      <w:pPr>
        <w:ind w:left="60"/>
        <w:rPr>
          <w:sz w:val="20"/>
          <w:szCs w:val="20"/>
        </w:rPr>
      </w:pPr>
      <w:r>
        <w:rPr>
          <w:rFonts w:eastAsia="Times New Roman"/>
          <w:b/>
          <w:bCs/>
          <w:sz w:val="24"/>
          <w:szCs w:val="24"/>
        </w:rPr>
        <w:t>INFORMÁCIE O ÚDAJOCH NA STRANE AKTÍV A PASÍV</w:t>
      </w:r>
    </w:p>
    <w:p w:rsidR="00622E1A" w:rsidRDefault="00622E1A">
      <w:pPr>
        <w:spacing w:line="236" w:lineRule="exact"/>
        <w:rPr>
          <w:sz w:val="20"/>
          <w:szCs w:val="20"/>
        </w:rPr>
      </w:pPr>
    </w:p>
    <w:p w:rsidR="00622E1A" w:rsidRDefault="00EA62EF">
      <w:pPr>
        <w:ind w:left="80"/>
        <w:rPr>
          <w:sz w:val="20"/>
          <w:szCs w:val="20"/>
        </w:rPr>
      </w:pPr>
      <w:r>
        <w:rPr>
          <w:rFonts w:eastAsia="Times New Roman"/>
          <w:i/>
          <w:iCs/>
          <w:sz w:val="24"/>
          <w:szCs w:val="24"/>
          <w:u w:val="single"/>
        </w:rPr>
        <w:t>Dlhodobý nehmotný majetok a dlhodobý hmotný majetok</w:t>
      </w:r>
    </w:p>
    <w:p w:rsidR="00622E1A" w:rsidRDefault="00622E1A">
      <w:pPr>
        <w:spacing w:line="12" w:lineRule="exact"/>
        <w:rPr>
          <w:sz w:val="20"/>
          <w:szCs w:val="20"/>
        </w:rPr>
      </w:pPr>
    </w:p>
    <w:p w:rsidR="00622E1A" w:rsidRDefault="00EA62EF">
      <w:pPr>
        <w:spacing w:line="234" w:lineRule="auto"/>
        <w:ind w:left="80" w:right="40"/>
        <w:rPr>
          <w:sz w:val="20"/>
          <w:szCs w:val="20"/>
        </w:rPr>
      </w:pPr>
      <w:r>
        <w:rPr>
          <w:rFonts w:eastAsia="Times New Roman"/>
          <w:sz w:val="24"/>
          <w:szCs w:val="24"/>
        </w:rPr>
        <w:t>Prehľad pohybu dlhodobého nehmotného a dlhodobého hmo</w:t>
      </w:r>
      <w:r w:rsidR="00AA23CB">
        <w:rPr>
          <w:rFonts w:eastAsia="Times New Roman"/>
          <w:sz w:val="24"/>
          <w:szCs w:val="24"/>
        </w:rPr>
        <w:t>tného majetku od 1. januára 2019</w:t>
      </w:r>
      <w:r w:rsidR="00645455">
        <w:rPr>
          <w:rFonts w:eastAsia="Times New Roman"/>
          <w:sz w:val="24"/>
          <w:szCs w:val="24"/>
        </w:rPr>
        <w:t xml:space="preserve"> do 31. decembra 201</w:t>
      </w:r>
      <w:r w:rsidR="00AA23CB">
        <w:rPr>
          <w:rFonts w:eastAsia="Times New Roman"/>
          <w:sz w:val="24"/>
          <w:szCs w:val="24"/>
        </w:rPr>
        <w:t>9</w:t>
      </w:r>
      <w:r>
        <w:rPr>
          <w:rFonts w:eastAsia="Times New Roman"/>
          <w:sz w:val="24"/>
          <w:szCs w:val="24"/>
        </w:rPr>
        <w:t xml:space="preserve"> je uvedený v tabuľkovej časti </w:t>
      </w:r>
      <w:r>
        <w:rPr>
          <w:rFonts w:eastAsia="Times New Roman"/>
          <w:i/>
          <w:iCs/>
          <w:sz w:val="24"/>
          <w:szCs w:val="24"/>
        </w:rPr>
        <w:t>Prehľad o pohybe dlhodobého majetku.</w:t>
      </w:r>
    </w:p>
    <w:p w:rsidR="00622E1A" w:rsidRDefault="00622E1A">
      <w:pPr>
        <w:spacing w:line="290" w:lineRule="exact"/>
        <w:rPr>
          <w:sz w:val="20"/>
          <w:szCs w:val="20"/>
        </w:rPr>
      </w:pPr>
    </w:p>
    <w:p w:rsidR="00622E1A" w:rsidRDefault="00EA62EF">
      <w:pPr>
        <w:spacing w:line="234" w:lineRule="auto"/>
        <w:ind w:left="80" w:right="40"/>
        <w:rPr>
          <w:sz w:val="20"/>
          <w:szCs w:val="20"/>
        </w:rPr>
      </w:pPr>
      <w:r>
        <w:rPr>
          <w:rFonts w:eastAsia="Times New Roman"/>
          <w:sz w:val="24"/>
          <w:szCs w:val="24"/>
        </w:rPr>
        <w:t>Dlhodobý nehmotný a hmotný majetok je poistený pre prípad škôd spôsobených krádežou a živelnou pohromou až do</w:t>
      </w:r>
      <w:r w:rsidR="00B4303D">
        <w:rPr>
          <w:rFonts w:eastAsia="Times New Roman"/>
          <w:sz w:val="24"/>
          <w:szCs w:val="24"/>
        </w:rPr>
        <w:t xml:space="preserve"> výšky 2 134 078,34</w:t>
      </w:r>
      <w:r>
        <w:rPr>
          <w:rFonts w:eastAsia="Times New Roman"/>
          <w:sz w:val="24"/>
          <w:szCs w:val="24"/>
        </w:rPr>
        <w:t xml:space="preserve"> eur.</w:t>
      </w:r>
    </w:p>
    <w:p w:rsidR="00622E1A" w:rsidRDefault="00622E1A">
      <w:pPr>
        <w:spacing w:line="278" w:lineRule="exact"/>
        <w:rPr>
          <w:sz w:val="20"/>
          <w:szCs w:val="20"/>
        </w:rPr>
      </w:pPr>
    </w:p>
    <w:p w:rsidR="00622E1A" w:rsidRDefault="00EA62EF">
      <w:pPr>
        <w:ind w:left="80"/>
        <w:rPr>
          <w:sz w:val="20"/>
          <w:szCs w:val="20"/>
        </w:rPr>
      </w:pPr>
      <w:r>
        <w:rPr>
          <w:rFonts w:eastAsia="Times New Roman"/>
          <w:sz w:val="24"/>
          <w:szCs w:val="24"/>
        </w:rPr>
        <w:t>Obec má:</w:t>
      </w:r>
    </w:p>
    <w:p w:rsidR="00622E1A" w:rsidRDefault="00622E1A">
      <w:pPr>
        <w:spacing w:line="31" w:lineRule="exact"/>
        <w:rPr>
          <w:sz w:val="20"/>
          <w:szCs w:val="20"/>
        </w:rPr>
      </w:pPr>
    </w:p>
    <w:p w:rsidR="00622E1A" w:rsidRDefault="00EA62EF">
      <w:pPr>
        <w:numPr>
          <w:ilvl w:val="0"/>
          <w:numId w:val="3"/>
        </w:numPr>
        <w:tabs>
          <w:tab w:val="left" w:pos="788"/>
        </w:tabs>
        <w:ind w:left="800" w:right="40" w:hanging="364"/>
        <w:jc w:val="both"/>
        <w:rPr>
          <w:rFonts w:ascii="Symbol" w:eastAsia="Symbol" w:hAnsi="Symbol" w:cs="Symbol"/>
          <w:sz w:val="24"/>
          <w:szCs w:val="24"/>
        </w:rPr>
      </w:pPr>
      <w:r>
        <w:rPr>
          <w:rFonts w:eastAsia="Times New Roman"/>
          <w:sz w:val="24"/>
          <w:szCs w:val="24"/>
        </w:rPr>
        <w:t>1 osobné auto obstarané z vlastných prostriedkov v obstarávacej cene 10.574,50 eur</w:t>
      </w:r>
      <w:r w:rsidR="00AA23CB">
        <w:rPr>
          <w:rFonts w:eastAsia="Times New Roman"/>
          <w:sz w:val="24"/>
          <w:szCs w:val="24"/>
        </w:rPr>
        <w:t xml:space="preserve"> (zostatková cena k 31. 12. 2019</w:t>
      </w:r>
      <w:r>
        <w:rPr>
          <w:rFonts w:eastAsia="Times New Roman"/>
          <w:sz w:val="24"/>
          <w:szCs w:val="24"/>
        </w:rPr>
        <w:t xml:space="preserve"> je 0 eur), ktoré vykazuje ako svoj majetok,</w:t>
      </w:r>
    </w:p>
    <w:p w:rsidR="00622E1A" w:rsidRDefault="00622E1A">
      <w:pPr>
        <w:spacing w:line="274" w:lineRule="exact"/>
        <w:rPr>
          <w:rFonts w:ascii="Symbol" w:eastAsia="Symbol" w:hAnsi="Symbol" w:cs="Symbol"/>
          <w:sz w:val="24"/>
          <w:szCs w:val="24"/>
        </w:rPr>
      </w:pPr>
    </w:p>
    <w:p w:rsidR="00622E1A" w:rsidRDefault="00EA62EF">
      <w:pPr>
        <w:numPr>
          <w:ilvl w:val="0"/>
          <w:numId w:val="3"/>
        </w:numPr>
        <w:tabs>
          <w:tab w:val="left" w:pos="788"/>
        </w:tabs>
        <w:spacing w:line="230" w:lineRule="auto"/>
        <w:ind w:left="800" w:right="40" w:hanging="364"/>
        <w:jc w:val="both"/>
        <w:rPr>
          <w:rFonts w:ascii="Symbol" w:eastAsia="Symbol" w:hAnsi="Symbol" w:cs="Symbol"/>
          <w:sz w:val="24"/>
          <w:szCs w:val="24"/>
        </w:rPr>
      </w:pPr>
      <w:r>
        <w:rPr>
          <w:rFonts w:eastAsia="Times New Roman"/>
          <w:sz w:val="24"/>
          <w:szCs w:val="24"/>
        </w:rPr>
        <w:t>1 požiarne auto Tatra T 148 obstarané z vlastných prostriedkov v obstarávacej cene 4.016,46 eur (zostatková cena k 31. 12. 201</w:t>
      </w:r>
      <w:r w:rsidR="00AA23CB">
        <w:rPr>
          <w:rFonts w:eastAsia="Times New Roman"/>
          <w:sz w:val="24"/>
          <w:szCs w:val="24"/>
        </w:rPr>
        <w:t>9</w:t>
      </w:r>
      <w:r>
        <w:rPr>
          <w:rFonts w:eastAsia="Times New Roman"/>
          <w:sz w:val="24"/>
          <w:szCs w:val="24"/>
        </w:rPr>
        <w:t xml:space="preserve"> je 0 eur), ktoré vykazuje ako svoj majetok,</w:t>
      </w:r>
    </w:p>
    <w:p w:rsidR="00622E1A" w:rsidRDefault="00622E1A">
      <w:pPr>
        <w:spacing w:line="34" w:lineRule="exact"/>
        <w:rPr>
          <w:rFonts w:ascii="Symbol" w:eastAsia="Symbol" w:hAnsi="Symbol" w:cs="Symbol"/>
          <w:sz w:val="24"/>
          <w:szCs w:val="24"/>
        </w:rPr>
      </w:pPr>
    </w:p>
    <w:p w:rsidR="00622E1A" w:rsidRDefault="00EA62EF">
      <w:pPr>
        <w:numPr>
          <w:ilvl w:val="0"/>
          <w:numId w:val="3"/>
        </w:numPr>
        <w:tabs>
          <w:tab w:val="left" w:pos="788"/>
        </w:tabs>
        <w:spacing w:line="230" w:lineRule="auto"/>
        <w:ind w:left="800" w:right="20" w:hanging="364"/>
        <w:jc w:val="both"/>
        <w:rPr>
          <w:rFonts w:ascii="Symbol" w:eastAsia="Symbol" w:hAnsi="Symbol" w:cs="Symbol"/>
          <w:sz w:val="24"/>
          <w:szCs w:val="24"/>
        </w:rPr>
      </w:pPr>
      <w:r>
        <w:rPr>
          <w:rFonts w:eastAsia="Times New Roman"/>
          <w:sz w:val="24"/>
          <w:szCs w:val="24"/>
        </w:rPr>
        <w:t>1 traktor SAME SOLARIS obstaraný z prostriedkov od iných subjektov mimo verejnej správy (NDS) v obstarávacej cene 33.801,95 eur (zostatková cena k</w:t>
      </w:r>
      <w:r w:rsidR="00AA23CB">
        <w:rPr>
          <w:rFonts w:eastAsia="Times New Roman"/>
          <w:sz w:val="24"/>
          <w:szCs w:val="24"/>
        </w:rPr>
        <w:t xml:space="preserve"> 31. 12. 2019</w:t>
      </w:r>
      <w:r>
        <w:rPr>
          <w:rFonts w:eastAsia="Times New Roman"/>
          <w:sz w:val="24"/>
          <w:szCs w:val="24"/>
        </w:rPr>
        <w:t xml:space="preserve"> je 0 eur), ktorý vykazuje ako svoj majetok,</w:t>
      </w:r>
    </w:p>
    <w:p w:rsidR="00622E1A" w:rsidRDefault="00622E1A">
      <w:pPr>
        <w:spacing w:line="34" w:lineRule="exact"/>
        <w:rPr>
          <w:rFonts w:ascii="Symbol" w:eastAsia="Symbol" w:hAnsi="Symbol" w:cs="Symbol"/>
          <w:sz w:val="24"/>
          <w:szCs w:val="24"/>
        </w:rPr>
      </w:pPr>
    </w:p>
    <w:p w:rsidR="00622E1A" w:rsidRDefault="00EA62EF">
      <w:pPr>
        <w:numPr>
          <w:ilvl w:val="0"/>
          <w:numId w:val="3"/>
        </w:numPr>
        <w:tabs>
          <w:tab w:val="left" w:pos="788"/>
        </w:tabs>
        <w:spacing w:line="231" w:lineRule="auto"/>
        <w:ind w:left="800" w:right="40" w:hanging="364"/>
        <w:jc w:val="both"/>
        <w:rPr>
          <w:rFonts w:ascii="Symbol" w:eastAsia="Symbol" w:hAnsi="Symbol" w:cs="Symbol"/>
          <w:sz w:val="24"/>
          <w:szCs w:val="24"/>
        </w:rPr>
      </w:pPr>
      <w:r>
        <w:rPr>
          <w:rFonts w:eastAsia="Times New Roman"/>
          <w:sz w:val="24"/>
          <w:szCs w:val="24"/>
        </w:rPr>
        <w:t>1 traktorový náves obstaraný z prostriedkov od iných subjektov mimo verejnej správy (NDS) v obstarávacej cene 9.412,90 eur</w:t>
      </w:r>
      <w:r w:rsidR="00AA23CB">
        <w:rPr>
          <w:rFonts w:eastAsia="Times New Roman"/>
          <w:sz w:val="24"/>
          <w:szCs w:val="24"/>
        </w:rPr>
        <w:t xml:space="preserve"> (zostatková cena k 31. 12. 2019</w:t>
      </w:r>
      <w:r>
        <w:rPr>
          <w:rFonts w:eastAsia="Times New Roman"/>
          <w:sz w:val="24"/>
          <w:szCs w:val="24"/>
        </w:rPr>
        <w:t xml:space="preserve"> je 0 eur), ktorý vykazuje ako svoj majetok.</w:t>
      </w:r>
    </w:p>
    <w:p w:rsidR="00622E1A" w:rsidRDefault="00622E1A">
      <w:pPr>
        <w:spacing w:line="200" w:lineRule="exact"/>
        <w:rPr>
          <w:sz w:val="20"/>
          <w:szCs w:val="20"/>
        </w:rPr>
      </w:pPr>
    </w:p>
    <w:p w:rsidR="00622E1A" w:rsidRDefault="00622E1A">
      <w:pPr>
        <w:spacing w:line="387" w:lineRule="exact"/>
        <w:rPr>
          <w:sz w:val="20"/>
          <w:szCs w:val="20"/>
        </w:rPr>
      </w:pPr>
    </w:p>
    <w:p w:rsidR="00622E1A" w:rsidRDefault="00EA62EF">
      <w:pPr>
        <w:ind w:right="40"/>
        <w:jc w:val="center"/>
        <w:rPr>
          <w:sz w:val="20"/>
          <w:szCs w:val="20"/>
        </w:rPr>
      </w:pPr>
      <w:r>
        <w:rPr>
          <w:rFonts w:eastAsia="Times New Roman"/>
          <w:sz w:val="24"/>
          <w:szCs w:val="24"/>
        </w:rPr>
        <w:t>4</w:t>
      </w:r>
    </w:p>
    <w:p w:rsidR="00622E1A" w:rsidRDefault="00622E1A">
      <w:pPr>
        <w:sectPr w:rsidR="00622E1A">
          <w:pgSz w:w="11900" w:h="16838"/>
          <w:pgMar w:top="932" w:right="1306" w:bottom="428" w:left="1340" w:header="0" w:footer="0" w:gutter="0"/>
          <w:cols w:space="708" w:equalWidth="0">
            <w:col w:w="9260"/>
          </w:cols>
        </w:sectPr>
      </w:pPr>
    </w:p>
    <w:p w:rsidR="00622E1A" w:rsidRDefault="00EA62EF">
      <w:pPr>
        <w:ind w:right="80"/>
        <w:jc w:val="center"/>
        <w:rPr>
          <w:sz w:val="20"/>
          <w:szCs w:val="20"/>
        </w:rPr>
      </w:pPr>
      <w:bookmarkStart w:id="4" w:name="page5"/>
      <w:bookmarkEnd w:id="4"/>
      <w:r>
        <w:rPr>
          <w:rFonts w:eastAsia="Times New Roman"/>
          <w:sz w:val="20"/>
          <w:szCs w:val="20"/>
        </w:rPr>
        <w:lastRenderedPageBreak/>
        <w:t>Poznámky  konsolidovanej účtovnej závierk</w:t>
      </w:r>
      <w:r w:rsidR="00B4303D">
        <w:rPr>
          <w:rFonts w:eastAsia="Times New Roman"/>
          <w:sz w:val="20"/>
          <w:szCs w:val="20"/>
        </w:rPr>
        <w:t>y zostavenej k 31. decembru 2019</w:t>
      </w:r>
    </w:p>
    <w:p w:rsidR="00622E1A" w:rsidRDefault="00EA62EF">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-7620</wp:posOffset>
                </wp:positionH>
                <wp:positionV relativeFrom="paragraph">
                  <wp:posOffset>19050</wp:posOffset>
                </wp:positionV>
                <wp:extent cx="579818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FB71F11" id="Shape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pt,1.5pt" to="45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5/uAEAAH8DAAAOAAAAZHJzL2Uyb0RvYy54bWysU01vGyEQvVfqf0Dc612nteOsvM4hqXuJ&#10;Wktpf8AYWC8qX2Ko1/73HVjbjduconJADPN4M+8By/uDNWyvImrvWj6d1JwpJ7zUbtfyH9/XHxac&#10;YQInwXinWn5UyO9X798th9CoG997I1VkROKwGULL+5RCU1UoemUBJz4oR8nORwuJwrirZISB2K2p&#10;bup6Xg0+yhC9UIi0+zgm+arwd50S6VvXoUrMtJx6S2WOZd7muVotodlFCL0WpzbgDV1Y0I6KXqge&#10;IQH7FfU/VFaL6NF3aSK8rXzXaaGKBlIzrf9S89xDUEULmYPhYhP+P1rxdb+JTMuWzzhzYOmKSlU2&#10;y9YMARtCPLhNzOLEwT2HJy9+IuWqq2QOMIywQxdthpM6dihWHy9Wq0NigjZnt3eL6YJqCsp9up1/&#10;zOUqaM5nQ8T0RXnL8qLlRrtsBDSwf8I0Qs+QvI3eaLnWxpQg7rYPJrI90KWvyzixX8GMY0PL5/Xd&#10;vDBf5fAlRV3GaxRWJ3q9RtuWLy4gaHoF8rOT1CY0CbQZ16TOuJNvo1XZtK2Xx008+0m3XGw4vcj8&#10;jF7G5fSff7P6DQAA//8DAFBLAwQUAAYACAAAACEAL+RQg9wAAAAGAQAADwAAAGRycy9kb3ducmV2&#10;LnhtbEyPQUvDQBSE74L/YXmCt3aTimJjNqUWvChSjIIeX7LPJJp9G7PbNv33Pr3ocZhh5pt8Nble&#10;7WkMnWcD6TwBRVx723Fj4OX5bnYNKkRki71nMnCkAKvi9CTHzPoDP9G+jI2SEg4ZGmhjHDKtQ92S&#10;wzD3A7F47350GEWOjbYjHqTc9XqRJFfaYcey0OJAm5bqz3LnDNxWD2+vfouh3Fbx8Xh/uflYf3XG&#10;nJ9N6xtQkab4F4YffEGHQpgqv2MbVG9gli4kaeBCHom9TNMlqOpX6yLX//GLbwAAAP//AwBQSwEC&#10;LQAUAAYACAAAACEAtoM4kv4AAADhAQAAEwAAAAAAAAAAAAAAAAAAAAAAW0NvbnRlbnRfVHlwZXNd&#10;LnhtbFBLAQItABQABgAIAAAAIQA4/SH/1gAAAJQBAAALAAAAAAAAAAAAAAAAAC8BAABfcmVscy8u&#10;cmVsc1BLAQItABQABgAIAAAAIQAyO15/uAEAAH8DAAAOAAAAAAAAAAAAAAAAAC4CAABkcnMvZTJv&#10;RG9jLnhtbFBLAQItABQABgAIAAAAIQAv5FCD3AAAAAYBAAAPAAAAAAAAAAAAAAAAABIEAABkcnMv&#10;ZG93bnJldi54bWxQSwUGAAAAAAQABADzAAAAGwUAAAAA&#10;" o:allowincell="f" filled="t" strokeweight=".48pt">
                <v:stroke joinstyle="miter"/>
                <o:lock v:ext="edit" shapetype="f"/>
              </v:line>
            </w:pict>
          </mc:Fallback>
        </mc:AlternateContent>
      </w:r>
    </w:p>
    <w:p w:rsidR="00622E1A" w:rsidRDefault="00622E1A">
      <w:pPr>
        <w:spacing w:line="389" w:lineRule="exact"/>
        <w:rPr>
          <w:sz w:val="20"/>
          <w:szCs w:val="20"/>
        </w:rPr>
      </w:pPr>
    </w:p>
    <w:p w:rsidR="00622E1A" w:rsidRDefault="00EA62EF">
      <w:pPr>
        <w:numPr>
          <w:ilvl w:val="0"/>
          <w:numId w:val="4"/>
        </w:numPr>
        <w:tabs>
          <w:tab w:val="left" w:pos="728"/>
        </w:tabs>
        <w:spacing w:line="230" w:lineRule="auto"/>
        <w:ind w:left="740" w:right="20" w:hanging="364"/>
        <w:jc w:val="both"/>
        <w:rPr>
          <w:rFonts w:ascii="Symbol" w:eastAsia="Symbol" w:hAnsi="Symbol" w:cs="Symbol"/>
          <w:sz w:val="24"/>
          <w:szCs w:val="24"/>
        </w:rPr>
      </w:pPr>
      <w:r>
        <w:rPr>
          <w:rFonts w:eastAsia="Times New Roman"/>
          <w:sz w:val="24"/>
          <w:szCs w:val="24"/>
        </w:rPr>
        <w:t>1 traktorovú kosačku STIGA Estate obstaraná z vlastných prostriedkov (z rezervného fondu) v obstarávacej cene 2.990,- eur (zostatková</w:t>
      </w:r>
      <w:r w:rsidR="00DA0C2B">
        <w:rPr>
          <w:rFonts w:eastAsia="Times New Roman"/>
          <w:sz w:val="24"/>
          <w:szCs w:val="24"/>
        </w:rPr>
        <w:t xml:space="preserve"> cena k 31. 12. 2019 je 373,40</w:t>
      </w:r>
      <w:r>
        <w:rPr>
          <w:rFonts w:eastAsia="Times New Roman"/>
          <w:sz w:val="24"/>
          <w:szCs w:val="24"/>
        </w:rPr>
        <w:t xml:space="preserve"> eur), ktorú vykazuje ako svoj majetok.</w:t>
      </w:r>
    </w:p>
    <w:p w:rsidR="00622E1A" w:rsidRDefault="00622E1A">
      <w:pPr>
        <w:spacing w:line="279" w:lineRule="exact"/>
        <w:rPr>
          <w:sz w:val="20"/>
          <w:szCs w:val="20"/>
        </w:rPr>
      </w:pPr>
    </w:p>
    <w:p w:rsidR="00622E1A" w:rsidRDefault="00EA62EF">
      <w:pPr>
        <w:ind w:left="20"/>
        <w:rPr>
          <w:sz w:val="20"/>
          <w:szCs w:val="20"/>
        </w:rPr>
      </w:pPr>
      <w:r>
        <w:rPr>
          <w:rFonts w:eastAsia="Times New Roman"/>
          <w:i/>
          <w:iCs/>
          <w:sz w:val="24"/>
          <w:szCs w:val="24"/>
          <w:u w:val="single"/>
        </w:rPr>
        <w:t>Dlhodobý finančný majetok</w:t>
      </w:r>
    </w:p>
    <w:p w:rsidR="00622E1A" w:rsidRDefault="00EA62EF">
      <w:pPr>
        <w:tabs>
          <w:tab w:val="left" w:pos="940"/>
          <w:tab w:val="left" w:pos="2280"/>
          <w:tab w:val="left" w:pos="3520"/>
          <w:tab w:val="left" w:pos="4500"/>
          <w:tab w:val="left" w:pos="5500"/>
          <w:tab w:val="left" w:pos="6540"/>
          <w:tab w:val="left" w:pos="6960"/>
          <w:tab w:val="left" w:pos="7340"/>
          <w:tab w:val="left" w:pos="8240"/>
          <w:tab w:val="left" w:pos="8900"/>
        </w:tabs>
        <w:ind w:left="20"/>
        <w:rPr>
          <w:sz w:val="20"/>
          <w:szCs w:val="20"/>
        </w:rPr>
      </w:pPr>
      <w:r>
        <w:rPr>
          <w:rFonts w:eastAsia="Times New Roman"/>
          <w:sz w:val="24"/>
          <w:szCs w:val="24"/>
        </w:rPr>
        <w:t>Prehľad</w:t>
      </w:r>
      <w:r>
        <w:rPr>
          <w:rFonts w:eastAsia="Times New Roman"/>
          <w:sz w:val="24"/>
          <w:szCs w:val="24"/>
        </w:rPr>
        <w:tab/>
        <w:t>dlhodobého</w:t>
      </w:r>
      <w:r>
        <w:rPr>
          <w:rFonts w:eastAsia="Times New Roman"/>
          <w:sz w:val="24"/>
          <w:szCs w:val="24"/>
        </w:rPr>
        <w:tab/>
        <w:t>finančného</w:t>
      </w:r>
      <w:r>
        <w:rPr>
          <w:rFonts w:eastAsia="Times New Roman"/>
          <w:sz w:val="24"/>
          <w:szCs w:val="24"/>
        </w:rPr>
        <w:tab/>
        <w:t>majetku</w:t>
      </w:r>
      <w:r>
        <w:rPr>
          <w:rFonts w:eastAsia="Times New Roman"/>
          <w:sz w:val="24"/>
          <w:szCs w:val="24"/>
        </w:rPr>
        <w:tab/>
        <w:t>účtovnej</w:t>
      </w:r>
      <w:r>
        <w:rPr>
          <w:rFonts w:eastAsia="Times New Roman"/>
          <w:sz w:val="24"/>
          <w:szCs w:val="24"/>
        </w:rPr>
        <w:tab/>
        <w:t>jednotky</w:t>
      </w:r>
      <w:r>
        <w:rPr>
          <w:rFonts w:eastAsia="Times New Roman"/>
          <w:sz w:val="24"/>
          <w:szCs w:val="24"/>
        </w:rPr>
        <w:tab/>
        <w:t>od</w:t>
      </w:r>
      <w:r>
        <w:rPr>
          <w:rFonts w:eastAsia="Times New Roman"/>
          <w:sz w:val="24"/>
          <w:szCs w:val="24"/>
        </w:rPr>
        <w:tab/>
        <w:t>1.</w:t>
      </w:r>
      <w:r>
        <w:rPr>
          <w:rFonts w:eastAsia="Times New Roman"/>
          <w:sz w:val="24"/>
          <w:szCs w:val="24"/>
        </w:rPr>
        <w:tab/>
        <w:t>januára</w:t>
      </w:r>
      <w:r>
        <w:rPr>
          <w:sz w:val="20"/>
          <w:szCs w:val="20"/>
        </w:rPr>
        <w:tab/>
      </w:r>
      <w:r w:rsidR="00B4303D">
        <w:rPr>
          <w:rFonts w:eastAsia="Times New Roman"/>
          <w:sz w:val="24"/>
          <w:szCs w:val="24"/>
        </w:rPr>
        <w:t>2019</w:t>
      </w:r>
      <w:r>
        <w:rPr>
          <w:rFonts w:eastAsia="Times New Roman"/>
          <w:sz w:val="24"/>
          <w:szCs w:val="24"/>
        </w:rPr>
        <w:tab/>
        <w:t>do</w:t>
      </w:r>
    </w:p>
    <w:p w:rsidR="00622E1A" w:rsidRDefault="00622E1A">
      <w:pPr>
        <w:spacing w:line="12" w:lineRule="exact"/>
        <w:rPr>
          <w:sz w:val="20"/>
          <w:szCs w:val="20"/>
        </w:rPr>
      </w:pPr>
    </w:p>
    <w:p w:rsidR="00622E1A" w:rsidRDefault="00B4303D">
      <w:pPr>
        <w:numPr>
          <w:ilvl w:val="0"/>
          <w:numId w:val="5"/>
        </w:numPr>
        <w:tabs>
          <w:tab w:val="left" w:pos="411"/>
        </w:tabs>
        <w:spacing w:line="234" w:lineRule="auto"/>
        <w:ind w:left="20" w:right="20" w:hanging="4"/>
        <w:rPr>
          <w:rFonts w:eastAsia="Times New Roman"/>
          <w:sz w:val="24"/>
          <w:szCs w:val="24"/>
        </w:rPr>
      </w:pPr>
      <w:r>
        <w:rPr>
          <w:rFonts w:eastAsia="Times New Roman"/>
          <w:sz w:val="24"/>
          <w:szCs w:val="24"/>
        </w:rPr>
        <w:t>decembra 2019</w:t>
      </w:r>
      <w:r w:rsidR="00EA62EF">
        <w:rPr>
          <w:rFonts w:eastAsia="Times New Roman"/>
          <w:sz w:val="24"/>
          <w:szCs w:val="24"/>
        </w:rPr>
        <w:t xml:space="preserve"> je uvedený je uvedený v tabuľkovej časti </w:t>
      </w:r>
      <w:r w:rsidR="00EA62EF">
        <w:rPr>
          <w:rFonts w:eastAsia="Times New Roman"/>
          <w:i/>
          <w:iCs/>
          <w:sz w:val="24"/>
          <w:szCs w:val="24"/>
        </w:rPr>
        <w:t>Prehľad</w:t>
      </w:r>
      <w:r w:rsidR="00EA62EF">
        <w:rPr>
          <w:rFonts w:eastAsia="Times New Roman"/>
          <w:sz w:val="24"/>
          <w:szCs w:val="24"/>
        </w:rPr>
        <w:t xml:space="preserve"> </w:t>
      </w:r>
      <w:r w:rsidR="00EA62EF">
        <w:rPr>
          <w:rFonts w:eastAsia="Times New Roman"/>
          <w:i/>
          <w:iCs/>
          <w:sz w:val="24"/>
          <w:szCs w:val="24"/>
        </w:rPr>
        <w:t>o</w:t>
      </w:r>
      <w:r w:rsidR="00EA62EF">
        <w:rPr>
          <w:rFonts w:eastAsia="Times New Roman"/>
          <w:sz w:val="24"/>
          <w:szCs w:val="24"/>
        </w:rPr>
        <w:t xml:space="preserve"> </w:t>
      </w:r>
      <w:r w:rsidR="00EA62EF">
        <w:rPr>
          <w:rFonts w:eastAsia="Times New Roman"/>
          <w:i/>
          <w:iCs/>
          <w:sz w:val="24"/>
          <w:szCs w:val="24"/>
        </w:rPr>
        <w:t>pohybe dlhodobého</w:t>
      </w:r>
      <w:r w:rsidR="00EA62EF">
        <w:rPr>
          <w:rFonts w:eastAsia="Times New Roman"/>
          <w:sz w:val="24"/>
          <w:szCs w:val="24"/>
        </w:rPr>
        <w:t xml:space="preserve"> </w:t>
      </w:r>
      <w:r w:rsidR="00EA62EF">
        <w:rPr>
          <w:rFonts w:eastAsia="Times New Roman"/>
          <w:i/>
          <w:iCs/>
          <w:sz w:val="24"/>
          <w:szCs w:val="24"/>
        </w:rPr>
        <w:t>majetku.</w:t>
      </w:r>
    </w:p>
    <w:p w:rsidR="00622E1A" w:rsidRDefault="00622E1A">
      <w:pPr>
        <w:spacing w:line="290" w:lineRule="exact"/>
        <w:rPr>
          <w:sz w:val="20"/>
          <w:szCs w:val="20"/>
        </w:rPr>
      </w:pPr>
    </w:p>
    <w:p w:rsidR="00622E1A" w:rsidRDefault="00EA62EF">
      <w:pPr>
        <w:spacing w:line="236" w:lineRule="auto"/>
        <w:ind w:left="20" w:right="20"/>
        <w:jc w:val="both"/>
        <w:rPr>
          <w:sz w:val="20"/>
          <w:szCs w:val="20"/>
        </w:rPr>
      </w:pPr>
      <w:r>
        <w:rPr>
          <w:rFonts w:eastAsia="Times New Roman"/>
          <w:sz w:val="24"/>
          <w:szCs w:val="24"/>
        </w:rPr>
        <w:t>Obec vlastní akcie v Podtatranskej vodárenskej spoločnosti, a. s. v mene euro, ktoré predstavujú podiel na základnom imaní pri výnose 0,27 %</w:t>
      </w:r>
      <w:r w:rsidR="00B4303D">
        <w:rPr>
          <w:rFonts w:eastAsia="Times New Roman"/>
          <w:sz w:val="24"/>
          <w:szCs w:val="24"/>
        </w:rPr>
        <w:t>. Účtovná hodnota k 31. 12. 2019</w:t>
      </w:r>
      <w:r>
        <w:rPr>
          <w:rFonts w:eastAsia="Times New Roman"/>
          <w:sz w:val="24"/>
          <w:szCs w:val="24"/>
        </w:rPr>
        <w:t xml:space="preserve"> predstavovala sumu 145.737,29 eur a v roku 20</w:t>
      </w:r>
      <w:r w:rsidR="00B4303D">
        <w:rPr>
          <w:rFonts w:eastAsia="Times New Roman"/>
          <w:sz w:val="24"/>
          <w:szCs w:val="24"/>
        </w:rPr>
        <w:t>18</w:t>
      </w:r>
      <w:r>
        <w:rPr>
          <w:rFonts w:eastAsia="Times New Roman"/>
          <w:sz w:val="24"/>
          <w:szCs w:val="24"/>
        </w:rPr>
        <w:t xml:space="preserve"> to bolo taktiež 145.737,29 eur.</w:t>
      </w:r>
    </w:p>
    <w:p w:rsidR="00622E1A" w:rsidRDefault="00622E1A">
      <w:pPr>
        <w:spacing w:line="257" w:lineRule="exact"/>
        <w:rPr>
          <w:sz w:val="20"/>
          <w:szCs w:val="20"/>
        </w:rPr>
      </w:pPr>
    </w:p>
    <w:p w:rsidR="00622E1A" w:rsidRDefault="00EA62EF">
      <w:pPr>
        <w:ind w:left="20"/>
        <w:rPr>
          <w:sz w:val="20"/>
          <w:szCs w:val="20"/>
        </w:rPr>
      </w:pPr>
      <w:r>
        <w:rPr>
          <w:rFonts w:eastAsia="Times New Roman"/>
          <w:i/>
          <w:iCs/>
          <w:sz w:val="24"/>
          <w:szCs w:val="24"/>
          <w:u w:val="single"/>
        </w:rPr>
        <w:t>Pohľadávky</w:t>
      </w:r>
    </w:p>
    <w:p w:rsidR="00622E1A" w:rsidRDefault="00622E1A">
      <w:pPr>
        <w:spacing w:line="12" w:lineRule="exact"/>
        <w:rPr>
          <w:sz w:val="20"/>
          <w:szCs w:val="20"/>
        </w:rPr>
      </w:pPr>
    </w:p>
    <w:p w:rsidR="00622E1A" w:rsidRDefault="00EA62EF">
      <w:pPr>
        <w:spacing w:line="234" w:lineRule="auto"/>
        <w:ind w:left="20"/>
        <w:jc w:val="both"/>
        <w:rPr>
          <w:sz w:val="20"/>
          <w:szCs w:val="20"/>
        </w:rPr>
      </w:pPr>
      <w:r>
        <w:rPr>
          <w:rFonts w:eastAsia="Times New Roman"/>
          <w:sz w:val="24"/>
          <w:szCs w:val="24"/>
        </w:rPr>
        <w:t>Vývoj opravných položiek k pohľadávkam ako aj rozdelenie pohľadávok podľa splatnosti sú uvedené v tabuľkovej časti.</w:t>
      </w:r>
    </w:p>
    <w:p w:rsidR="00622E1A" w:rsidRDefault="00622E1A">
      <w:pPr>
        <w:spacing w:line="14" w:lineRule="exact"/>
        <w:rPr>
          <w:sz w:val="20"/>
          <w:szCs w:val="20"/>
        </w:rPr>
      </w:pPr>
    </w:p>
    <w:p w:rsidR="00622E1A" w:rsidRDefault="00EA62EF">
      <w:pPr>
        <w:spacing w:line="234" w:lineRule="auto"/>
        <w:ind w:left="20" w:right="20"/>
        <w:jc w:val="both"/>
        <w:rPr>
          <w:sz w:val="20"/>
          <w:szCs w:val="20"/>
        </w:rPr>
      </w:pPr>
      <w:r>
        <w:rPr>
          <w:rFonts w:eastAsia="Times New Roman"/>
          <w:sz w:val="24"/>
          <w:szCs w:val="24"/>
        </w:rPr>
        <w:t>Najvýznamnejšou položkou pohľadávok sú pohľadávky z daňových a nedaňových príjmov obce.</w:t>
      </w:r>
    </w:p>
    <w:p w:rsidR="00622E1A" w:rsidRDefault="00622E1A">
      <w:pPr>
        <w:spacing w:line="278" w:lineRule="exact"/>
        <w:rPr>
          <w:sz w:val="20"/>
          <w:szCs w:val="20"/>
        </w:rPr>
      </w:pPr>
    </w:p>
    <w:p w:rsidR="00622E1A" w:rsidRDefault="00EA62EF">
      <w:pPr>
        <w:ind w:left="20"/>
        <w:rPr>
          <w:sz w:val="20"/>
          <w:szCs w:val="20"/>
        </w:rPr>
      </w:pPr>
      <w:r>
        <w:rPr>
          <w:rFonts w:eastAsia="Times New Roman"/>
          <w:i/>
          <w:iCs/>
          <w:sz w:val="24"/>
          <w:szCs w:val="24"/>
          <w:u w:val="single"/>
        </w:rPr>
        <w:t>Finančný majetok</w:t>
      </w:r>
    </w:p>
    <w:p w:rsidR="00622E1A" w:rsidRDefault="00EA62EF">
      <w:pPr>
        <w:ind w:left="20"/>
        <w:rPr>
          <w:sz w:val="20"/>
          <w:szCs w:val="20"/>
        </w:rPr>
      </w:pPr>
      <w:r>
        <w:rPr>
          <w:rFonts w:eastAsia="Times New Roman"/>
          <w:sz w:val="24"/>
          <w:szCs w:val="24"/>
        </w:rPr>
        <w:t>Ako finančný majetok sú vykázané peňažné prostriedky v pokladnici  a účty v bankách.</w:t>
      </w:r>
    </w:p>
    <w:p w:rsidR="00622E1A" w:rsidRDefault="00EA62EF">
      <w:pPr>
        <w:ind w:left="20"/>
        <w:rPr>
          <w:sz w:val="20"/>
          <w:szCs w:val="20"/>
        </w:rPr>
      </w:pPr>
      <w:r>
        <w:rPr>
          <w:rFonts w:eastAsia="Times New Roman"/>
          <w:sz w:val="24"/>
          <w:szCs w:val="24"/>
        </w:rPr>
        <w:t>Účtami v bankách môže účtovná jednotka voľne disponovať.</w:t>
      </w:r>
    </w:p>
    <w:p w:rsidR="00622E1A" w:rsidRDefault="00622E1A">
      <w:pPr>
        <w:spacing w:line="276" w:lineRule="exact"/>
        <w:rPr>
          <w:sz w:val="20"/>
          <w:szCs w:val="20"/>
        </w:rPr>
      </w:pPr>
    </w:p>
    <w:p w:rsidR="00622E1A" w:rsidRDefault="00EA62EF">
      <w:pPr>
        <w:ind w:left="20"/>
        <w:rPr>
          <w:sz w:val="20"/>
          <w:szCs w:val="20"/>
        </w:rPr>
      </w:pPr>
      <w:r>
        <w:rPr>
          <w:rFonts w:eastAsia="Times New Roman"/>
          <w:i/>
          <w:iCs/>
          <w:sz w:val="24"/>
          <w:szCs w:val="24"/>
          <w:u w:val="single"/>
        </w:rPr>
        <w:t>Poskytnuté návratné finančné výpomoci</w:t>
      </w:r>
    </w:p>
    <w:p w:rsidR="00622E1A" w:rsidRDefault="00B4303D">
      <w:pPr>
        <w:spacing w:line="237" w:lineRule="auto"/>
        <w:ind w:left="20"/>
        <w:rPr>
          <w:sz w:val="20"/>
          <w:szCs w:val="20"/>
        </w:rPr>
      </w:pPr>
      <w:r>
        <w:rPr>
          <w:rFonts w:eastAsia="Times New Roman"/>
          <w:sz w:val="24"/>
          <w:szCs w:val="24"/>
        </w:rPr>
        <w:t>Obec neposkytla v roku 2019</w:t>
      </w:r>
      <w:r w:rsidR="00EA62EF">
        <w:rPr>
          <w:rFonts w:eastAsia="Times New Roman"/>
          <w:sz w:val="24"/>
          <w:szCs w:val="24"/>
        </w:rPr>
        <w:t xml:space="preserve"> žiadnu návratnú finančnú výpomoc.</w:t>
      </w:r>
    </w:p>
    <w:p w:rsidR="00622E1A" w:rsidRDefault="00622E1A">
      <w:pPr>
        <w:spacing w:line="200" w:lineRule="exact"/>
        <w:rPr>
          <w:sz w:val="20"/>
          <w:szCs w:val="20"/>
        </w:rPr>
      </w:pPr>
    </w:p>
    <w:p w:rsidR="00622E1A" w:rsidRDefault="00622E1A">
      <w:pPr>
        <w:spacing w:line="358" w:lineRule="exact"/>
        <w:rPr>
          <w:sz w:val="20"/>
          <w:szCs w:val="20"/>
        </w:rPr>
      </w:pPr>
    </w:p>
    <w:p w:rsidR="00622E1A" w:rsidRDefault="00EA62EF">
      <w:pPr>
        <w:rPr>
          <w:sz w:val="20"/>
          <w:szCs w:val="20"/>
        </w:rPr>
      </w:pPr>
      <w:r>
        <w:rPr>
          <w:rFonts w:eastAsia="Times New Roman"/>
          <w:b/>
          <w:bCs/>
          <w:sz w:val="24"/>
          <w:szCs w:val="24"/>
        </w:rPr>
        <w:t>INFORMÁCIE O ÚDAJOCH NA STRANE PASÍV SÚVAHY</w:t>
      </w:r>
    </w:p>
    <w:p w:rsidR="00622E1A" w:rsidRDefault="00622E1A">
      <w:pPr>
        <w:spacing w:line="271" w:lineRule="exact"/>
        <w:rPr>
          <w:sz w:val="20"/>
          <w:szCs w:val="20"/>
        </w:rPr>
      </w:pPr>
    </w:p>
    <w:p w:rsidR="00622E1A" w:rsidRDefault="00EA62EF">
      <w:pPr>
        <w:ind w:left="20"/>
        <w:rPr>
          <w:sz w:val="20"/>
          <w:szCs w:val="20"/>
        </w:rPr>
      </w:pPr>
      <w:r>
        <w:rPr>
          <w:rFonts w:eastAsia="Times New Roman"/>
          <w:i/>
          <w:iCs/>
          <w:sz w:val="24"/>
          <w:szCs w:val="24"/>
          <w:u w:val="single"/>
        </w:rPr>
        <w:t>Vlastné imanie</w:t>
      </w:r>
    </w:p>
    <w:p w:rsidR="00622E1A" w:rsidRDefault="00622E1A">
      <w:pPr>
        <w:spacing w:line="12" w:lineRule="exact"/>
        <w:rPr>
          <w:sz w:val="20"/>
          <w:szCs w:val="20"/>
        </w:rPr>
      </w:pPr>
    </w:p>
    <w:p w:rsidR="00622E1A" w:rsidRDefault="00EA62EF" w:rsidP="00803F90">
      <w:pPr>
        <w:spacing w:line="234" w:lineRule="auto"/>
        <w:ind w:left="20"/>
        <w:rPr>
          <w:sz w:val="20"/>
          <w:szCs w:val="20"/>
        </w:rPr>
      </w:pPr>
      <w:r>
        <w:rPr>
          <w:rFonts w:eastAsia="Times New Roman"/>
          <w:sz w:val="24"/>
          <w:szCs w:val="24"/>
        </w:rPr>
        <w:t>Prehľad vlastného imania konsolid</w:t>
      </w:r>
      <w:r w:rsidR="00B4303D">
        <w:rPr>
          <w:rFonts w:eastAsia="Times New Roman"/>
          <w:sz w:val="24"/>
          <w:szCs w:val="24"/>
        </w:rPr>
        <w:t>ovaného celku od 1. januára 2019 do 31. decembra 2019</w:t>
      </w:r>
      <w:r>
        <w:rPr>
          <w:rFonts w:eastAsia="Times New Roman"/>
          <w:sz w:val="24"/>
          <w:szCs w:val="24"/>
        </w:rPr>
        <w:t xml:space="preserve"> je uvedený v tabuľkovej časti.</w:t>
      </w:r>
    </w:p>
    <w:p w:rsidR="00622E1A" w:rsidRDefault="00622E1A">
      <w:pPr>
        <w:spacing w:line="277" w:lineRule="exact"/>
        <w:rPr>
          <w:sz w:val="20"/>
          <w:szCs w:val="20"/>
        </w:rPr>
      </w:pPr>
    </w:p>
    <w:p w:rsidR="00622E1A" w:rsidRDefault="00EA62EF">
      <w:pPr>
        <w:ind w:left="20"/>
        <w:rPr>
          <w:sz w:val="20"/>
          <w:szCs w:val="20"/>
        </w:rPr>
      </w:pPr>
      <w:r>
        <w:rPr>
          <w:rFonts w:eastAsia="Times New Roman"/>
          <w:i/>
          <w:iCs/>
          <w:sz w:val="24"/>
          <w:szCs w:val="24"/>
          <w:u w:val="single"/>
        </w:rPr>
        <w:t>Rezervy</w:t>
      </w:r>
    </w:p>
    <w:p w:rsidR="00622E1A" w:rsidRDefault="00622E1A">
      <w:pPr>
        <w:spacing w:line="12" w:lineRule="exact"/>
        <w:rPr>
          <w:sz w:val="20"/>
          <w:szCs w:val="20"/>
        </w:rPr>
      </w:pPr>
    </w:p>
    <w:p w:rsidR="00622E1A" w:rsidRDefault="00EA62EF">
      <w:pPr>
        <w:spacing w:line="234" w:lineRule="auto"/>
        <w:ind w:left="20" w:right="20"/>
        <w:rPr>
          <w:sz w:val="20"/>
          <w:szCs w:val="20"/>
        </w:rPr>
      </w:pPr>
      <w:r>
        <w:rPr>
          <w:rFonts w:eastAsia="Times New Roman"/>
          <w:sz w:val="24"/>
          <w:szCs w:val="24"/>
        </w:rPr>
        <w:t>Prehľad rezerv konsolid</w:t>
      </w:r>
      <w:r w:rsidR="00B4303D">
        <w:rPr>
          <w:rFonts w:eastAsia="Times New Roman"/>
          <w:sz w:val="24"/>
          <w:szCs w:val="24"/>
        </w:rPr>
        <w:t>ovaného celku od 1. januára 2019 do 31. decembra 2019</w:t>
      </w:r>
      <w:r>
        <w:rPr>
          <w:rFonts w:eastAsia="Times New Roman"/>
          <w:sz w:val="24"/>
          <w:szCs w:val="24"/>
        </w:rPr>
        <w:t xml:space="preserve"> je uvedený je uvedený v tabuľkovej časti.</w:t>
      </w:r>
    </w:p>
    <w:p w:rsidR="00622E1A" w:rsidRDefault="00622E1A">
      <w:pPr>
        <w:spacing w:line="278" w:lineRule="exact"/>
        <w:rPr>
          <w:sz w:val="20"/>
          <w:szCs w:val="20"/>
        </w:rPr>
      </w:pPr>
    </w:p>
    <w:p w:rsidR="00622E1A" w:rsidRDefault="00EA62EF">
      <w:pPr>
        <w:ind w:left="20"/>
        <w:rPr>
          <w:sz w:val="20"/>
          <w:szCs w:val="20"/>
        </w:rPr>
      </w:pPr>
      <w:r>
        <w:rPr>
          <w:rFonts w:eastAsia="Times New Roman"/>
          <w:i/>
          <w:iCs/>
          <w:sz w:val="24"/>
          <w:szCs w:val="24"/>
          <w:u w:val="single"/>
        </w:rPr>
        <w:t>Záväzky</w:t>
      </w:r>
    </w:p>
    <w:p w:rsidR="00622E1A" w:rsidRDefault="00EA62EF">
      <w:pPr>
        <w:spacing w:line="237" w:lineRule="auto"/>
        <w:ind w:left="20"/>
        <w:rPr>
          <w:rFonts w:eastAsia="Times New Roman"/>
          <w:sz w:val="24"/>
          <w:szCs w:val="24"/>
        </w:rPr>
      </w:pPr>
      <w:r>
        <w:rPr>
          <w:rFonts w:eastAsia="Times New Roman"/>
          <w:sz w:val="24"/>
          <w:szCs w:val="24"/>
        </w:rPr>
        <w:t>Prehľad záväzkov podľa splatnosti je uvedený v tabuľkovej časti.</w:t>
      </w:r>
    </w:p>
    <w:p w:rsidR="00EB1EAE" w:rsidRDefault="00EB1EAE">
      <w:pPr>
        <w:spacing w:line="237" w:lineRule="auto"/>
        <w:ind w:left="20"/>
        <w:rPr>
          <w:rFonts w:eastAsia="Times New Roman"/>
          <w:sz w:val="24"/>
          <w:szCs w:val="24"/>
        </w:rPr>
      </w:pPr>
    </w:p>
    <w:p w:rsidR="00711BA8" w:rsidRDefault="00803F90">
      <w:pPr>
        <w:spacing w:line="237" w:lineRule="auto"/>
        <w:ind w:left="20"/>
        <w:rPr>
          <w:sz w:val="20"/>
          <w:szCs w:val="20"/>
        </w:rPr>
      </w:pPr>
      <w:r>
        <w:rPr>
          <w:rFonts w:eastAsia="Times New Roman"/>
          <w:sz w:val="24"/>
          <w:szCs w:val="24"/>
        </w:rPr>
        <w:t>V dôsledk</w:t>
      </w:r>
      <w:r w:rsidR="00B4303D">
        <w:rPr>
          <w:rFonts w:eastAsia="Times New Roman"/>
          <w:sz w:val="24"/>
          <w:szCs w:val="24"/>
        </w:rPr>
        <w:t>u účtovnej chyby je v riadku 137 uvedená suma 5</w:t>
      </w:r>
      <w:r>
        <w:rPr>
          <w:rFonts w:eastAsia="Times New Roman"/>
          <w:sz w:val="24"/>
          <w:szCs w:val="24"/>
        </w:rPr>
        <w:t>,- Eur namiesto nulovej hodnoty</w:t>
      </w:r>
      <w:r w:rsidR="00B4303D">
        <w:rPr>
          <w:rFonts w:eastAsia="Times New Roman"/>
          <w:sz w:val="24"/>
          <w:szCs w:val="24"/>
        </w:rPr>
        <w:t xml:space="preserve"> a v riadku 139 uvedená suma 33,19,- Eur namiesto nulovej hodnoty</w:t>
      </w:r>
      <w:r>
        <w:rPr>
          <w:rFonts w:eastAsia="Times New Roman"/>
          <w:sz w:val="24"/>
          <w:szCs w:val="24"/>
        </w:rPr>
        <w:t>.</w:t>
      </w:r>
    </w:p>
    <w:p w:rsidR="00622E1A" w:rsidRDefault="00622E1A">
      <w:pPr>
        <w:spacing w:line="277" w:lineRule="exact"/>
        <w:rPr>
          <w:sz w:val="20"/>
          <w:szCs w:val="20"/>
        </w:rPr>
      </w:pPr>
    </w:p>
    <w:p w:rsidR="00622E1A" w:rsidRDefault="00EA62EF">
      <w:pPr>
        <w:ind w:left="20"/>
        <w:rPr>
          <w:sz w:val="20"/>
          <w:szCs w:val="20"/>
        </w:rPr>
      </w:pPr>
      <w:r>
        <w:rPr>
          <w:rFonts w:eastAsia="Times New Roman"/>
          <w:i/>
          <w:iCs/>
          <w:sz w:val="24"/>
          <w:szCs w:val="24"/>
          <w:u w:val="single"/>
        </w:rPr>
        <w:t>Bankové úvery a ostatné prijaté návratné finančné výpomoci</w:t>
      </w:r>
    </w:p>
    <w:p w:rsidR="00622E1A" w:rsidRDefault="00622E1A">
      <w:pPr>
        <w:spacing w:line="12" w:lineRule="exact"/>
        <w:rPr>
          <w:sz w:val="20"/>
          <w:szCs w:val="20"/>
        </w:rPr>
      </w:pPr>
    </w:p>
    <w:p w:rsidR="00622E1A" w:rsidRDefault="00EA62EF">
      <w:pPr>
        <w:spacing w:line="234" w:lineRule="auto"/>
        <w:ind w:left="20" w:right="100"/>
        <w:rPr>
          <w:sz w:val="20"/>
          <w:szCs w:val="20"/>
        </w:rPr>
      </w:pPr>
      <w:r>
        <w:rPr>
          <w:rFonts w:eastAsia="Times New Roman"/>
          <w:sz w:val="24"/>
          <w:szCs w:val="24"/>
        </w:rPr>
        <w:t>Prehľad o banko</w:t>
      </w:r>
      <w:r w:rsidR="00B4303D">
        <w:rPr>
          <w:rFonts w:eastAsia="Times New Roman"/>
          <w:sz w:val="24"/>
          <w:szCs w:val="24"/>
        </w:rPr>
        <w:t>vých úveroch Obce k 31. 12. 2019</w:t>
      </w:r>
      <w:r>
        <w:rPr>
          <w:rFonts w:eastAsia="Times New Roman"/>
          <w:sz w:val="24"/>
          <w:szCs w:val="24"/>
        </w:rPr>
        <w:t xml:space="preserve"> s uvedením podrobných informácií je uvedený v tabuľkovej časti.</w:t>
      </w: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49" w:lineRule="exact"/>
        <w:rPr>
          <w:sz w:val="20"/>
          <w:szCs w:val="20"/>
        </w:rPr>
      </w:pPr>
    </w:p>
    <w:p w:rsidR="00622E1A" w:rsidRDefault="00EA62EF">
      <w:pPr>
        <w:ind w:right="80"/>
        <w:jc w:val="center"/>
        <w:rPr>
          <w:sz w:val="20"/>
          <w:szCs w:val="20"/>
        </w:rPr>
      </w:pPr>
      <w:r>
        <w:rPr>
          <w:rFonts w:eastAsia="Times New Roman"/>
          <w:sz w:val="24"/>
          <w:szCs w:val="24"/>
        </w:rPr>
        <w:t>5</w:t>
      </w:r>
    </w:p>
    <w:p w:rsidR="00622E1A" w:rsidRDefault="00622E1A">
      <w:pPr>
        <w:sectPr w:rsidR="00622E1A">
          <w:pgSz w:w="11900" w:h="16838"/>
          <w:pgMar w:top="932" w:right="1326" w:bottom="428" w:left="1400" w:header="0" w:footer="0" w:gutter="0"/>
          <w:cols w:space="708" w:equalWidth="0">
            <w:col w:w="9180"/>
          </w:cols>
        </w:sectPr>
      </w:pPr>
    </w:p>
    <w:p w:rsidR="00622E1A" w:rsidRDefault="00EA62EF">
      <w:pPr>
        <w:ind w:right="-39"/>
        <w:jc w:val="center"/>
        <w:rPr>
          <w:sz w:val="20"/>
          <w:szCs w:val="20"/>
        </w:rPr>
      </w:pPr>
      <w:bookmarkStart w:id="5" w:name="page6"/>
      <w:bookmarkEnd w:id="5"/>
      <w:r>
        <w:rPr>
          <w:rFonts w:eastAsia="Times New Roman"/>
          <w:sz w:val="20"/>
          <w:szCs w:val="20"/>
        </w:rPr>
        <w:lastRenderedPageBreak/>
        <w:t>Poznámky  konsolidovanej účtovnej závierk</w:t>
      </w:r>
      <w:r w:rsidR="00B4303D">
        <w:rPr>
          <w:rFonts w:eastAsia="Times New Roman"/>
          <w:sz w:val="20"/>
          <w:szCs w:val="20"/>
        </w:rPr>
        <w:t>y zostavenej k 31. decembru 2019</w:t>
      </w:r>
    </w:p>
    <w:p w:rsidR="00622E1A" w:rsidRDefault="00EA62EF">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55245</wp:posOffset>
                </wp:positionH>
                <wp:positionV relativeFrom="paragraph">
                  <wp:posOffset>19050</wp:posOffset>
                </wp:positionV>
                <wp:extent cx="579882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88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289E1CF" id="Shape 6"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35pt,1.5pt" to="460.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qOPuAEAAH8DAAAOAAAAZHJzL2Uyb0RvYy54bWysU01vEzEQvSPxHyzfyW4DpOkqmx5awqWC&#10;SIUfMLG9WQt/yWOym3/P2JukDXBC+GB5PM/P897Yq/vRGnZQEbV3Lb+Z1ZwpJ7zUbt/y798275ac&#10;YQInwXinWn5UyO/Xb9+shtCoue+9kSoyInHYDKHlfUqhqSoUvbKAMx+Uo2Tno4VEYdxXMsJA7NZU&#10;87peVIOPMkQvFCLtPk5Jvi78XadE+tp1qBIzLafaUpljmXd5rtYraPYRQq/FqQz4hyosaEeXXqge&#10;IQH7GfUfVFaL6NF3aSa8rXzXaaGKBlJzU/+m5rmHoIoWMgfDxSb8f7Tiy2EbmZYtX3DmwFKLyq1s&#10;ka0ZAjaEeHDbmMWJ0T2HJy9+IOWqq2QOMEywsYs2w0kdG4vVx4vVakxM0ObH27vlck4dEZT7cLt4&#10;n6+roDmfDRHTZ+Uty4uWG+2yEdDA4QnTBD1D8jZ6o+VGG1OCuN89mMgOQE3flHFiv4IZxwaSXd8t&#10;CvNVDl9T1GX8jcLqRK/XaNvy5QUETa9AfnKSyoQmgTbTmtQZd/JtsiqbtvPyuI1nP6nLxYbTi8zP&#10;6HVcTr/8m/UvAAAA//8DAFBLAwQUAAYACAAAACEA6Jktw9sAAAAFAQAADwAAAGRycy9kb3ducmV2&#10;LnhtbEyPwU7DMBBE70j8g7VI3KjTIqANcapSiQsIVQQkOG7iJQnE6xC7bfr3XbjAcTSjmTfZcnSd&#10;2tEQWs8GppMEFHHlbcu1gdeX+4s5qBCRLXaeycCBAizz05MMU+v3/Ey7ItZKSjikaKCJsU+1DlVD&#10;DsPE98TiffjBYRQ51NoOuJdy1+lZklxrhy3LQoM9rRuqvoqtM3BXPr6/+Q2GYlPGp8PD1fpz9d0a&#10;c342rm5BRRrjXxh+8AUdcmEq/ZZtUJ2B+Y0EDVzKIXEXs+kCVPmrdZ7p//T5EQAA//8DAFBLAQIt&#10;ABQABgAIAAAAIQC2gziS/gAAAOEBAAATAAAAAAAAAAAAAAAAAAAAAABbQ29udGVudF9UeXBlc10u&#10;eG1sUEsBAi0AFAAGAAgAAAAhADj9If/WAAAAlAEAAAsAAAAAAAAAAAAAAAAALwEAAF9yZWxzLy5y&#10;ZWxzUEsBAi0AFAAGAAgAAAAhAI4ao4+4AQAAfwMAAA4AAAAAAAAAAAAAAAAALgIAAGRycy9lMm9E&#10;b2MueG1sUEsBAi0AFAAGAAgAAAAhAOiZLcPbAAAABQEAAA8AAAAAAAAAAAAAAAAAEgQAAGRycy9k&#10;b3ducmV2LnhtbFBLBQYAAAAABAAEAPMAAAAaBQAAAAA=&#10;" o:allowincell="f" filled="t" strokeweight=".48pt">
                <v:stroke joinstyle="miter"/>
                <o:lock v:ext="edit" shapetype="f"/>
              </v:line>
            </w:pict>
          </mc:Fallback>
        </mc:AlternateContent>
      </w:r>
    </w:p>
    <w:p w:rsidR="00622E1A" w:rsidRDefault="00622E1A">
      <w:pPr>
        <w:spacing w:line="200" w:lineRule="exact"/>
        <w:rPr>
          <w:sz w:val="20"/>
          <w:szCs w:val="20"/>
        </w:rPr>
      </w:pPr>
    </w:p>
    <w:p w:rsidR="00622E1A" w:rsidRDefault="00622E1A">
      <w:pPr>
        <w:spacing w:line="362" w:lineRule="exact"/>
        <w:rPr>
          <w:sz w:val="20"/>
          <w:szCs w:val="20"/>
        </w:rPr>
      </w:pPr>
    </w:p>
    <w:p w:rsidR="00622E1A" w:rsidRDefault="00EA62EF">
      <w:pPr>
        <w:ind w:left="40"/>
        <w:rPr>
          <w:sz w:val="20"/>
          <w:szCs w:val="20"/>
        </w:rPr>
      </w:pPr>
      <w:r>
        <w:rPr>
          <w:rFonts w:eastAsia="Times New Roman"/>
          <w:b/>
          <w:bCs/>
          <w:sz w:val="24"/>
          <w:szCs w:val="24"/>
        </w:rPr>
        <w:t>INFORMÁCIE O VÝNOSOCH A NÁKLADOCH</w:t>
      </w:r>
    </w:p>
    <w:p w:rsidR="00622E1A" w:rsidRDefault="00622E1A">
      <w:pPr>
        <w:spacing w:line="271" w:lineRule="exact"/>
        <w:rPr>
          <w:sz w:val="20"/>
          <w:szCs w:val="20"/>
        </w:rPr>
      </w:pPr>
    </w:p>
    <w:p w:rsidR="00622E1A" w:rsidRDefault="00EA62EF">
      <w:pPr>
        <w:ind w:left="120"/>
        <w:rPr>
          <w:sz w:val="20"/>
          <w:szCs w:val="20"/>
        </w:rPr>
      </w:pPr>
      <w:r>
        <w:rPr>
          <w:rFonts w:eastAsia="Times New Roman"/>
          <w:sz w:val="24"/>
          <w:szCs w:val="24"/>
        </w:rPr>
        <w:t>Prehľad o daňových výnosov samosprávy:</w:t>
      </w:r>
    </w:p>
    <w:p w:rsidR="00622E1A" w:rsidRDefault="00622E1A">
      <w:pPr>
        <w:spacing w:line="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380"/>
        <w:gridCol w:w="1840"/>
        <w:gridCol w:w="2020"/>
      </w:tblGrid>
      <w:tr w:rsidR="00622E1A">
        <w:trPr>
          <w:trHeight w:val="258"/>
        </w:trPr>
        <w:tc>
          <w:tcPr>
            <w:tcW w:w="5380" w:type="dxa"/>
            <w:tcBorders>
              <w:bottom w:val="single" w:sz="8" w:space="0" w:color="auto"/>
            </w:tcBorders>
            <w:vAlign w:val="bottom"/>
          </w:tcPr>
          <w:p w:rsidR="00622E1A" w:rsidRDefault="00622E1A"/>
        </w:tc>
        <w:tc>
          <w:tcPr>
            <w:tcW w:w="1840" w:type="dxa"/>
            <w:tcBorders>
              <w:bottom w:val="single" w:sz="8" w:space="0" w:color="auto"/>
            </w:tcBorders>
            <w:vAlign w:val="bottom"/>
          </w:tcPr>
          <w:p w:rsidR="00622E1A" w:rsidRDefault="00622E1A"/>
        </w:tc>
        <w:tc>
          <w:tcPr>
            <w:tcW w:w="2020" w:type="dxa"/>
            <w:tcBorders>
              <w:bottom w:val="single" w:sz="8" w:space="0" w:color="auto"/>
            </w:tcBorders>
            <w:vAlign w:val="bottom"/>
          </w:tcPr>
          <w:p w:rsidR="00622E1A" w:rsidRDefault="00EA62EF">
            <w:pPr>
              <w:jc w:val="right"/>
              <w:rPr>
                <w:sz w:val="20"/>
                <w:szCs w:val="20"/>
              </w:rPr>
            </w:pPr>
            <w:r>
              <w:rPr>
                <w:rFonts w:eastAsia="Times New Roman"/>
                <w:i/>
                <w:iCs/>
              </w:rPr>
              <w:t>v eur</w:t>
            </w:r>
          </w:p>
        </w:tc>
      </w:tr>
      <w:tr w:rsidR="00622E1A">
        <w:trPr>
          <w:trHeight w:val="270"/>
        </w:trPr>
        <w:tc>
          <w:tcPr>
            <w:tcW w:w="5380" w:type="dxa"/>
            <w:tcBorders>
              <w:left w:val="single" w:sz="8" w:space="0" w:color="auto"/>
              <w:right w:val="single" w:sz="8" w:space="0" w:color="auto"/>
            </w:tcBorders>
            <w:vAlign w:val="bottom"/>
          </w:tcPr>
          <w:p w:rsidR="00622E1A" w:rsidRDefault="00622E1A">
            <w:pPr>
              <w:rPr>
                <w:sz w:val="23"/>
                <w:szCs w:val="23"/>
              </w:rPr>
            </w:pPr>
          </w:p>
        </w:tc>
        <w:tc>
          <w:tcPr>
            <w:tcW w:w="1840" w:type="dxa"/>
            <w:tcBorders>
              <w:bottom w:val="single" w:sz="8" w:space="0" w:color="BFBFBF"/>
              <w:right w:val="single" w:sz="8" w:space="0" w:color="auto"/>
            </w:tcBorders>
            <w:shd w:val="clear" w:color="auto" w:fill="BFBFBF"/>
            <w:vAlign w:val="bottom"/>
          </w:tcPr>
          <w:p w:rsidR="00622E1A" w:rsidRDefault="00FA3C0B">
            <w:pPr>
              <w:ind w:right="340"/>
              <w:jc w:val="right"/>
              <w:rPr>
                <w:sz w:val="20"/>
                <w:szCs w:val="20"/>
              </w:rPr>
            </w:pPr>
            <w:r>
              <w:rPr>
                <w:rFonts w:eastAsia="Times New Roman"/>
                <w:i/>
                <w:iCs/>
                <w:sz w:val="20"/>
                <w:szCs w:val="20"/>
              </w:rPr>
              <w:t>31. 12. 2019</w:t>
            </w:r>
          </w:p>
        </w:tc>
        <w:tc>
          <w:tcPr>
            <w:tcW w:w="2020" w:type="dxa"/>
            <w:tcBorders>
              <w:bottom w:val="single" w:sz="8" w:space="0" w:color="BFBFBF"/>
              <w:right w:val="single" w:sz="8" w:space="0" w:color="auto"/>
            </w:tcBorders>
            <w:shd w:val="clear" w:color="auto" w:fill="BFBFBF"/>
            <w:vAlign w:val="bottom"/>
          </w:tcPr>
          <w:p w:rsidR="00622E1A" w:rsidRDefault="00F23704">
            <w:pPr>
              <w:ind w:right="419"/>
              <w:jc w:val="right"/>
              <w:rPr>
                <w:sz w:val="20"/>
                <w:szCs w:val="20"/>
              </w:rPr>
            </w:pPr>
            <w:r>
              <w:rPr>
                <w:rFonts w:eastAsia="Times New Roman"/>
                <w:i/>
                <w:iCs/>
                <w:sz w:val="20"/>
                <w:szCs w:val="20"/>
              </w:rPr>
              <w:t>31. 12. 2018</w:t>
            </w:r>
          </w:p>
        </w:tc>
      </w:tr>
      <w:tr w:rsidR="00622E1A">
        <w:trPr>
          <w:trHeight w:val="216"/>
        </w:trPr>
        <w:tc>
          <w:tcPr>
            <w:tcW w:w="5380" w:type="dxa"/>
            <w:tcBorders>
              <w:top w:val="single" w:sz="8" w:space="0" w:color="auto"/>
              <w:left w:val="single" w:sz="8" w:space="0" w:color="auto"/>
              <w:bottom w:val="single" w:sz="8" w:space="0" w:color="auto"/>
              <w:right w:val="single" w:sz="8" w:space="0" w:color="auto"/>
            </w:tcBorders>
            <w:vAlign w:val="bottom"/>
          </w:tcPr>
          <w:p w:rsidR="00622E1A" w:rsidRDefault="00EA62EF">
            <w:pPr>
              <w:spacing w:line="216" w:lineRule="exact"/>
              <w:ind w:left="120"/>
              <w:rPr>
                <w:sz w:val="20"/>
                <w:szCs w:val="20"/>
              </w:rPr>
            </w:pPr>
            <w:r>
              <w:rPr>
                <w:rFonts w:eastAsia="Times New Roman"/>
                <w:sz w:val="20"/>
                <w:szCs w:val="20"/>
              </w:rPr>
              <w:t>Poukázaný podiel na dani z príjmov zo štátneho rozpočtu</w:t>
            </w:r>
          </w:p>
        </w:tc>
        <w:tc>
          <w:tcPr>
            <w:tcW w:w="1840" w:type="dxa"/>
            <w:tcBorders>
              <w:top w:val="single" w:sz="8" w:space="0" w:color="auto"/>
              <w:bottom w:val="single" w:sz="8" w:space="0" w:color="auto"/>
              <w:right w:val="single" w:sz="8" w:space="0" w:color="auto"/>
            </w:tcBorders>
            <w:vAlign w:val="bottom"/>
          </w:tcPr>
          <w:p w:rsidR="00622E1A" w:rsidRDefault="00FA3C0B">
            <w:pPr>
              <w:spacing w:line="216" w:lineRule="exact"/>
              <w:ind w:right="20"/>
              <w:jc w:val="right"/>
              <w:rPr>
                <w:sz w:val="20"/>
                <w:szCs w:val="20"/>
              </w:rPr>
            </w:pPr>
            <w:r>
              <w:rPr>
                <w:rFonts w:eastAsia="Times New Roman"/>
                <w:sz w:val="20"/>
                <w:szCs w:val="20"/>
              </w:rPr>
              <w:t>499.476,08</w:t>
            </w:r>
          </w:p>
        </w:tc>
        <w:tc>
          <w:tcPr>
            <w:tcW w:w="2020" w:type="dxa"/>
            <w:tcBorders>
              <w:top w:val="single" w:sz="8" w:space="0" w:color="auto"/>
              <w:bottom w:val="single" w:sz="8" w:space="0" w:color="auto"/>
              <w:right w:val="single" w:sz="8" w:space="0" w:color="auto"/>
            </w:tcBorders>
            <w:vAlign w:val="bottom"/>
          </w:tcPr>
          <w:p w:rsidR="00622E1A" w:rsidRDefault="00F23704">
            <w:pPr>
              <w:spacing w:line="216" w:lineRule="exact"/>
              <w:ind w:right="19"/>
              <w:jc w:val="right"/>
              <w:rPr>
                <w:sz w:val="20"/>
                <w:szCs w:val="20"/>
              </w:rPr>
            </w:pPr>
            <w:r>
              <w:rPr>
                <w:rFonts w:eastAsia="Times New Roman"/>
                <w:sz w:val="20"/>
                <w:szCs w:val="20"/>
              </w:rPr>
              <w:t>467.997,96</w:t>
            </w:r>
          </w:p>
        </w:tc>
      </w:tr>
      <w:tr w:rsidR="00622E1A">
        <w:trPr>
          <w:trHeight w:val="220"/>
        </w:trPr>
        <w:tc>
          <w:tcPr>
            <w:tcW w:w="5380" w:type="dxa"/>
            <w:tcBorders>
              <w:left w:val="single" w:sz="8" w:space="0" w:color="auto"/>
              <w:bottom w:val="single" w:sz="8" w:space="0" w:color="auto"/>
              <w:right w:val="single" w:sz="8" w:space="0" w:color="auto"/>
            </w:tcBorders>
            <w:vAlign w:val="bottom"/>
          </w:tcPr>
          <w:p w:rsidR="00622E1A" w:rsidRDefault="00EA62EF">
            <w:pPr>
              <w:spacing w:line="219" w:lineRule="exact"/>
              <w:ind w:left="120"/>
              <w:rPr>
                <w:sz w:val="20"/>
                <w:szCs w:val="20"/>
              </w:rPr>
            </w:pPr>
            <w:r>
              <w:rPr>
                <w:rFonts w:eastAsia="Times New Roman"/>
                <w:sz w:val="20"/>
                <w:szCs w:val="20"/>
              </w:rPr>
              <w:t>Daň z nehnuteľnosti</w:t>
            </w:r>
          </w:p>
        </w:tc>
        <w:tc>
          <w:tcPr>
            <w:tcW w:w="1840" w:type="dxa"/>
            <w:tcBorders>
              <w:bottom w:val="single" w:sz="8" w:space="0" w:color="auto"/>
              <w:right w:val="single" w:sz="8" w:space="0" w:color="auto"/>
            </w:tcBorders>
            <w:vAlign w:val="bottom"/>
          </w:tcPr>
          <w:p w:rsidR="00622E1A" w:rsidRDefault="00FA3C0B">
            <w:pPr>
              <w:spacing w:line="219" w:lineRule="exact"/>
              <w:ind w:right="20"/>
              <w:jc w:val="right"/>
              <w:rPr>
                <w:sz w:val="20"/>
                <w:szCs w:val="20"/>
              </w:rPr>
            </w:pPr>
            <w:r>
              <w:rPr>
                <w:rFonts w:eastAsia="Times New Roman"/>
                <w:sz w:val="20"/>
                <w:szCs w:val="20"/>
              </w:rPr>
              <w:t>12.393,40</w:t>
            </w:r>
          </w:p>
        </w:tc>
        <w:tc>
          <w:tcPr>
            <w:tcW w:w="2020" w:type="dxa"/>
            <w:tcBorders>
              <w:bottom w:val="single" w:sz="8" w:space="0" w:color="auto"/>
              <w:right w:val="single" w:sz="8" w:space="0" w:color="auto"/>
            </w:tcBorders>
            <w:vAlign w:val="bottom"/>
          </w:tcPr>
          <w:p w:rsidR="00622E1A" w:rsidRDefault="00F23704">
            <w:pPr>
              <w:spacing w:line="219" w:lineRule="exact"/>
              <w:ind w:right="19"/>
              <w:jc w:val="right"/>
              <w:rPr>
                <w:sz w:val="20"/>
                <w:szCs w:val="20"/>
              </w:rPr>
            </w:pPr>
            <w:r>
              <w:rPr>
                <w:rFonts w:eastAsia="Times New Roman"/>
                <w:sz w:val="20"/>
                <w:szCs w:val="20"/>
              </w:rPr>
              <w:t>16.054,99</w:t>
            </w:r>
          </w:p>
        </w:tc>
      </w:tr>
      <w:tr w:rsidR="00622E1A">
        <w:trPr>
          <w:trHeight w:val="220"/>
        </w:trPr>
        <w:tc>
          <w:tcPr>
            <w:tcW w:w="5380" w:type="dxa"/>
            <w:tcBorders>
              <w:left w:val="single" w:sz="8" w:space="0" w:color="auto"/>
              <w:bottom w:val="single" w:sz="8" w:space="0" w:color="auto"/>
              <w:right w:val="single" w:sz="8" w:space="0" w:color="auto"/>
            </w:tcBorders>
            <w:vAlign w:val="bottom"/>
          </w:tcPr>
          <w:p w:rsidR="00622E1A" w:rsidRDefault="00EA62EF">
            <w:pPr>
              <w:spacing w:line="219" w:lineRule="exact"/>
              <w:ind w:left="120"/>
              <w:rPr>
                <w:sz w:val="20"/>
                <w:szCs w:val="20"/>
              </w:rPr>
            </w:pPr>
            <w:r>
              <w:rPr>
                <w:rFonts w:eastAsia="Times New Roman"/>
                <w:sz w:val="20"/>
                <w:szCs w:val="20"/>
              </w:rPr>
              <w:t>Dane za špecifické služby - za psa</w:t>
            </w:r>
          </w:p>
        </w:tc>
        <w:tc>
          <w:tcPr>
            <w:tcW w:w="1840" w:type="dxa"/>
            <w:tcBorders>
              <w:bottom w:val="single" w:sz="8" w:space="0" w:color="auto"/>
              <w:right w:val="single" w:sz="8" w:space="0" w:color="auto"/>
            </w:tcBorders>
            <w:vAlign w:val="bottom"/>
          </w:tcPr>
          <w:p w:rsidR="00622E1A" w:rsidRDefault="00FA3C0B">
            <w:pPr>
              <w:spacing w:line="219" w:lineRule="exact"/>
              <w:ind w:right="20"/>
              <w:jc w:val="right"/>
              <w:rPr>
                <w:sz w:val="20"/>
                <w:szCs w:val="20"/>
              </w:rPr>
            </w:pPr>
            <w:r>
              <w:rPr>
                <w:rFonts w:eastAsia="Times New Roman"/>
                <w:sz w:val="20"/>
                <w:szCs w:val="20"/>
              </w:rPr>
              <w:t>285,00</w:t>
            </w:r>
          </w:p>
        </w:tc>
        <w:tc>
          <w:tcPr>
            <w:tcW w:w="2020" w:type="dxa"/>
            <w:tcBorders>
              <w:bottom w:val="single" w:sz="8" w:space="0" w:color="auto"/>
              <w:right w:val="single" w:sz="8" w:space="0" w:color="auto"/>
            </w:tcBorders>
            <w:vAlign w:val="bottom"/>
          </w:tcPr>
          <w:p w:rsidR="00622E1A" w:rsidRDefault="00F23704">
            <w:pPr>
              <w:spacing w:line="219" w:lineRule="exact"/>
              <w:ind w:right="19"/>
              <w:jc w:val="right"/>
              <w:rPr>
                <w:sz w:val="20"/>
                <w:szCs w:val="20"/>
              </w:rPr>
            </w:pPr>
            <w:r>
              <w:rPr>
                <w:rFonts w:eastAsia="Times New Roman"/>
                <w:sz w:val="20"/>
                <w:szCs w:val="20"/>
              </w:rPr>
              <w:t>276,30</w:t>
            </w:r>
          </w:p>
        </w:tc>
      </w:tr>
      <w:tr w:rsidR="00622E1A">
        <w:trPr>
          <w:trHeight w:val="220"/>
        </w:trPr>
        <w:tc>
          <w:tcPr>
            <w:tcW w:w="5380" w:type="dxa"/>
            <w:tcBorders>
              <w:left w:val="single" w:sz="8" w:space="0" w:color="auto"/>
              <w:bottom w:val="single" w:sz="8" w:space="0" w:color="auto"/>
              <w:right w:val="single" w:sz="8" w:space="0" w:color="auto"/>
            </w:tcBorders>
            <w:vAlign w:val="bottom"/>
          </w:tcPr>
          <w:p w:rsidR="00622E1A" w:rsidRDefault="00EA62EF">
            <w:pPr>
              <w:spacing w:line="219" w:lineRule="exact"/>
              <w:ind w:left="120"/>
              <w:rPr>
                <w:sz w:val="20"/>
                <w:szCs w:val="20"/>
              </w:rPr>
            </w:pPr>
            <w:r>
              <w:rPr>
                <w:rFonts w:eastAsia="Times New Roman"/>
                <w:sz w:val="20"/>
                <w:szCs w:val="20"/>
              </w:rPr>
              <w:t>Dane za špecifické služby – poplatok za TDO</w:t>
            </w:r>
          </w:p>
        </w:tc>
        <w:tc>
          <w:tcPr>
            <w:tcW w:w="1840" w:type="dxa"/>
            <w:tcBorders>
              <w:bottom w:val="single" w:sz="8" w:space="0" w:color="auto"/>
              <w:right w:val="single" w:sz="8" w:space="0" w:color="auto"/>
            </w:tcBorders>
            <w:vAlign w:val="bottom"/>
          </w:tcPr>
          <w:p w:rsidR="00622E1A" w:rsidRDefault="00FA3C0B">
            <w:pPr>
              <w:spacing w:line="219" w:lineRule="exact"/>
              <w:ind w:right="20"/>
              <w:jc w:val="right"/>
              <w:rPr>
                <w:sz w:val="20"/>
                <w:szCs w:val="20"/>
              </w:rPr>
            </w:pPr>
            <w:r>
              <w:rPr>
                <w:rFonts w:eastAsia="Times New Roman"/>
                <w:sz w:val="20"/>
                <w:szCs w:val="20"/>
              </w:rPr>
              <w:t>7.122,68.</w:t>
            </w:r>
          </w:p>
        </w:tc>
        <w:tc>
          <w:tcPr>
            <w:tcW w:w="2020" w:type="dxa"/>
            <w:tcBorders>
              <w:bottom w:val="single" w:sz="8" w:space="0" w:color="auto"/>
              <w:right w:val="single" w:sz="8" w:space="0" w:color="auto"/>
            </w:tcBorders>
            <w:vAlign w:val="bottom"/>
          </w:tcPr>
          <w:p w:rsidR="00622E1A" w:rsidRDefault="00F23704">
            <w:pPr>
              <w:spacing w:line="219" w:lineRule="exact"/>
              <w:ind w:right="19"/>
              <w:jc w:val="right"/>
              <w:rPr>
                <w:sz w:val="20"/>
                <w:szCs w:val="20"/>
              </w:rPr>
            </w:pPr>
            <w:r>
              <w:rPr>
                <w:rFonts w:eastAsia="Times New Roman"/>
                <w:sz w:val="20"/>
                <w:szCs w:val="20"/>
              </w:rPr>
              <w:t>7.877,24</w:t>
            </w:r>
          </w:p>
        </w:tc>
      </w:tr>
      <w:tr w:rsidR="00622E1A">
        <w:trPr>
          <w:trHeight w:val="220"/>
        </w:trPr>
        <w:tc>
          <w:tcPr>
            <w:tcW w:w="5380" w:type="dxa"/>
            <w:tcBorders>
              <w:left w:val="single" w:sz="8" w:space="0" w:color="auto"/>
              <w:bottom w:val="single" w:sz="8" w:space="0" w:color="auto"/>
              <w:right w:val="single" w:sz="8" w:space="0" w:color="auto"/>
            </w:tcBorders>
            <w:vAlign w:val="bottom"/>
          </w:tcPr>
          <w:p w:rsidR="00622E1A" w:rsidRDefault="00EA62EF">
            <w:pPr>
              <w:spacing w:line="219" w:lineRule="exact"/>
              <w:ind w:left="120"/>
              <w:rPr>
                <w:sz w:val="20"/>
                <w:szCs w:val="20"/>
              </w:rPr>
            </w:pPr>
            <w:r>
              <w:rPr>
                <w:rFonts w:eastAsia="Times New Roman"/>
                <w:sz w:val="20"/>
                <w:szCs w:val="20"/>
              </w:rPr>
              <w:t>Dane za špecifické služby - za užívania verejného priestranstva</w:t>
            </w:r>
          </w:p>
        </w:tc>
        <w:tc>
          <w:tcPr>
            <w:tcW w:w="1840" w:type="dxa"/>
            <w:tcBorders>
              <w:bottom w:val="single" w:sz="8" w:space="0" w:color="auto"/>
              <w:right w:val="single" w:sz="8" w:space="0" w:color="auto"/>
            </w:tcBorders>
            <w:vAlign w:val="bottom"/>
          </w:tcPr>
          <w:p w:rsidR="00622E1A" w:rsidRDefault="00FA3C0B">
            <w:pPr>
              <w:spacing w:line="219" w:lineRule="exact"/>
              <w:ind w:right="20"/>
              <w:jc w:val="right"/>
              <w:rPr>
                <w:sz w:val="20"/>
                <w:szCs w:val="20"/>
              </w:rPr>
            </w:pPr>
            <w:r>
              <w:rPr>
                <w:rFonts w:eastAsia="Times New Roman"/>
                <w:sz w:val="20"/>
                <w:szCs w:val="20"/>
              </w:rPr>
              <w:t>80</w:t>
            </w:r>
          </w:p>
        </w:tc>
        <w:tc>
          <w:tcPr>
            <w:tcW w:w="2020" w:type="dxa"/>
            <w:tcBorders>
              <w:bottom w:val="single" w:sz="8" w:space="0" w:color="auto"/>
              <w:right w:val="single" w:sz="8" w:space="0" w:color="auto"/>
            </w:tcBorders>
            <w:vAlign w:val="bottom"/>
          </w:tcPr>
          <w:p w:rsidR="00622E1A" w:rsidRDefault="00F23704">
            <w:pPr>
              <w:spacing w:line="219" w:lineRule="exact"/>
              <w:ind w:right="19"/>
              <w:jc w:val="right"/>
              <w:rPr>
                <w:sz w:val="20"/>
                <w:szCs w:val="20"/>
              </w:rPr>
            </w:pPr>
            <w:r>
              <w:rPr>
                <w:rFonts w:eastAsia="Times New Roman"/>
                <w:sz w:val="20"/>
                <w:szCs w:val="20"/>
              </w:rPr>
              <w:t>76</w:t>
            </w:r>
          </w:p>
        </w:tc>
      </w:tr>
      <w:tr w:rsidR="00622E1A">
        <w:trPr>
          <w:trHeight w:val="222"/>
        </w:trPr>
        <w:tc>
          <w:tcPr>
            <w:tcW w:w="5380" w:type="dxa"/>
            <w:tcBorders>
              <w:left w:val="single" w:sz="8" w:space="0" w:color="auto"/>
              <w:bottom w:val="single" w:sz="8" w:space="0" w:color="auto"/>
              <w:right w:val="single" w:sz="8" w:space="0" w:color="auto"/>
            </w:tcBorders>
            <w:vAlign w:val="bottom"/>
          </w:tcPr>
          <w:p w:rsidR="00622E1A" w:rsidRDefault="00EA62EF">
            <w:pPr>
              <w:spacing w:line="221" w:lineRule="exact"/>
              <w:ind w:left="120"/>
              <w:rPr>
                <w:sz w:val="20"/>
                <w:szCs w:val="20"/>
              </w:rPr>
            </w:pPr>
            <w:r>
              <w:rPr>
                <w:rFonts w:eastAsia="Times New Roman"/>
                <w:b/>
                <w:bCs/>
                <w:sz w:val="20"/>
                <w:szCs w:val="20"/>
              </w:rPr>
              <w:t>Daňové výnosy samosprávy spolu</w:t>
            </w:r>
          </w:p>
        </w:tc>
        <w:tc>
          <w:tcPr>
            <w:tcW w:w="1840" w:type="dxa"/>
            <w:tcBorders>
              <w:bottom w:val="single" w:sz="8" w:space="0" w:color="auto"/>
              <w:right w:val="single" w:sz="8" w:space="0" w:color="auto"/>
            </w:tcBorders>
            <w:vAlign w:val="bottom"/>
          </w:tcPr>
          <w:p w:rsidR="00622E1A" w:rsidRDefault="00D84FE3">
            <w:pPr>
              <w:spacing w:line="221" w:lineRule="exact"/>
              <w:ind w:right="20"/>
              <w:jc w:val="right"/>
              <w:rPr>
                <w:sz w:val="20"/>
                <w:szCs w:val="20"/>
              </w:rPr>
            </w:pPr>
            <w:r>
              <w:rPr>
                <w:rFonts w:eastAsia="Times New Roman"/>
                <w:b/>
                <w:bCs/>
                <w:sz w:val="20"/>
                <w:szCs w:val="20"/>
              </w:rPr>
              <w:t>519</w:t>
            </w:r>
            <w:r w:rsidR="00FA3C0B">
              <w:rPr>
                <w:rFonts w:eastAsia="Times New Roman"/>
                <w:b/>
                <w:bCs/>
                <w:sz w:val="20"/>
                <w:szCs w:val="20"/>
              </w:rPr>
              <w:t>.397,16</w:t>
            </w:r>
          </w:p>
        </w:tc>
        <w:tc>
          <w:tcPr>
            <w:tcW w:w="2020" w:type="dxa"/>
            <w:tcBorders>
              <w:bottom w:val="single" w:sz="8" w:space="0" w:color="auto"/>
              <w:right w:val="single" w:sz="8" w:space="0" w:color="auto"/>
            </w:tcBorders>
            <w:vAlign w:val="bottom"/>
          </w:tcPr>
          <w:p w:rsidR="00622E1A" w:rsidRDefault="00F23704">
            <w:pPr>
              <w:spacing w:line="221" w:lineRule="exact"/>
              <w:ind w:right="19"/>
              <w:jc w:val="right"/>
              <w:rPr>
                <w:sz w:val="20"/>
                <w:szCs w:val="20"/>
              </w:rPr>
            </w:pPr>
            <w:r>
              <w:rPr>
                <w:rFonts w:eastAsia="Times New Roman"/>
                <w:b/>
                <w:bCs/>
                <w:sz w:val="20"/>
                <w:szCs w:val="20"/>
              </w:rPr>
              <w:t>492.282,49</w:t>
            </w:r>
          </w:p>
        </w:tc>
      </w:tr>
    </w:tbl>
    <w:p w:rsidR="00622E1A" w:rsidRDefault="00622E1A">
      <w:pPr>
        <w:spacing w:line="244" w:lineRule="exact"/>
        <w:rPr>
          <w:sz w:val="20"/>
          <w:szCs w:val="20"/>
        </w:rPr>
      </w:pPr>
    </w:p>
    <w:p w:rsidR="00622E1A" w:rsidRDefault="00EA62EF">
      <w:pPr>
        <w:ind w:left="120"/>
        <w:rPr>
          <w:sz w:val="20"/>
          <w:szCs w:val="20"/>
        </w:rPr>
      </w:pPr>
      <w:r>
        <w:rPr>
          <w:rFonts w:eastAsia="Times New Roman"/>
        </w:rPr>
        <w:t>Ďalšie podrobnejšie informácie k nákladom a výnosom sú uvedené v tabuľkovej časti</w:t>
      </w:r>
    </w:p>
    <w:p w:rsidR="00622E1A" w:rsidRDefault="00622E1A">
      <w:pPr>
        <w:spacing w:line="200" w:lineRule="exact"/>
        <w:rPr>
          <w:sz w:val="20"/>
          <w:szCs w:val="20"/>
        </w:rPr>
      </w:pPr>
    </w:p>
    <w:p w:rsidR="00622E1A" w:rsidRDefault="00622E1A">
      <w:pPr>
        <w:spacing w:line="304" w:lineRule="exact"/>
        <w:rPr>
          <w:sz w:val="20"/>
          <w:szCs w:val="20"/>
        </w:rPr>
      </w:pPr>
    </w:p>
    <w:p w:rsidR="00622E1A" w:rsidRDefault="00EA62EF">
      <w:pPr>
        <w:ind w:left="40"/>
        <w:rPr>
          <w:rFonts w:eastAsia="Times New Roman"/>
          <w:sz w:val="24"/>
          <w:szCs w:val="24"/>
        </w:rPr>
      </w:pPr>
      <w:r>
        <w:rPr>
          <w:rFonts w:eastAsia="Times New Roman"/>
          <w:b/>
          <w:bCs/>
          <w:sz w:val="24"/>
          <w:szCs w:val="24"/>
        </w:rPr>
        <w:t xml:space="preserve">PREHĽAD O INÝCH AKTÍVACH A INÝCH PASÍVACH – </w:t>
      </w:r>
      <w:r>
        <w:rPr>
          <w:rFonts w:eastAsia="Times New Roman"/>
          <w:sz w:val="24"/>
          <w:szCs w:val="24"/>
        </w:rPr>
        <w:t>tabuľka č. 23</w:t>
      </w:r>
    </w:p>
    <w:p w:rsidR="00974BA8" w:rsidRDefault="00974BA8">
      <w:pPr>
        <w:ind w:left="40"/>
        <w:rPr>
          <w:sz w:val="20"/>
          <w:szCs w:val="20"/>
        </w:rPr>
      </w:pPr>
    </w:p>
    <w:p w:rsidR="00974BA8" w:rsidRPr="00974BA8" w:rsidRDefault="00974BA8" w:rsidP="00974BA8">
      <w:pPr>
        <w:spacing w:line="277" w:lineRule="exact"/>
        <w:rPr>
          <w:sz w:val="20"/>
          <w:szCs w:val="20"/>
        </w:rPr>
      </w:pPr>
    </w:p>
    <w:p w:rsidR="00974BA8" w:rsidRDefault="00974BA8" w:rsidP="00974BA8">
      <w:pPr>
        <w:spacing w:line="121" w:lineRule="exact"/>
        <w:rPr>
          <w:sz w:val="20"/>
          <w:szCs w:val="20"/>
        </w:rPr>
      </w:pPr>
    </w:p>
    <w:p w:rsidR="00974BA8" w:rsidRDefault="00974BA8" w:rsidP="00974BA8">
      <w:pPr>
        <w:numPr>
          <w:ilvl w:val="0"/>
          <w:numId w:val="9"/>
        </w:numPr>
        <w:tabs>
          <w:tab w:val="left" w:pos="820"/>
        </w:tabs>
        <w:ind w:left="820" w:hanging="344"/>
        <w:rPr>
          <w:rFonts w:ascii="Symbol" w:eastAsia="Symbol" w:hAnsi="Symbol" w:cs="Symbol"/>
          <w:sz w:val="24"/>
          <w:szCs w:val="24"/>
        </w:rPr>
      </w:pPr>
      <w:r>
        <w:rPr>
          <w:rFonts w:eastAsia="Times New Roman"/>
          <w:sz w:val="24"/>
          <w:szCs w:val="24"/>
        </w:rPr>
        <w:t>PPA  Bratislava  –  Zmluva  o poskytnutí  NFP  s predmetom  projektu  Realizácia</w:t>
      </w:r>
    </w:p>
    <w:tbl>
      <w:tblPr>
        <w:tblW w:w="0" w:type="auto"/>
        <w:tblInd w:w="840" w:type="dxa"/>
        <w:tblLayout w:type="fixed"/>
        <w:tblCellMar>
          <w:left w:w="0" w:type="dxa"/>
          <w:right w:w="0" w:type="dxa"/>
        </w:tblCellMar>
        <w:tblLook w:val="04A0" w:firstRow="1" w:lastRow="0" w:firstColumn="1" w:lastColumn="0" w:noHBand="0" w:noVBand="1"/>
      </w:tblPr>
      <w:tblGrid>
        <w:gridCol w:w="5800"/>
        <w:gridCol w:w="2500"/>
      </w:tblGrid>
      <w:tr w:rsidR="00974BA8" w:rsidTr="005A1CA4">
        <w:trPr>
          <w:trHeight w:val="274"/>
        </w:trPr>
        <w:tc>
          <w:tcPr>
            <w:tcW w:w="5800" w:type="dxa"/>
            <w:vAlign w:val="bottom"/>
          </w:tcPr>
          <w:p w:rsidR="00974BA8" w:rsidRDefault="00974BA8" w:rsidP="005A1CA4">
            <w:pPr>
              <w:spacing w:line="273" w:lineRule="exact"/>
              <w:rPr>
                <w:sz w:val="20"/>
                <w:szCs w:val="20"/>
              </w:rPr>
            </w:pPr>
            <w:r>
              <w:rPr>
                <w:rFonts w:eastAsia="Times New Roman"/>
                <w:sz w:val="24"/>
                <w:szCs w:val="24"/>
              </w:rPr>
              <w:t>programu spoločných opatrení v obci Jablonov.</w:t>
            </w:r>
          </w:p>
        </w:tc>
        <w:tc>
          <w:tcPr>
            <w:tcW w:w="2500" w:type="dxa"/>
            <w:vAlign w:val="bottom"/>
          </w:tcPr>
          <w:p w:rsidR="00974BA8" w:rsidRDefault="00974BA8" w:rsidP="005A1CA4">
            <w:pPr>
              <w:spacing w:line="273" w:lineRule="exact"/>
              <w:ind w:left="1240"/>
              <w:rPr>
                <w:sz w:val="20"/>
                <w:szCs w:val="20"/>
              </w:rPr>
            </w:pPr>
            <w:r>
              <w:rPr>
                <w:rFonts w:eastAsia="Times New Roman"/>
                <w:w w:val="98"/>
                <w:sz w:val="24"/>
                <w:szCs w:val="24"/>
              </w:rPr>
              <w:t>813.552,34 €</w:t>
            </w:r>
          </w:p>
        </w:tc>
      </w:tr>
    </w:tbl>
    <w:p w:rsidR="00974BA8" w:rsidRDefault="00974BA8">
      <w:pPr>
        <w:ind w:left="40"/>
        <w:rPr>
          <w:sz w:val="20"/>
          <w:szCs w:val="20"/>
        </w:rPr>
      </w:pPr>
    </w:p>
    <w:p w:rsidR="00622E1A" w:rsidRPr="00974BA8" w:rsidRDefault="00622E1A" w:rsidP="00974BA8">
      <w:pPr>
        <w:spacing w:line="277" w:lineRule="exact"/>
        <w:rPr>
          <w:sz w:val="20"/>
          <w:szCs w:val="20"/>
        </w:rPr>
      </w:pPr>
    </w:p>
    <w:p w:rsidR="00622E1A" w:rsidRDefault="00622E1A">
      <w:pPr>
        <w:spacing w:line="121" w:lineRule="exact"/>
        <w:rPr>
          <w:sz w:val="20"/>
          <w:szCs w:val="20"/>
        </w:rPr>
      </w:pPr>
    </w:p>
    <w:p w:rsidR="00622E1A" w:rsidRPr="00974BA8" w:rsidRDefault="00974BA8">
      <w:pPr>
        <w:numPr>
          <w:ilvl w:val="0"/>
          <w:numId w:val="9"/>
        </w:numPr>
        <w:tabs>
          <w:tab w:val="left" w:pos="820"/>
        </w:tabs>
        <w:ind w:left="820" w:hanging="344"/>
        <w:rPr>
          <w:rFonts w:ascii="Symbol" w:eastAsia="Symbol" w:hAnsi="Symbol" w:cs="Symbol"/>
          <w:sz w:val="24"/>
          <w:szCs w:val="24"/>
        </w:rPr>
      </w:pPr>
      <w:r>
        <w:rPr>
          <w:rFonts w:eastAsia="Times New Roman"/>
          <w:sz w:val="24"/>
          <w:szCs w:val="24"/>
        </w:rPr>
        <w:t>ÚPSVaR v Poprade</w:t>
      </w:r>
      <w:r w:rsidR="00EA62EF">
        <w:rPr>
          <w:rFonts w:eastAsia="Times New Roman"/>
          <w:sz w:val="24"/>
          <w:szCs w:val="24"/>
        </w:rPr>
        <w:t xml:space="preserve">  –  </w:t>
      </w:r>
      <w:r>
        <w:rPr>
          <w:rFonts w:eastAsia="Times New Roman"/>
          <w:sz w:val="24"/>
          <w:szCs w:val="24"/>
        </w:rPr>
        <w:t xml:space="preserve">Dohoda o poskytnutí nenávratného finančného príspevku na podporu vyvárania pracovných miest projekt Cesta na trh práce 2 par. 54 zákona </w:t>
      </w:r>
    </w:p>
    <w:p w:rsidR="00974BA8" w:rsidRDefault="00974BA8" w:rsidP="00974BA8">
      <w:pPr>
        <w:tabs>
          <w:tab w:val="left" w:pos="820"/>
        </w:tabs>
        <w:ind w:left="820"/>
        <w:rPr>
          <w:rFonts w:ascii="Symbol" w:eastAsia="Symbol" w:hAnsi="Symbol" w:cs="Symbol"/>
          <w:sz w:val="24"/>
          <w:szCs w:val="24"/>
        </w:rPr>
      </w:pPr>
      <w:r>
        <w:rPr>
          <w:rFonts w:eastAsia="Times New Roman"/>
          <w:sz w:val="24"/>
          <w:szCs w:val="24"/>
        </w:rPr>
        <w:t xml:space="preserve">o zamestnanosti </w:t>
      </w:r>
      <w:r w:rsidR="00C228DF">
        <w:rPr>
          <w:rFonts w:eastAsia="Times New Roman"/>
          <w:sz w:val="24"/>
          <w:szCs w:val="24"/>
        </w:rPr>
        <w:t xml:space="preserve">                                                                                              1,406,08 </w:t>
      </w:r>
      <w:r w:rsidR="00C228DF">
        <w:rPr>
          <w:rFonts w:eastAsia="Times New Roman"/>
          <w:w w:val="98"/>
          <w:sz w:val="24"/>
          <w:szCs w:val="24"/>
        </w:rPr>
        <w:t>€</w:t>
      </w:r>
      <w:r w:rsidR="00C228DF">
        <w:rPr>
          <w:rFonts w:eastAsia="Times New Roman"/>
          <w:sz w:val="24"/>
          <w:szCs w:val="24"/>
        </w:rPr>
        <w:t xml:space="preserve"> </w:t>
      </w:r>
    </w:p>
    <w:tbl>
      <w:tblPr>
        <w:tblW w:w="10800" w:type="dxa"/>
        <w:tblInd w:w="840" w:type="dxa"/>
        <w:tblLayout w:type="fixed"/>
        <w:tblCellMar>
          <w:left w:w="0" w:type="dxa"/>
          <w:right w:w="0" w:type="dxa"/>
        </w:tblCellMar>
        <w:tblLook w:val="04A0" w:firstRow="1" w:lastRow="0" w:firstColumn="1" w:lastColumn="0" w:noHBand="0" w:noVBand="1"/>
      </w:tblPr>
      <w:tblGrid>
        <w:gridCol w:w="5800"/>
        <w:gridCol w:w="2500"/>
        <w:gridCol w:w="2500"/>
      </w:tblGrid>
      <w:tr w:rsidR="00974BA8" w:rsidTr="00C228DF">
        <w:trPr>
          <w:trHeight w:val="274"/>
        </w:trPr>
        <w:tc>
          <w:tcPr>
            <w:tcW w:w="5800" w:type="dxa"/>
            <w:vAlign w:val="bottom"/>
          </w:tcPr>
          <w:p w:rsidR="00974BA8" w:rsidRDefault="00974BA8">
            <w:pPr>
              <w:spacing w:line="273" w:lineRule="exact"/>
              <w:rPr>
                <w:sz w:val="20"/>
                <w:szCs w:val="20"/>
              </w:rPr>
            </w:pPr>
          </w:p>
        </w:tc>
        <w:tc>
          <w:tcPr>
            <w:tcW w:w="2500" w:type="dxa"/>
          </w:tcPr>
          <w:p w:rsidR="00974BA8" w:rsidRDefault="00974BA8">
            <w:pPr>
              <w:spacing w:line="273" w:lineRule="exact"/>
              <w:ind w:left="1240"/>
              <w:rPr>
                <w:rFonts w:eastAsia="Times New Roman"/>
                <w:w w:val="98"/>
                <w:sz w:val="24"/>
                <w:szCs w:val="24"/>
              </w:rPr>
            </w:pPr>
          </w:p>
        </w:tc>
        <w:tc>
          <w:tcPr>
            <w:tcW w:w="2500" w:type="dxa"/>
            <w:vAlign w:val="bottom"/>
          </w:tcPr>
          <w:p w:rsidR="00974BA8" w:rsidRDefault="00974BA8">
            <w:pPr>
              <w:spacing w:line="273" w:lineRule="exact"/>
              <w:ind w:left="1240"/>
              <w:rPr>
                <w:sz w:val="20"/>
                <w:szCs w:val="20"/>
              </w:rPr>
            </w:pPr>
            <w:r>
              <w:rPr>
                <w:rFonts w:eastAsia="Times New Roman"/>
                <w:w w:val="98"/>
                <w:sz w:val="24"/>
                <w:szCs w:val="24"/>
              </w:rPr>
              <w:t>1.406,08 €</w:t>
            </w:r>
          </w:p>
        </w:tc>
      </w:tr>
      <w:tr w:rsidR="00974BA8" w:rsidTr="00C228DF">
        <w:trPr>
          <w:trHeight w:val="274"/>
        </w:trPr>
        <w:tc>
          <w:tcPr>
            <w:tcW w:w="5800" w:type="dxa"/>
            <w:vAlign w:val="bottom"/>
          </w:tcPr>
          <w:p w:rsidR="00974BA8" w:rsidRDefault="00974BA8">
            <w:pPr>
              <w:spacing w:line="273" w:lineRule="exact"/>
              <w:rPr>
                <w:rFonts w:eastAsia="Times New Roman"/>
                <w:sz w:val="24"/>
                <w:szCs w:val="24"/>
              </w:rPr>
            </w:pPr>
          </w:p>
        </w:tc>
        <w:tc>
          <w:tcPr>
            <w:tcW w:w="2500" w:type="dxa"/>
          </w:tcPr>
          <w:p w:rsidR="00974BA8" w:rsidRDefault="00974BA8">
            <w:pPr>
              <w:spacing w:line="273" w:lineRule="exact"/>
              <w:ind w:left="1240"/>
              <w:rPr>
                <w:rFonts w:eastAsia="Times New Roman"/>
                <w:w w:val="98"/>
                <w:sz w:val="24"/>
                <w:szCs w:val="24"/>
              </w:rPr>
            </w:pPr>
          </w:p>
        </w:tc>
        <w:tc>
          <w:tcPr>
            <w:tcW w:w="2500" w:type="dxa"/>
            <w:vAlign w:val="bottom"/>
          </w:tcPr>
          <w:p w:rsidR="00974BA8" w:rsidRDefault="00974BA8">
            <w:pPr>
              <w:spacing w:line="273" w:lineRule="exact"/>
              <w:ind w:left="1240"/>
              <w:rPr>
                <w:rFonts w:eastAsia="Times New Roman"/>
                <w:w w:val="98"/>
                <w:sz w:val="24"/>
                <w:szCs w:val="24"/>
              </w:rPr>
            </w:pPr>
          </w:p>
        </w:tc>
      </w:tr>
      <w:tr w:rsidR="00974BA8" w:rsidTr="00C228DF">
        <w:trPr>
          <w:trHeight w:val="274"/>
        </w:trPr>
        <w:tc>
          <w:tcPr>
            <w:tcW w:w="5800" w:type="dxa"/>
            <w:vAlign w:val="bottom"/>
          </w:tcPr>
          <w:p w:rsidR="00974BA8" w:rsidRDefault="00974BA8">
            <w:pPr>
              <w:spacing w:line="273" w:lineRule="exact"/>
              <w:rPr>
                <w:rFonts w:eastAsia="Times New Roman"/>
                <w:sz w:val="24"/>
                <w:szCs w:val="24"/>
              </w:rPr>
            </w:pPr>
          </w:p>
        </w:tc>
        <w:tc>
          <w:tcPr>
            <w:tcW w:w="2500" w:type="dxa"/>
          </w:tcPr>
          <w:p w:rsidR="00974BA8" w:rsidRDefault="00974BA8">
            <w:pPr>
              <w:spacing w:line="273" w:lineRule="exact"/>
              <w:ind w:left="1240"/>
              <w:rPr>
                <w:rFonts w:eastAsia="Times New Roman"/>
                <w:w w:val="98"/>
                <w:sz w:val="24"/>
                <w:szCs w:val="24"/>
              </w:rPr>
            </w:pPr>
          </w:p>
        </w:tc>
        <w:tc>
          <w:tcPr>
            <w:tcW w:w="2500" w:type="dxa"/>
            <w:vAlign w:val="bottom"/>
          </w:tcPr>
          <w:p w:rsidR="00974BA8" w:rsidRDefault="00974BA8">
            <w:pPr>
              <w:spacing w:line="273" w:lineRule="exact"/>
              <w:ind w:left="1240"/>
              <w:rPr>
                <w:rFonts w:eastAsia="Times New Roman"/>
                <w:w w:val="98"/>
                <w:sz w:val="24"/>
                <w:szCs w:val="24"/>
              </w:rPr>
            </w:pPr>
          </w:p>
        </w:tc>
      </w:tr>
    </w:tbl>
    <w:p w:rsidR="00622E1A" w:rsidRDefault="00622E1A">
      <w:pPr>
        <w:spacing w:line="333" w:lineRule="exact"/>
        <w:rPr>
          <w:sz w:val="20"/>
          <w:szCs w:val="20"/>
        </w:rPr>
      </w:pPr>
    </w:p>
    <w:p w:rsidR="00622E1A" w:rsidRDefault="00EA62EF">
      <w:pPr>
        <w:spacing w:line="232" w:lineRule="auto"/>
        <w:ind w:left="120" w:right="60"/>
        <w:rPr>
          <w:sz w:val="20"/>
          <w:szCs w:val="20"/>
        </w:rPr>
      </w:pPr>
      <w:r>
        <w:rPr>
          <w:rFonts w:eastAsia="Times New Roman"/>
          <w:b/>
          <w:bCs/>
          <w:sz w:val="24"/>
          <w:szCs w:val="24"/>
        </w:rPr>
        <w:t xml:space="preserve">PREHĽAD O KULTÚRNYCH PAMIATKACH KONSOLIDOVANÉHO CELKU – </w:t>
      </w:r>
      <w:r>
        <w:rPr>
          <w:rFonts w:eastAsia="Times New Roman"/>
          <w:sz w:val="24"/>
          <w:szCs w:val="24"/>
        </w:rPr>
        <w:t>tabuľka č. 24</w:t>
      </w:r>
    </w:p>
    <w:p w:rsidR="00622E1A" w:rsidRDefault="00622E1A">
      <w:pPr>
        <w:spacing w:line="373" w:lineRule="exact"/>
        <w:rPr>
          <w:sz w:val="20"/>
          <w:szCs w:val="20"/>
        </w:rPr>
      </w:pPr>
    </w:p>
    <w:p w:rsidR="00622E1A" w:rsidRDefault="00EA62EF">
      <w:pPr>
        <w:ind w:left="120"/>
        <w:rPr>
          <w:sz w:val="20"/>
          <w:szCs w:val="20"/>
        </w:rPr>
      </w:pPr>
      <w:r>
        <w:rPr>
          <w:rFonts w:eastAsia="Times New Roman"/>
          <w:sz w:val="24"/>
          <w:szCs w:val="24"/>
        </w:rPr>
        <w:t>Účtovaná jednotka nespravuje žiadnu nehnuteľnú kultúrnu pamiatku.</w:t>
      </w:r>
    </w:p>
    <w:p w:rsidR="00622E1A" w:rsidRDefault="00622E1A">
      <w:pPr>
        <w:spacing w:line="200" w:lineRule="exact"/>
        <w:rPr>
          <w:sz w:val="20"/>
          <w:szCs w:val="20"/>
        </w:rPr>
      </w:pPr>
    </w:p>
    <w:p w:rsidR="00622E1A" w:rsidRDefault="00622E1A">
      <w:pPr>
        <w:spacing w:line="323" w:lineRule="exact"/>
        <w:rPr>
          <w:sz w:val="20"/>
          <w:szCs w:val="20"/>
        </w:rPr>
      </w:pPr>
    </w:p>
    <w:p w:rsidR="00622E1A" w:rsidRDefault="00EA62EF">
      <w:pPr>
        <w:spacing w:line="249" w:lineRule="auto"/>
        <w:ind w:left="120" w:right="700"/>
        <w:rPr>
          <w:sz w:val="20"/>
          <w:szCs w:val="20"/>
        </w:rPr>
      </w:pPr>
      <w:r>
        <w:rPr>
          <w:rFonts w:eastAsia="Times New Roman"/>
          <w:b/>
          <w:bCs/>
          <w:sz w:val="23"/>
          <w:szCs w:val="23"/>
        </w:rPr>
        <w:t>SKUTOČNOSTI, KTORÉ NASTALI PO DNI, KU KTORÉMU SA ZOSTAVUJE KONSOLIDOVANA ÚČTOVNÁ ZÁVIERKA, DO DŇA JEJ ZOSTAVENIA</w:t>
      </w:r>
    </w:p>
    <w:p w:rsidR="00622E1A" w:rsidRDefault="00622E1A">
      <w:pPr>
        <w:spacing w:line="274" w:lineRule="exact"/>
        <w:rPr>
          <w:sz w:val="20"/>
          <w:szCs w:val="20"/>
        </w:rPr>
      </w:pPr>
    </w:p>
    <w:p w:rsidR="00622E1A" w:rsidRDefault="006F1F85">
      <w:pPr>
        <w:spacing w:line="234" w:lineRule="auto"/>
        <w:ind w:left="120"/>
        <w:rPr>
          <w:sz w:val="20"/>
          <w:szCs w:val="20"/>
        </w:rPr>
      </w:pPr>
      <w:r>
        <w:rPr>
          <w:rFonts w:eastAsia="Times New Roman"/>
          <w:sz w:val="24"/>
          <w:szCs w:val="24"/>
        </w:rPr>
        <w:t xml:space="preserve">Po </w:t>
      </w:r>
      <w:r w:rsidR="005F4ED0">
        <w:rPr>
          <w:rFonts w:eastAsia="Times New Roman"/>
          <w:sz w:val="24"/>
          <w:szCs w:val="24"/>
        </w:rPr>
        <w:t>31. decembri 2019</w:t>
      </w:r>
      <w:r w:rsidR="00EA62EF">
        <w:rPr>
          <w:rFonts w:eastAsia="Times New Roman"/>
          <w:sz w:val="24"/>
          <w:szCs w:val="24"/>
        </w:rPr>
        <w:t xml:space="preserve"> nenastali také udalosti, ktoré by si vyžadovali zverejnenie alebo vykázanie v konsolidovan</w:t>
      </w:r>
      <w:r w:rsidR="005F4ED0">
        <w:rPr>
          <w:rFonts w:eastAsia="Times New Roman"/>
          <w:sz w:val="24"/>
          <w:szCs w:val="24"/>
        </w:rPr>
        <w:t>ej účtovnej závierke za rok 2019</w:t>
      </w:r>
      <w:r w:rsidR="00EA62EF">
        <w:rPr>
          <w:rFonts w:eastAsia="Times New Roman"/>
          <w:sz w:val="24"/>
          <w:szCs w:val="24"/>
        </w:rPr>
        <w:t>.</w:t>
      </w: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00" w:lineRule="exact"/>
        <w:rPr>
          <w:sz w:val="20"/>
          <w:szCs w:val="20"/>
        </w:rPr>
      </w:pPr>
    </w:p>
    <w:p w:rsidR="00622E1A" w:rsidRDefault="00622E1A">
      <w:pPr>
        <w:spacing w:line="210" w:lineRule="exact"/>
        <w:rPr>
          <w:sz w:val="20"/>
          <w:szCs w:val="20"/>
        </w:rPr>
      </w:pPr>
    </w:p>
    <w:p w:rsidR="00622E1A" w:rsidRDefault="00EA62EF">
      <w:pPr>
        <w:ind w:left="120"/>
        <w:rPr>
          <w:sz w:val="20"/>
          <w:szCs w:val="20"/>
        </w:rPr>
      </w:pPr>
      <w:r>
        <w:rPr>
          <w:rFonts w:eastAsia="Times New Roman"/>
          <w:sz w:val="24"/>
          <w:szCs w:val="24"/>
        </w:rPr>
        <w:t>Spracovala: S</w:t>
      </w:r>
      <w:r w:rsidR="006F1F85">
        <w:rPr>
          <w:rFonts w:eastAsia="Times New Roman"/>
          <w:sz w:val="24"/>
          <w:szCs w:val="24"/>
        </w:rPr>
        <w:t>ýkorová</w:t>
      </w:r>
    </w:p>
    <w:p w:rsidR="00622E1A" w:rsidRDefault="00EA62EF">
      <w:pPr>
        <w:ind w:left="120"/>
        <w:rPr>
          <w:sz w:val="20"/>
          <w:szCs w:val="20"/>
        </w:rPr>
      </w:pPr>
      <w:r>
        <w:rPr>
          <w:rFonts w:eastAsia="Times New Roman"/>
          <w:sz w:val="24"/>
          <w:szCs w:val="24"/>
        </w:rPr>
        <w:t xml:space="preserve">Dňa: </w:t>
      </w:r>
      <w:r w:rsidR="00F54EBE">
        <w:rPr>
          <w:rFonts w:eastAsia="Times New Roman"/>
          <w:sz w:val="24"/>
          <w:szCs w:val="24"/>
        </w:rPr>
        <w:t>18</w:t>
      </w:r>
      <w:bookmarkStart w:id="6" w:name="_GoBack"/>
      <w:bookmarkEnd w:id="6"/>
      <w:r w:rsidR="005F4ED0">
        <w:rPr>
          <w:rFonts w:eastAsia="Times New Roman"/>
          <w:sz w:val="24"/>
          <w:szCs w:val="24"/>
        </w:rPr>
        <w:t>.6.2020</w:t>
      </w:r>
    </w:p>
    <w:p w:rsidR="00622E1A" w:rsidRDefault="00622E1A">
      <w:pPr>
        <w:spacing w:line="310" w:lineRule="exact"/>
        <w:rPr>
          <w:sz w:val="20"/>
          <w:szCs w:val="20"/>
        </w:rPr>
      </w:pPr>
    </w:p>
    <w:p w:rsidR="00622E1A" w:rsidRDefault="00EA62EF">
      <w:pPr>
        <w:ind w:right="-39"/>
        <w:jc w:val="center"/>
        <w:rPr>
          <w:sz w:val="20"/>
          <w:szCs w:val="20"/>
        </w:rPr>
      </w:pPr>
      <w:r>
        <w:rPr>
          <w:rFonts w:eastAsia="Times New Roman"/>
          <w:sz w:val="24"/>
          <w:szCs w:val="24"/>
        </w:rPr>
        <w:t>6</w:t>
      </w:r>
    </w:p>
    <w:sectPr w:rsidR="00622E1A">
      <w:pgSz w:w="11900" w:h="16838"/>
      <w:pgMar w:top="932" w:right="1346" w:bottom="428" w:left="1300" w:header="0" w:footer="0" w:gutter="0"/>
      <w:cols w:space="708" w:equalWidth="0">
        <w:col w:w="92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9BF6BB4C"/>
    <w:lvl w:ilvl="0" w:tplc="06484FB8">
      <w:start w:val="1"/>
      <w:numFmt w:val="bullet"/>
      <w:lvlText w:val=""/>
      <w:lvlJc w:val="left"/>
    </w:lvl>
    <w:lvl w:ilvl="1" w:tplc="BA44341A">
      <w:numFmt w:val="decimal"/>
      <w:lvlText w:val=""/>
      <w:lvlJc w:val="left"/>
    </w:lvl>
    <w:lvl w:ilvl="2" w:tplc="377CE6C0">
      <w:numFmt w:val="decimal"/>
      <w:lvlText w:val=""/>
      <w:lvlJc w:val="left"/>
    </w:lvl>
    <w:lvl w:ilvl="3" w:tplc="E9F851B0">
      <w:numFmt w:val="decimal"/>
      <w:lvlText w:val=""/>
      <w:lvlJc w:val="left"/>
    </w:lvl>
    <w:lvl w:ilvl="4" w:tplc="60C85E18">
      <w:numFmt w:val="decimal"/>
      <w:lvlText w:val=""/>
      <w:lvlJc w:val="left"/>
    </w:lvl>
    <w:lvl w:ilvl="5" w:tplc="36D27456">
      <w:numFmt w:val="decimal"/>
      <w:lvlText w:val=""/>
      <w:lvlJc w:val="left"/>
    </w:lvl>
    <w:lvl w:ilvl="6" w:tplc="642456D2">
      <w:numFmt w:val="decimal"/>
      <w:lvlText w:val=""/>
      <w:lvlJc w:val="left"/>
    </w:lvl>
    <w:lvl w:ilvl="7" w:tplc="250EF2C2">
      <w:numFmt w:val="decimal"/>
      <w:lvlText w:val=""/>
      <w:lvlJc w:val="left"/>
    </w:lvl>
    <w:lvl w:ilvl="8" w:tplc="98B26D14">
      <w:numFmt w:val="decimal"/>
      <w:lvlText w:val=""/>
      <w:lvlJc w:val="left"/>
    </w:lvl>
  </w:abstractNum>
  <w:abstractNum w:abstractNumId="1" w15:restartNumberingAfterBreak="0">
    <w:nsid w:val="000001EB"/>
    <w:multiLevelType w:val="hybridMultilevel"/>
    <w:tmpl w:val="63A4EE02"/>
    <w:lvl w:ilvl="0" w:tplc="57DE6C0E">
      <w:start w:val="19"/>
      <w:numFmt w:val="lowerLetter"/>
      <w:lvlText w:val="%1"/>
      <w:lvlJc w:val="left"/>
    </w:lvl>
    <w:lvl w:ilvl="1" w:tplc="D3307BB2">
      <w:numFmt w:val="decimal"/>
      <w:lvlText w:val=""/>
      <w:lvlJc w:val="left"/>
    </w:lvl>
    <w:lvl w:ilvl="2" w:tplc="B8D8D636">
      <w:numFmt w:val="decimal"/>
      <w:lvlText w:val=""/>
      <w:lvlJc w:val="left"/>
    </w:lvl>
    <w:lvl w:ilvl="3" w:tplc="8CD07B0C">
      <w:numFmt w:val="decimal"/>
      <w:lvlText w:val=""/>
      <w:lvlJc w:val="left"/>
    </w:lvl>
    <w:lvl w:ilvl="4" w:tplc="D8A82E70">
      <w:numFmt w:val="decimal"/>
      <w:lvlText w:val=""/>
      <w:lvlJc w:val="left"/>
    </w:lvl>
    <w:lvl w:ilvl="5" w:tplc="DE9E06DC">
      <w:numFmt w:val="decimal"/>
      <w:lvlText w:val=""/>
      <w:lvlJc w:val="left"/>
    </w:lvl>
    <w:lvl w:ilvl="6" w:tplc="8748407C">
      <w:numFmt w:val="decimal"/>
      <w:lvlText w:val=""/>
      <w:lvlJc w:val="left"/>
    </w:lvl>
    <w:lvl w:ilvl="7" w:tplc="5DF4C310">
      <w:numFmt w:val="decimal"/>
      <w:lvlText w:val=""/>
      <w:lvlJc w:val="left"/>
    </w:lvl>
    <w:lvl w:ilvl="8" w:tplc="B6BA78A4">
      <w:numFmt w:val="decimal"/>
      <w:lvlText w:val=""/>
      <w:lvlJc w:val="left"/>
    </w:lvl>
  </w:abstractNum>
  <w:abstractNum w:abstractNumId="2" w15:restartNumberingAfterBreak="0">
    <w:nsid w:val="00000BB3"/>
    <w:multiLevelType w:val="hybridMultilevel"/>
    <w:tmpl w:val="CEC2A0CA"/>
    <w:lvl w:ilvl="0" w:tplc="EEE08632">
      <w:start w:val="1"/>
      <w:numFmt w:val="bullet"/>
      <w:lvlText w:val="č."/>
      <w:lvlJc w:val="left"/>
    </w:lvl>
    <w:lvl w:ilvl="1" w:tplc="BE8C8B32">
      <w:numFmt w:val="decimal"/>
      <w:lvlText w:val=""/>
      <w:lvlJc w:val="left"/>
    </w:lvl>
    <w:lvl w:ilvl="2" w:tplc="9404FD68">
      <w:numFmt w:val="decimal"/>
      <w:lvlText w:val=""/>
      <w:lvlJc w:val="left"/>
    </w:lvl>
    <w:lvl w:ilvl="3" w:tplc="15360688">
      <w:numFmt w:val="decimal"/>
      <w:lvlText w:val=""/>
      <w:lvlJc w:val="left"/>
    </w:lvl>
    <w:lvl w:ilvl="4" w:tplc="C9BCE894">
      <w:numFmt w:val="decimal"/>
      <w:lvlText w:val=""/>
      <w:lvlJc w:val="left"/>
    </w:lvl>
    <w:lvl w:ilvl="5" w:tplc="24309B42">
      <w:numFmt w:val="decimal"/>
      <w:lvlText w:val=""/>
      <w:lvlJc w:val="left"/>
    </w:lvl>
    <w:lvl w:ilvl="6" w:tplc="A9F48114">
      <w:numFmt w:val="decimal"/>
      <w:lvlText w:val=""/>
      <w:lvlJc w:val="left"/>
    </w:lvl>
    <w:lvl w:ilvl="7" w:tplc="6AD26FC4">
      <w:numFmt w:val="decimal"/>
      <w:lvlText w:val=""/>
      <w:lvlJc w:val="left"/>
    </w:lvl>
    <w:lvl w:ilvl="8" w:tplc="4F586762">
      <w:numFmt w:val="decimal"/>
      <w:lvlText w:val=""/>
      <w:lvlJc w:val="left"/>
    </w:lvl>
  </w:abstractNum>
  <w:abstractNum w:abstractNumId="3" w15:restartNumberingAfterBreak="0">
    <w:nsid w:val="00000F3E"/>
    <w:multiLevelType w:val="hybridMultilevel"/>
    <w:tmpl w:val="F222A974"/>
    <w:lvl w:ilvl="0" w:tplc="58DEA31C">
      <w:start w:val="1"/>
      <w:numFmt w:val="bullet"/>
      <w:lvlText w:val=""/>
      <w:lvlJc w:val="left"/>
    </w:lvl>
    <w:lvl w:ilvl="1" w:tplc="EFF65A70">
      <w:numFmt w:val="decimal"/>
      <w:lvlText w:val=""/>
      <w:lvlJc w:val="left"/>
    </w:lvl>
    <w:lvl w:ilvl="2" w:tplc="E48676F8">
      <w:numFmt w:val="decimal"/>
      <w:lvlText w:val=""/>
      <w:lvlJc w:val="left"/>
    </w:lvl>
    <w:lvl w:ilvl="3" w:tplc="6B4EFA40">
      <w:numFmt w:val="decimal"/>
      <w:lvlText w:val=""/>
      <w:lvlJc w:val="left"/>
    </w:lvl>
    <w:lvl w:ilvl="4" w:tplc="148E04A8">
      <w:numFmt w:val="decimal"/>
      <w:lvlText w:val=""/>
      <w:lvlJc w:val="left"/>
    </w:lvl>
    <w:lvl w:ilvl="5" w:tplc="FB8E37AA">
      <w:numFmt w:val="decimal"/>
      <w:lvlText w:val=""/>
      <w:lvlJc w:val="left"/>
    </w:lvl>
    <w:lvl w:ilvl="6" w:tplc="E606282C">
      <w:numFmt w:val="decimal"/>
      <w:lvlText w:val=""/>
      <w:lvlJc w:val="left"/>
    </w:lvl>
    <w:lvl w:ilvl="7" w:tplc="A80A070E">
      <w:numFmt w:val="decimal"/>
      <w:lvlText w:val=""/>
      <w:lvlJc w:val="left"/>
    </w:lvl>
    <w:lvl w:ilvl="8" w:tplc="EF1805AA">
      <w:numFmt w:val="decimal"/>
      <w:lvlText w:val=""/>
      <w:lvlJc w:val="left"/>
    </w:lvl>
  </w:abstractNum>
  <w:abstractNum w:abstractNumId="4" w15:restartNumberingAfterBreak="0">
    <w:nsid w:val="000012DB"/>
    <w:multiLevelType w:val="hybridMultilevel"/>
    <w:tmpl w:val="7D049688"/>
    <w:lvl w:ilvl="0" w:tplc="5B08ABE0">
      <w:start w:val="1"/>
      <w:numFmt w:val="bullet"/>
      <w:lvlText w:val=""/>
      <w:lvlJc w:val="left"/>
    </w:lvl>
    <w:lvl w:ilvl="1" w:tplc="5E7043F6">
      <w:numFmt w:val="decimal"/>
      <w:lvlText w:val=""/>
      <w:lvlJc w:val="left"/>
    </w:lvl>
    <w:lvl w:ilvl="2" w:tplc="A4467E78">
      <w:numFmt w:val="decimal"/>
      <w:lvlText w:val=""/>
      <w:lvlJc w:val="left"/>
    </w:lvl>
    <w:lvl w:ilvl="3" w:tplc="437668CC">
      <w:numFmt w:val="decimal"/>
      <w:lvlText w:val=""/>
      <w:lvlJc w:val="left"/>
    </w:lvl>
    <w:lvl w:ilvl="4" w:tplc="D564DA0A">
      <w:numFmt w:val="decimal"/>
      <w:lvlText w:val=""/>
      <w:lvlJc w:val="left"/>
    </w:lvl>
    <w:lvl w:ilvl="5" w:tplc="3B0A5052">
      <w:numFmt w:val="decimal"/>
      <w:lvlText w:val=""/>
      <w:lvlJc w:val="left"/>
    </w:lvl>
    <w:lvl w:ilvl="6" w:tplc="D0AE18CC">
      <w:numFmt w:val="decimal"/>
      <w:lvlText w:val=""/>
      <w:lvlJc w:val="left"/>
    </w:lvl>
    <w:lvl w:ilvl="7" w:tplc="8A3A3ED6">
      <w:numFmt w:val="decimal"/>
      <w:lvlText w:val=""/>
      <w:lvlJc w:val="left"/>
    </w:lvl>
    <w:lvl w:ilvl="8" w:tplc="1EC002EA">
      <w:numFmt w:val="decimal"/>
      <w:lvlText w:val=""/>
      <w:lvlJc w:val="left"/>
    </w:lvl>
  </w:abstractNum>
  <w:abstractNum w:abstractNumId="5" w15:restartNumberingAfterBreak="0">
    <w:nsid w:val="0000153C"/>
    <w:multiLevelType w:val="hybridMultilevel"/>
    <w:tmpl w:val="2E1C3FE6"/>
    <w:lvl w:ilvl="0" w:tplc="DD3E299A">
      <w:start w:val="31"/>
      <w:numFmt w:val="decimal"/>
      <w:lvlText w:val="%1."/>
      <w:lvlJc w:val="left"/>
    </w:lvl>
    <w:lvl w:ilvl="1" w:tplc="5246B96E">
      <w:numFmt w:val="decimal"/>
      <w:lvlText w:val=""/>
      <w:lvlJc w:val="left"/>
    </w:lvl>
    <w:lvl w:ilvl="2" w:tplc="4726CF4E">
      <w:numFmt w:val="decimal"/>
      <w:lvlText w:val=""/>
      <w:lvlJc w:val="left"/>
    </w:lvl>
    <w:lvl w:ilvl="3" w:tplc="761232E2">
      <w:numFmt w:val="decimal"/>
      <w:lvlText w:val=""/>
      <w:lvlJc w:val="left"/>
    </w:lvl>
    <w:lvl w:ilvl="4" w:tplc="8EDCFE30">
      <w:numFmt w:val="decimal"/>
      <w:lvlText w:val=""/>
      <w:lvlJc w:val="left"/>
    </w:lvl>
    <w:lvl w:ilvl="5" w:tplc="3DAA0F5E">
      <w:numFmt w:val="decimal"/>
      <w:lvlText w:val=""/>
      <w:lvlJc w:val="left"/>
    </w:lvl>
    <w:lvl w:ilvl="6" w:tplc="F6E412B0">
      <w:numFmt w:val="decimal"/>
      <w:lvlText w:val=""/>
      <w:lvlJc w:val="left"/>
    </w:lvl>
    <w:lvl w:ilvl="7" w:tplc="5E901B70">
      <w:numFmt w:val="decimal"/>
      <w:lvlText w:val=""/>
      <w:lvlJc w:val="left"/>
    </w:lvl>
    <w:lvl w:ilvl="8" w:tplc="07AC9184">
      <w:numFmt w:val="decimal"/>
      <w:lvlText w:val=""/>
      <w:lvlJc w:val="left"/>
    </w:lvl>
  </w:abstractNum>
  <w:abstractNum w:abstractNumId="6" w15:restartNumberingAfterBreak="0">
    <w:nsid w:val="00002EA6"/>
    <w:multiLevelType w:val="hybridMultilevel"/>
    <w:tmpl w:val="B642BA96"/>
    <w:lvl w:ilvl="0" w:tplc="82F2FA16">
      <w:start w:val="1"/>
      <w:numFmt w:val="bullet"/>
      <w:lvlText w:val=""/>
      <w:lvlJc w:val="left"/>
    </w:lvl>
    <w:lvl w:ilvl="1" w:tplc="AB660D26">
      <w:numFmt w:val="decimal"/>
      <w:lvlText w:val=""/>
      <w:lvlJc w:val="left"/>
    </w:lvl>
    <w:lvl w:ilvl="2" w:tplc="ED1AB5AC">
      <w:numFmt w:val="decimal"/>
      <w:lvlText w:val=""/>
      <w:lvlJc w:val="left"/>
    </w:lvl>
    <w:lvl w:ilvl="3" w:tplc="400EE984">
      <w:numFmt w:val="decimal"/>
      <w:lvlText w:val=""/>
      <w:lvlJc w:val="left"/>
    </w:lvl>
    <w:lvl w:ilvl="4" w:tplc="262A7BE6">
      <w:numFmt w:val="decimal"/>
      <w:lvlText w:val=""/>
      <w:lvlJc w:val="left"/>
    </w:lvl>
    <w:lvl w:ilvl="5" w:tplc="A620C776">
      <w:numFmt w:val="decimal"/>
      <w:lvlText w:val=""/>
      <w:lvlJc w:val="left"/>
    </w:lvl>
    <w:lvl w:ilvl="6" w:tplc="6C241C9C">
      <w:numFmt w:val="decimal"/>
      <w:lvlText w:val=""/>
      <w:lvlJc w:val="left"/>
    </w:lvl>
    <w:lvl w:ilvl="7" w:tplc="DA8E087C">
      <w:numFmt w:val="decimal"/>
      <w:lvlText w:val=""/>
      <w:lvlJc w:val="left"/>
    </w:lvl>
    <w:lvl w:ilvl="8" w:tplc="CAF81B88">
      <w:numFmt w:val="decimal"/>
      <w:lvlText w:val=""/>
      <w:lvlJc w:val="left"/>
    </w:lvl>
  </w:abstractNum>
  <w:abstractNum w:abstractNumId="7" w15:restartNumberingAfterBreak="0">
    <w:nsid w:val="0000390C"/>
    <w:multiLevelType w:val="hybridMultilevel"/>
    <w:tmpl w:val="E106593C"/>
    <w:lvl w:ilvl="0" w:tplc="A9AE1014">
      <w:start w:val="1"/>
      <w:numFmt w:val="bullet"/>
      <w:lvlText w:val=""/>
      <w:lvlJc w:val="left"/>
    </w:lvl>
    <w:lvl w:ilvl="1" w:tplc="2312D66E">
      <w:numFmt w:val="decimal"/>
      <w:lvlText w:val=""/>
      <w:lvlJc w:val="left"/>
    </w:lvl>
    <w:lvl w:ilvl="2" w:tplc="C7FC863A">
      <w:numFmt w:val="decimal"/>
      <w:lvlText w:val=""/>
      <w:lvlJc w:val="left"/>
    </w:lvl>
    <w:lvl w:ilvl="3" w:tplc="BE5666DA">
      <w:numFmt w:val="decimal"/>
      <w:lvlText w:val=""/>
      <w:lvlJc w:val="left"/>
    </w:lvl>
    <w:lvl w:ilvl="4" w:tplc="1E169060">
      <w:numFmt w:val="decimal"/>
      <w:lvlText w:val=""/>
      <w:lvlJc w:val="left"/>
    </w:lvl>
    <w:lvl w:ilvl="5" w:tplc="50369BC0">
      <w:numFmt w:val="decimal"/>
      <w:lvlText w:val=""/>
      <w:lvlJc w:val="left"/>
    </w:lvl>
    <w:lvl w:ilvl="6" w:tplc="ADD445EC">
      <w:numFmt w:val="decimal"/>
      <w:lvlText w:val=""/>
      <w:lvlJc w:val="left"/>
    </w:lvl>
    <w:lvl w:ilvl="7" w:tplc="CE7E5596">
      <w:numFmt w:val="decimal"/>
      <w:lvlText w:val=""/>
      <w:lvlJc w:val="left"/>
    </w:lvl>
    <w:lvl w:ilvl="8" w:tplc="E9A4BECA">
      <w:numFmt w:val="decimal"/>
      <w:lvlText w:val=""/>
      <w:lvlJc w:val="left"/>
    </w:lvl>
  </w:abstractNum>
  <w:abstractNum w:abstractNumId="8" w15:restartNumberingAfterBreak="0">
    <w:nsid w:val="00007E87"/>
    <w:multiLevelType w:val="hybridMultilevel"/>
    <w:tmpl w:val="1D5E1C4E"/>
    <w:lvl w:ilvl="0" w:tplc="5F3883B8">
      <w:start w:val="1"/>
      <w:numFmt w:val="bullet"/>
      <w:lvlText w:val=""/>
      <w:lvlJc w:val="left"/>
    </w:lvl>
    <w:lvl w:ilvl="1" w:tplc="97F412C2">
      <w:numFmt w:val="decimal"/>
      <w:lvlText w:val=""/>
      <w:lvlJc w:val="left"/>
    </w:lvl>
    <w:lvl w:ilvl="2" w:tplc="05387326">
      <w:numFmt w:val="decimal"/>
      <w:lvlText w:val=""/>
      <w:lvlJc w:val="left"/>
    </w:lvl>
    <w:lvl w:ilvl="3" w:tplc="D82A6AC4">
      <w:numFmt w:val="decimal"/>
      <w:lvlText w:val=""/>
      <w:lvlJc w:val="left"/>
    </w:lvl>
    <w:lvl w:ilvl="4" w:tplc="5DE8E7F6">
      <w:numFmt w:val="decimal"/>
      <w:lvlText w:val=""/>
      <w:lvlJc w:val="left"/>
    </w:lvl>
    <w:lvl w:ilvl="5" w:tplc="6F42C0BC">
      <w:numFmt w:val="decimal"/>
      <w:lvlText w:val=""/>
      <w:lvlJc w:val="left"/>
    </w:lvl>
    <w:lvl w:ilvl="6" w:tplc="5EC2BEE8">
      <w:numFmt w:val="decimal"/>
      <w:lvlText w:val=""/>
      <w:lvlJc w:val="left"/>
    </w:lvl>
    <w:lvl w:ilvl="7" w:tplc="57EA0564">
      <w:numFmt w:val="decimal"/>
      <w:lvlText w:val=""/>
      <w:lvlJc w:val="left"/>
    </w:lvl>
    <w:lvl w:ilvl="8" w:tplc="47E8FD30">
      <w:numFmt w:val="decimal"/>
      <w:lvlText w:val=""/>
      <w:lvlJc w:val="left"/>
    </w:lvl>
  </w:abstractNum>
  <w:abstractNum w:abstractNumId="9" w15:restartNumberingAfterBreak="0">
    <w:nsid w:val="006F53DF"/>
    <w:multiLevelType w:val="hybridMultilevel"/>
    <w:tmpl w:val="B694D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5E27EE9"/>
    <w:multiLevelType w:val="hybridMultilevel"/>
    <w:tmpl w:val="13F646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6"/>
  </w:num>
  <w:num w:numId="4">
    <w:abstractNumId w:val="4"/>
  </w:num>
  <w:num w:numId="5">
    <w:abstractNumId w:val="5"/>
  </w:num>
  <w:num w:numId="6">
    <w:abstractNumId w:val="8"/>
  </w:num>
  <w:num w:numId="7">
    <w:abstractNumId w:val="7"/>
  </w:num>
  <w:num w:numId="8">
    <w:abstractNumId w:val="3"/>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1A"/>
    <w:rsid w:val="002E7168"/>
    <w:rsid w:val="003A7FAA"/>
    <w:rsid w:val="005F4ED0"/>
    <w:rsid w:val="00622E1A"/>
    <w:rsid w:val="00645455"/>
    <w:rsid w:val="006F1F85"/>
    <w:rsid w:val="00711BA8"/>
    <w:rsid w:val="00730285"/>
    <w:rsid w:val="007B2D8A"/>
    <w:rsid w:val="007F5A03"/>
    <w:rsid w:val="00803F90"/>
    <w:rsid w:val="0094614A"/>
    <w:rsid w:val="00974BA8"/>
    <w:rsid w:val="00AA23CB"/>
    <w:rsid w:val="00B4303D"/>
    <w:rsid w:val="00BB0350"/>
    <w:rsid w:val="00C228DF"/>
    <w:rsid w:val="00D727ED"/>
    <w:rsid w:val="00D84FE3"/>
    <w:rsid w:val="00DA0C2B"/>
    <w:rsid w:val="00EA62EF"/>
    <w:rsid w:val="00EB1EAE"/>
    <w:rsid w:val="00F00534"/>
    <w:rsid w:val="00F23704"/>
    <w:rsid w:val="00F30DFB"/>
    <w:rsid w:val="00F54EBE"/>
    <w:rsid w:val="00FA3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BE2D0-66A6-4909-B321-6FA3B968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A0C2B"/>
    <w:pPr>
      <w:autoSpaceDE w:val="0"/>
      <w:autoSpaceDN w:val="0"/>
      <w:adjustRightInd w:val="0"/>
    </w:pPr>
    <w:rPr>
      <w:color w:val="000000"/>
      <w:sz w:val="24"/>
      <w:szCs w:val="24"/>
    </w:rPr>
  </w:style>
  <w:style w:type="paragraph" w:styleId="Odsekzoznamu">
    <w:name w:val="List Paragraph"/>
    <w:basedOn w:val="Normlny"/>
    <w:uiPriority w:val="34"/>
    <w:qFormat/>
    <w:rsid w:val="00974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6</Pages>
  <Words>1891</Words>
  <Characters>10780</Characters>
  <Application>Microsoft Office Word</Application>
  <DocSecurity>0</DocSecurity>
  <Lines>89</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SÝKOROVÁ Alena</cp:lastModifiedBy>
  <cp:revision>7</cp:revision>
  <dcterms:created xsi:type="dcterms:W3CDTF">2020-06-18T13:30:00Z</dcterms:created>
  <dcterms:modified xsi:type="dcterms:W3CDTF">2020-06-19T13:14:00Z</dcterms:modified>
</cp:coreProperties>
</file>