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shd w:val="clear" w:color="auto" w:fill="DAEEF3" w:themeFill="accent5" w:themeFillTint="33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FE085C" w:rsidTr="00FE085C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FE085C" w:rsidRDefault="00FE085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aps w:val="0"/>
                <w:sz w:val="22"/>
                <w:szCs w:val="22"/>
              </w:rPr>
              <w:t>Úč</w:t>
            </w:r>
            <w:proofErr w:type="spellEnd"/>
            <w:r>
              <w:rPr>
                <w:rFonts w:ascii="Arial" w:hAnsi="Arial" w:cs="Arial"/>
                <w:caps w:val="0"/>
                <w:sz w:val="22"/>
                <w:szCs w:val="22"/>
              </w:rPr>
              <w:t xml:space="preserve"> MÚJ-3-01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FE085C" w:rsidRDefault="00FE085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IČO: 36 216 143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hideMark/>
          </w:tcPr>
          <w:p w:rsidR="00FE085C" w:rsidRDefault="00FE085C">
            <w:pPr>
              <w:pStyle w:val="Nadpis1"/>
              <w:numPr>
                <w:ilvl w:val="0"/>
                <w:numId w:val="0"/>
              </w:numPr>
              <w:tabs>
                <w:tab w:val="left" w:pos="708"/>
              </w:tabs>
              <w:outlineLvl w:val="0"/>
              <w:rPr>
                <w:rFonts w:ascii="Arial" w:hAnsi="Arial" w:cs="Arial"/>
                <w:caps w:val="0"/>
                <w:sz w:val="22"/>
                <w:szCs w:val="22"/>
              </w:rPr>
            </w:pPr>
            <w:r>
              <w:rPr>
                <w:rFonts w:ascii="Arial" w:hAnsi="Arial" w:cs="Arial"/>
                <w:caps w:val="0"/>
                <w:sz w:val="22"/>
                <w:szCs w:val="22"/>
              </w:rPr>
              <w:t>DIČ: 2020055081</w:t>
            </w:r>
          </w:p>
        </w:tc>
      </w:tr>
    </w:tbl>
    <w:p w:rsidR="00FE085C" w:rsidRDefault="00FE085C" w:rsidP="00FE085C">
      <w:pPr>
        <w:rPr>
          <w:sz w:val="20"/>
          <w:szCs w:val="20"/>
          <w:lang w:eastAsia="en-US"/>
        </w:rPr>
      </w:pPr>
    </w:p>
    <w:p w:rsidR="00054DA6" w:rsidRDefault="00054DA6" w:rsidP="00FE085C">
      <w:pPr>
        <w:jc w:val="center"/>
        <w:rPr>
          <w:b/>
        </w:rPr>
      </w:pPr>
    </w:p>
    <w:p w:rsidR="00FE085C" w:rsidRDefault="00FE085C" w:rsidP="00FE085C">
      <w:pPr>
        <w:jc w:val="center"/>
        <w:rPr>
          <w:b/>
        </w:rPr>
      </w:pPr>
      <w:r>
        <w:rPr>
          <w:b/>
        </w:rPr>
        <w:t>Čl. I. Všeobecné údaje:</w:t>
      </w:r>
    </w:p>
    <w:p w:rsidR="00FE085C" w:rsidRDefault="00FE085C" w:rsidP="00FE085C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Účtovné obdobie:                                                             </w:t>
      </w:r>
      <w:r>
        <w:rPr>
          <w:b/>
          <w:sz w:val="22"/>
          <w:szCs w:val="22"/>
        </w:rPr>
        <w:t>201</w:t>
      </w:r>
      <w:r w:rsidR="00187775">
        <w:rPr>
          <w:b/>
          <w:sz w:val="22"/>
          <w:szCs w:val="22"/>
        </w:rPr>
        <w:t>9</w:t>
      </w:r>
      <w:r>
        <w:rPr>
          <w:b/>
          <w:sz w:val="22"/>
          <w:szCs w:val="22"/>
        </w:rPr>
        <w:t xml:space="preserve"> </w:t>
      </w:r>
    </w:p>
    <w:p w:rsidR="00FE085C" w:rsidRDefault="00FE085C" w:rsidP="00FE08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(1) Názov právnickej osoby:                     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Obchodné meno účtovne jednotky:       AGRO Š.H. N., s. r. o.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Sídlo:                                                      </w:t>
      </w:r>
      <w:proofErr w:type="spellStart"/>
      <w:r>
        <w:rPr>
          <w:sz w:val="22"/>
          <w:szCs w:val="22"/>
        </w:rPr>
        <w:t>Húskova</w:t>
      </w:r>
      <w:proofErr w:type="spellEnd"/>
      <w:r>
        <w:rPr>
          <w:sz w:val="22"/>
          <w:szCs w:val="22"/>
        </w:rPr>
        <w:t xml:space="preserve"> 29, 040 01 Košice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Dátum založenia:                                    03. 09. 2002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Dátum vzniku:                                        03. 09. 2002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Registrácia:                                             Okresný súd Košice I.     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Vložka č.:                                                13474/V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Meno a priezvisko členov štatutárnych orgánov: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Konateľ:                                          Ing. Roman </w:t>
      </w:r>
      <w:proofErr w:type="spellStart"/>
      <w:r>
        <w:rPr>
          <w:sz w:val="22"/>
          <w:szCs w:val="22"/>
        </w:rPr>
        <w:t>Golian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Húskova</w:t>
      </w:r>
      <w:proofErr w:type="spellEnd"/>
      <w:r>
        <w:rPr>
          <w:sz w:val="22"/>
          <w:szCs w:val="22"/>
        </w:rPr>
        <w:t xml:space="preserve"> 29, Košice, zmena od 30.01.2015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Spoločník:                                       Ing. Roman </w:t>
      </w:r>
      <w:proofErr w:type="spellStart"/>
      <w:r>
        <w:rPr>
          <w:sz w:val="22"/>
          <w:szCs w:val="22"/>
        </w:rPr>
        <w:t>Golian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Húskova</w:t>
      </w:r>
      <w:proofErr w:type="spellEnd"/>
      <w:r>
        <w:rPr>
          <w:sz w:val="22"/>
          <w:szCs w:val="22"/>
        </w:rPr>
        <w:t xml:space="preserve"> 29, Košice, Zmena od 30.01.2015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Za spoločnosť koná podpisuje konateľ samostatne a to tak, že k vytlačenému alebo písanému   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obchodnému menu spoločnosti pripojí svoj vlastnoručný podpis s dodatkom „konateľ“.</w:t>
      </w:r>
    </w:p>
    <w:p w:rsidR="00FE085C" w:rsidRDefault="00FE085C" w:rsidP="00FE085C">
      <w:pPr>
        <w:jc w:val="both"/>
        <w:rPr>
          <w:sz w:val="22"/>
          <w:szCs w:val="22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(2) Údaje o konsolidovanom celku: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Účtovná jednotka nie je súčasťou konsolidovaného celku.</w:t>
      </w:r>
    </w:p>
    <w:p w:rsidR="00FE085C" w:rsidRDefault="00FE085C" w:rsidP="00FE085C">
      <w:pPr>
        <w:jc w:val="both"/>
        <w:rPr>
          <w:b/>
          <w:sz w:val="22"/>
          <w:szCs w:val="22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Priemerný prepočítaný počet zamestnancov: </w:t>
      </w:r>
    </w:p>
    <w:p w:rsidR="00FE085C" w:rsidRDefault="00FE085C" w:rsidP="00FE085C">
      <w:pPr>
        <w:jc w:val="both"/>
        <w:rPr>
          <w:b/>
          <w:sz w:val="22"/>
          <w:szCs w:val="22"/>
        </w:rPr>
      </w:pPr>
    </w:p>
    <w:tbl>
      <w:tblPr>
        <w:tblW w:w="5000" w:type="pct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1"/>
        <w:gridCol w:w="2340"/>
        <w:gridCol w:w="2661"/>
      </w:tblGrid>
      <w:tr w:rsidR="00FE085C" w:rsidTr="00FE085C">
        <w:trPr>
          <w:jc w:val="center"/>
        </w:trPr>
        <w:tc>
          <w:tcPr>
            <w:tcW w:w="46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FE085C" w:rsidRDefault="00FE085C">
            <w:pPr>
              <w:pStyle w:val="TopHeader"/>
            </w:pPr>
            <w:r>
              <w:t>Názov položky</w:t>
            </w:r>
          </w:p>
        </w:tc>
        <w:tc>
          <w:tcPr>
            <w:tcW w:w="255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FE085C" w:rsidRDefault="00FE085C">
            <w:pPr>
              <w:pStyle w:val="TopHeader"/>
            </w:pPr>
            <w:r>
              <w:t>Bežné účtovné obdobie</w:t>
            </w:r>
          </w:p>
        </w:tc>
        <w:tc>
          <w:tcPr>
            <w:tcW w:w="290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FE085C" w:rsidRDefault="00FE085C">
            <w:pPr>
              <w:pStyle w:val="TopHeader"/>
            </w:pPr>
            <w:r>
              <w:t>Bezprostredne predchádzajúce účtovné obdobie</w:t>
            </w:r>
          </w:p>
        </w:tc>
      </w:tr>
      <w:tr w:rsidR="00FE085C" w:rsidTr="00FE085C">
        <w:trPr>
          <w:jc w:val="center"/>
        </w:trPr>
        <w:tc>
          <w:tcPr>
            <w:tcW w:w="460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5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FE085C" w:rsidRDefault="00FE085C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sz w:val="22"/>
                <w:szCs w:val="22"/>
              </w:rPr>
              <w:t>9,58</w:t>
            </w:r>
          </w:p>
        </w:tc>
        <w:tc>
          <w:tcPr>
            <w:tcW w:w="290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FE085C" w:rsidRDefault="00FE085C" w:rsidP="00187775">
            <w:pPr>
              <w:spacing w:line="360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sz w:val="22"/>
                <w:szCs w:val="22"/>
                <w:lang w:eastAsia="en-US"/>
              </w:rPr>
              <w:t>9,</w:t>
            </w:r>
            <w:r w:rsidR="00187775">
              <w:rPr>
                <w:rFonts w:cs="Arial"/>
                <w:sz w:val="22"/>
                <w:szCs w:val="22"/>
                <w:lang w:eastAsia="en-US"/>
              </w:rPr>
              <w:t>77</w:t>
            </w:r>
          </w:p>
        </w:tc>
      </w:tr>
    </w:tbl>
    <w:p w:rsidR="00FE085C" w:rsidRDefault="00FE085C" w:rsidP="00FE085C">
      <w:pPr>
        <w:jc w:val="both"/>
        <w:rPr>
          <w:sz w:val="22"/>
          <w:szCs w:val="22"/>
          <w:lang w:eastAsia="en-US"/>
        </w:rPr>
      </w:pPr>
    </w:p>
    <w:p w:rsidR="00FE085C" w:rsidRDefault="00FE085C" w:rsidP="00FE085C">
      <w:pPr>
        <w:jc w:val="center"/>
        <w:rPr>
          <w:b/>
        </w:rPr>
      </w:pPr>
      <w:r>
        <w:rPr>
          <w:b/>
        </w:rPr>
        <w:t>Čl. II. Informácie o prijatých postupoch</w:t>
      </w:r>
    </w:p>
    <w:p w:rsidR="00FE085C" w:rsidRDefault="00FE085C" w:rsidP="00FE085C">
      <w:pPr>
        <w:jc w:val="both"/>
        <w:rPr>
          <w:sz w:val="22"/>
          <w:szCs w:val="22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(1) Východiská pre zostavenie účtovnej závierky: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Účtovná závierka bola zostavená za predpokladu nepretržitého trvania spoločnosti.</w:t>
      </w:r>
    </w:p>
    <w:p w:rsidR="00FE085C" w:rsidRDefault="00FE085C" w:rsidP="00FE085C">
      <w:pPr>
        <w:jc w:val="both"/>
        <w:rPr>
          <w:sz w:val="22"/>
          <w:szCs w:val="22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(2) Spôsob oceňovania jednotlivých zložiek majetku a záväzkov: </w:t>
      </w:r>
    </w:p>
    <w:p w:rsidR="00FE085C" w:rsidRDefault="00FE085C" w:rsidP="00FE085C">
      <w:pPr>
        <w:pStyle w:val="Odsekzoznamu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Dlhodobý nehmotný majetok nakupovaný: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neeviduje dlhodobý nehmotný majetok.</w:t>
      </w: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Dlhodobý hmotný majetok nakupovaný: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Dlhodobý hmotný majetok nakupovaný sa oceňuje obstarávacou cenou, ktorá zahŕňa cenu obstarania. Náklady súvisiace s obstaraním (clo, prepravu, montáž, inštaláciu, poistné, provízie, registračný poplatok, poplatok za leasingové zmluvy a pod. účtovná jednotka eviduje priamo na jednotlivé účty nákladov a služieb.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V sledovanom období účtovná jednotka obstarala hmotný majetok kúpou vo výške 30776,- EUR.</w:t>
      </w:r>
    </w:p>
    <w:p w:rsidR="00FE085C" w:rsidRDefault="00FE085C" w:rsidP="00FE085C">
      <w:pPr>
        <w:jc w:val="both"/>
      </w:pPr>
      <w:r>
        <w:t xml:space="preserve">            Na kúpu hnuteľného majetku Cisterna FLIEGL VFW 12000 bolo zriadené záložné  </w:t>
      </w:r>
    </w:p>
    <w:p w:rsidR="00FE085C" w:rsidRDefault="00FE085C" w:rsidP="00FE085C">
      <w:pPr>
        <w:jc w:val="both"/>
      </w:pPr>
      <w:r>
        <w:t xml:space="preserve">            právo. </w:t>
      </w:r>
    </w:p>
    <w:p w:rsidR="00FE085C" w:rsidRPr="00054DA6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 pokrytie prevádzkových nákladov účtovná jednotka použila úver od Slovenskej záručnej a rozvojovej banky vo výške </w:t>
      </w:r>
      <w:r w:rsidRPr="00054DA6">
        <w:rPr>
          <w:sz w:val="22"/>
          <w:szCs w:val="22"/>
        </w:rPr>
        <w:t>100 000,- EUR. Účtovná jednotka v sledovanom období uhradila</w:t>
      </w:r>
    </w:p>
    <w:p w:rsidR="00FE085C" w:rsidRPr="00054DA6" w:rsidRDefault="00FE085C" w:rsidP="00FE085C">
      <w:pPr>
        <w:pStyle w:val="Odsekzoznamu"/>
        <w:jc w:val="both"/>
        <w:rPr>
          <w:sz w:val="22"/>
          <w:szCs w:val="22"/>
        </w:rPr>
      </w:pPr>
      <w:r w:rsidRPr="00054DA6">
        <w:rPr>
          <w:sz w:val="22"/>
          <w:szCs w:val="22"/>
        </w:rPr>
        <w:t xml:space="preserve">Poskytnutý úver z roku 2017 vo výške 129 400,- EUR. 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 w:rsidRPr="00054DA6">
        <w:rPr>
          <w:sz w:val="22"/>
          <w:szCs w:val="22"/>
        </w:rPr>
        <w:t>Na poskytnutie úveru bolo zriadené záložné právo a to 100 % z vyplatenej podpory z PPA za rok 2018.</w:t>
      </w: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</w:p>
    <w:p w:rsidR="00FE085C" w:rsidRDefault="00FE085C" w:rsidP="00FE085C">
      <w:pPr>
        <w:pStyle w:val="Odsekzoznamu"/>
        <w:jc w:val="righ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Strana 6</w:t>
      </w: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Dlhodobý hmotný majetok obstaraný vlastnou činnosťou: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sledovanom období nevytvorila dlhodobý hmotný majetok vlastnou činnosťou.</w:t>
      </w: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Dlhodobý hmotný majetok obstaraný iným spôsobom: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V sledovanom období účtovná jednotka neobstarávala dlhodobý hmotný majetok iným spôsobom.</w:t>
      </w: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Dlhodobý finančný majetok: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nemá dlhodobý finančný majetok.</w:t>
      </w:r>
    </w:p>
    <w:p w:rsidR="00FE085C" w:rsidRDefault="00FE085C" w:rsidP="00FE085C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Zásoby obstarané kúpou: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priebehu roka a ku dňu zostavenia účtovnej závierky nevykazovala zásoby, materiál a tovar obstaraný kúpou.</w:t>
      </w: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Zásoby vytvorené vlastnou činnosťou: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eviduje ku dňu zostavenia účtovnej závierky zásoby vytvorené  vlastnou činnosťou vo výške </w:t>
      </w:r>
      <w:r w:rsidR="00054DA6">
        <w:rPr>
          <w:sz w:val="22"/>
          <w:szCs w:val="22"/>
        </w:rPr>
        <w:t>44 315</w:t>
      </w:r>
      <w:r>
        <w:rPr>
          <w:sz w:val="22"/>
          <w:szCs w:val="22"/>
        </w:rPr>
        <w:t xml:space="preserve"> EUR. 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Zásoby oceňovala priamymi nákladmi (priamy materiál, nakupované služby, subdodávka a ostatné priame náklady a nepriamymi nákladmi (mzdy, režijné náklady).</w:t>
      </w: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Nedokončená výrova a hotové výrobky: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Nedokončenú výrobu účtovná jednotka oceňovala vlastnými nákladmi. Vlastné náklady sú priame náklady (materiál, služby, a časť prepočítaných nepriamych nákladov ako sú mzdy a ostatné režijné náklady).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Výrobná réžia sa do vlastných nákladov zahrňuje v závislosti od stupňa rozpracovanosti nedokončenej výroby.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ku dňu zostavenia účtovnej závierky eviduje nedokončenú výrobu v hodnote </w:t>
      </w:r>
      <w:r w:rsidR="00054DA6">
        <w:rPr>
          <w:sz w:val="22"/>
          <w:szCs w:val="22"/>
        </w:rPr>
        <w:t>11 780</w:t>
      </w:r>
      <w:r>
        <w:rPr>
          <w:sz w:val="22"/>
          <w:szCs w:val="22"/>
        </w:rPr>
        <w:t>,- EUR.</w:t>
      </w: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Zákazková výroba: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v sledovanom období neúčtovala o zákazkovej výrobe.</w:t>
      </w:r>
    </w:p>
    <w:p w:rsidR="00FE085C" w:rsidRDefault="00FE085C" w:rsidP="00FE085C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Pohľadávky: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oceňovala pohľadávky menovitou hodnotou pri ich vzniku. Pohľadávky po celu dobu trvania až do dňa úhrady boli ocenené tak, ako vstúpili do majetku účtovnej jednotky. Účtovná jednotka v sledovanom období nevytvárala opravné položky k pohľadávkam. Účtovná jednotka eviduje iba krátkodobé pohľadávky. . </w:t>
      </w:r>
    </w:p>
    <w:p w:rsidR="00FE085C" w:rsidRDefault="00FE085C" w:rsidP="00FE085C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Krátkodobý finančný majetok: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menovitou hodnotou.</w:t>
      </w:r>
    </w:p>
    <w:p w:rsidR="00FE085C" w:rsidRDefault="00FE085C" w:rsidP="00FE085C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Záväzky vrátane rezerv, dlhopisov, pôžičiek a úverov: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Záväzky z obchodného styku účtovná jednotka oceňuje menovitou hodnotou. Krátkodobé záväzky z obchodného styku účtovná jednotka eviduje na účte 321 – Dodávatelia. Na účte 474 – záväzky z prenájmu sú členené na krátkodobé a dlhodobé na jednotlivých analytických účtoch.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Krátkodobé úvery účtovná jednotka eviduje na účte 231.</w:t>
      </w:r>
    </w:p>
    <w:p w:rsidR="00FE085C" w:rsidRDefault="00FE085C" w:rsidP="00FE085C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Derivátové operácie: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neeviduje derivátové operácie.</w:t>
      </w:r>
    </w:p>
    <w:p w:rsidR="00FE085C" w:rsidRDefault="00FE085C" w:rsidP="00FE085C">
      <w:pPr>
        <w:pStyle w:val="Odsekzoznamu"/>
        <w:numPr>
          <w:ilvl w:val="0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Cudzia mena:</w:t>
      </w:r>
    </w:p>
    <w:p w:rsidR="00FE085C" w:rsidRDefault="00FE085C" w:rsidP="00FE085C">
      <w:pPr>
        <w:pStyle w:val="Odsekzoznamu"/>
        <w:jc w:val="both"/>
        <w:rPr>
          <w:sz w:val="22"/>
          <w:szCs w:val="22"/>
        </w:rPr>
      </w:pPr>
      <w:r>
        <w:rPr>
          <w:sz w:val="22"/>
          <w:szCs w:val="22"/>
        </w:rPr>
        <w:t>Účtovná jednotka neúčtovala v cudzej mene.</w:t>
      </w:r>
    </w:p>
    <w:p w:rsidR="00FE085C" w:rsidRDefault="00FE085C" w:rsidP="00FE085C">
      <w:pPr>
        <w:jc w:val="both"/>
        <w:rPr>
          <w:sz w:val="22"/>
          <w:szCs w:val="22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Spôsob zostavenie odpisového plánu pre dlhodobý majetok:   </w:t>
      </w:r>
    </w:p>
    <w:p w:rsidR="00FE085C" w:rsidRDefault="00FE085C" w:rsidP="00FE085C">
      <w:pPr>
        <w:pStyle w:val="Odsekzoznamu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</w:p>
    <w:tbl>
      <w:tblPr>
        <w:tblW w:w="4700" w:type="pct"/>
        <w:jc w:val="center"/>
        <w:tblInd w:w="1634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7"/>
        <w:gridCol w:w="2284"/>
        <w:gridCol w:w="3868"/>
      </w:tblGrid>
      <w:tr w:rsidR="00FE085C" w:rsidTr="00FE085C">
        <w:trPr>
          <w:jc w:val="center"/>
        </w:trPr>
        <w:tc>
          <w:tcPr>
            <w:tcW w:w="25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FE085C" w:rsidRDefault="00FE085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majetku</w:t>
            </w:r>
          </w:p>
        </w:tc>
        <w:tc>
          <w:tcPr>
            <w:tcW w:w="22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FE085C" w:rsidRDefault="00FE085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389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FE085C" w:rsidRDefault="00FE085C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Spôsob výpočtu odpisov</w:t>
            </w:r>
          </w:p>
        </w:tc>
      </w:tr>
      <w:tr w:rsidR="00FE085C" w:rsidTr="00FE085C">
        <w:trPr>
          <w:jc w:val="center"/>
        </w:trPr>
        <w:tc>
          <w:tcPr>
            <w:tcW w:w="25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spacing w:before="100" w:beforeAutospacing="1" w:after="100" w:afterAutospacing="1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>Budova</w:t>
            </w:r>
          </w:p>
        </w:tc>
        <w:tc>
          <w:tcPr>
            <w:tcW w:w="22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FE085C" w:rsidRDefault="00FE085C">
            <w:pPr>
              <w:spacing w:before="100" w:beforeAutospacing="1" w:after="100" w:afterAutospacing="1"/>
              <w:rPr>
                <w:rFonts w:cs="Arial"/>
                <w:lang w:eastAsia="en-US"/>
              </w:rPr>
            </w:pPr>
            <w:r>
              <w:rPr>
                <w:rFonts w:cs="Arial"/>
              </w:rPr>
              <w:t xml:space="preserve">            40 rokov</w:t>
            </w:r>
          </w:p>
        </w:tc>
        <w:tc>
          <w:tcPr>
            <w:tcW w:w="389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FE085C" w:rsidRDefault="00FE085C">
            <w:pPr>
              <w:spacing w:before="100" w:beforeAutospacing="1" w:after="100" w:afterAutospacing="1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</w:rPr>
              <w:t>rovnomerne</w:t>
            </w:r>
          </w:p>
        </w:tc>
      </w:tr>
      <w:tr w:rsidR="00FE085C" w:rsidTr="00FE085C">
        <w:trPr>
          <w:jc w:val="center"/>
        </w:trPr>
        <w:tc>
          <w:tcPr>
            <w:tcW w:w="25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spacing w:before="100" w:beforeAutospacing="1" w:after="100" w:afterAutospacing="1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Samostatné hnuteľné veci </w:t>
            </w:r>
          </w:p>
        </w:tc>
        <w:tc>
          <w:tcPr>
            <w:tcW w:w="22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FE085C" w:rsidRDefault="00FE085C">
            <w:pPr>
              <w:spacing w:before="100" w:beforeAutospacing="1" w:after="100" w:afterAutospacing="1"/>
              <w:rPr>
                <w:rFonts w:cs="Arial"/>
                <w:lang w:eastAsia="en-US"/>
              </w:rPr>
            </w:pPr>
            <w:r>
              <w:rPr>
                <w:rFonts w:cs="Arial"/>
              </w:rPr>
              <w:t xml:space="preserve">              4 roky</w:t>
            </w:r>
          </w:p>
        </w:tc>
        <w:tc>
          <w:tcPr>
            <w:tcW w:w="389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FE085C" w:rsidRDefault="00FE085C">
            <w:pPr>
              <w:spacing w:before="100" w:beforeAutospacing="1" w:after="100" w:afterAutospacing="1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</w:rPr>
              <w:t>rovnomerne</w:t>
            </w:r>
          </w:p>
        </w:tc>
      </w:tr>
      <w:tr w:rsidR="00FE085C" w:rsidTr="00FE085C">
        <w:trPr>
          <w:jc w:val="center"/>
        </w:trPr>
        <w:tc>
          <w:tcPr>
            <w:tcW w:w="2523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spacing w:before="100" w:beforeAutospacing="1" w:after="100" w:afterAutospacing="1"/>
              <w:rPr>
                <w:rFonts w:ascii="Arial Narrow" w:hAnsi="Arial Narrow" w:cs="Arial"/>
                <w:lang w:eastAsia="en-US"/>
              </w:rPr>
            </w:pPr>
            <w:r>
              <w:rPr>
                <w:rFonts w:ascii="Arial Narrow" w:hAnsi="Arial Narrow" w:cs="Arial"/>
              </w:rPr>
              <w:t xml:space="preserve">Základné stádo </w:t>
            </w:r>
          </w:p>
        </w:tc>
        <w:tc>
          <w:tcPr>
            <w:tcW w:w="22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FE085C" w:rsidRDefault="00FE085C">
            <w:pPr>
              <w:spacing w:before="100" w:beforeAutospacing="1" w:after="100" w:afterAutospacing="1"/>
              <w:rPr>
                <w:rFonts w:cs="Arial"/>
                <w:lang w:eastAsia="en-US"/>
              </w:rPr>
            </w:pPr>
            <w:r>
              <w:rPr>
                <w:rFonts w:cs="Arial"/>
              </w:rPr>
              <w:t xml:space="preserve">              4 roky</w:t>
            </w:r>
          </w:p>
        </w:tc>
        <w:tc>
          <w:tcPr>
            <w:tcW w:w="389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hideMark/>
          </w:tcPr>
          <w:p w:rsidR="00FE085C" w:rsidRDefault="00FE085C">
            <w:pPr>
              <w:spacing w:before="100" w:beforeAutospacing="1" w:after="100" w:afterAutospacing="1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</w:rPr>
              <w:t>rovnomerne</w:t>
            </w:r>
          </w:p>
        </w:tc>
      </w:tr>
    </w:tbl>
    <w:p w:rsidR="00FE085C" w:rsidRDefault="00FE085C" w:rsidP="00FE085C">
      <w:pPr>
        <w:pStyle w:val="Odsekzoznamu"/>
        <w:jc w:val="both"/>
        <w:rPr>
          <w:b/>
          <w:sz w:val="24"/>
          <w:szCs w:val="24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</w:p>
    <w:p w:rsidR="00FE085C" w:rsidRDefault="00FE085C" w:rsidP="00FE085C">
      <w:pPr>
        <w:jc w:val="right"/>
        <w:rPr>
          <w:b/>
          <w:sz w:val="22"/>
          <w:szCs w:val="22"/>
        </w:rPr>
      </w:pPr>
      <w:r>
        <w:rPr>
          <w:b/>
          <w:i/>
          <w:sz w:val="18"/>
          <w:szCs w:val="18"/>
        </w:rPr>
        <w:t>Strana 7</w:t>
      </w:r>
    </w:p>
    <w:p w:rsidR="00054DA6" w:rsidRDefault="00054DA6" w:rsidP="00FE085C">
      <w:pPr>
        <w:jc w:val="both"/>
        <w:rPr>
          <w:b/>
          <w:sz w:val="22"/>
          <w:szCs w:val="22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(4) Zmeny účtovných zásad a účtovných metód s uvedením dôvodu týchto zmien: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Účtovné zásady a účtovné metódy  neboli počas účtovného obdobia v účtovnej jednotke menené. Účtovná jednotka splnila podmienky zaradenia do </w:t>
      </w:r>
      <w:proofErr w:type="spellStart"/>
      <w:r>
        <w:rPr>
          <w:sz w:val="22"/>
          <w:szCs w:val="22"/>
        </w:rPr>
        <w:t>mikro</w:t>
      </w:r>
      <w:proofErr w:type="spellEnd"/>
      <w:r>
        <w:rPr>
          <w:sz w:val="22"/>
          <w:szCs w:val="22"/>
        </w:rPr>
        <w:t xml:space="preserve"> účtovnej jednotky. Účtovná jednotka účtovala v mene euro.</w:t>
      </w:r>
    </w:p>
    <w:p w:rsidR="00FE085C" w:rsidRDefault="00FE085C" w:rsidP="00FE085C">
      <w:pPr>
        <w:pStyle w:val="Odsekzoznamu"/>
        <w:jc w:val="right"/>
        <w:rPr>
          <w:b/>
          <w:i/>
          <w:sz w:val="18"/>
          <w:szCs w:val="18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(5) Dotácie poskytnuté na obstaranie majetku s uvedením zložky majetku a ich ocenenia: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V sledovanom období účtovná jednotka </w:t>
      </w:r>
      <w:proofErr w:type="spellStart"/>
      <w:r>
        <w:rPr>
          <w:sz w:val="22"/>
          <w:szCs w:val="22"/>
        </w:rPr>
        <w:t>neobdržala</w:t>
      </w:r>
      <w:proofErr w:type="spellEnd"/>
      <w:r>
        <w:rPr>
          <w:sz w:val="22"/>
          <w:szCs w:val="22"/>
        </w:rPr>
        <w:t xml:space="preserve"> dotácie na obstaranie hmotného majetku. Účtovnej jednotke boli poskytnuté dotácie Poľnohospodárskou platobnou agentúrou, a to vo výške 252 495,66 EUR. Poskytnuté dotácie v celej sume boli zárukou na poskytnutý úver.   </w:t>
      </w:r>
    </w:p>
    <w:p w:rsidR="00FE085C" w:rsidRDefault="00FE085C" w:rsidP="00FE085C">
      <w:pPr>
        <w:jc w:val="both"/>
        <w:rPr>
          <w:sz w:val="22"/>
          <w:szCs w:val="22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>(</w:t>
      </w:r>
      <w:r>
        <w:rPr>
          <w:b/>
          <w:sz w:val="22"/>
          <w:szCs w:val="22"/>
        </w:rPr>
        <w:t xml:space="preserve">6) Oprava významných a nevýznamných chýb minulých účtovných období, účtovaných  </w:t>
      </w: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v bežnom účtovnom období:</w:t>
      </w:r>
    </w:p>
    <w:p w:rsidR="00FE085C" w:rsidRDefault="00FE085C" w:rsidP="00FE085C">
      <w:pPr>
        <w:jc w:val="both"/>
        <w:rPr>
          <w:sz w:val="22"/>
          <w:szCs w:val="22"/>
        </w:rPr>
      </w:pPr>
      <w:r>
        <w:t xml:space="preserve">      </w:t>
      </w:r>
      <w:r>
        <w:rPr>
          <w:sz w:val="22"/>
          <w:szCs w:val="22"/>
        </w:rPr>
        <w:t xml:space="preserve">V sledovanom období účtovná jednotka opravovala chyby minulých účtovných období a to na účte 342 – Daň zo závislej činnosti vo výške 110,67 EUR.  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FE085C" w:rsidRDefault="00FE085C" w:rsidP="00FE085C">
      <w:pPr>
        <w:jc w:val="both"/>
        <w:rPr>
          <w:sz w:val="20"/>
          <w:szCs w:val="20"/>
        </w:rPr>
      </w:pPr>
    </w:p>
    <w:p w:rsidR="00FE085C" w:rsidRDefault="00FE085C" w:rsidP="00FE085C">
      <w:pPr>
        <w:jc w:val="center"/>
        <w:rPr>
          <w:b/>
        </w:rPr>
      </w:pPr>
      <w:r>
        <w:rPr>
          <w:b/>
        </w:rPr>
        <w:t>Čl. III. Informácie, ktoré vysvetľujú a doplňujú súvahu a výkaz ziskov a strát</w:t>
      </w:r>
    </w:p>
    <w:p w:rsidR="00FE085C" w:rsidRDefault="00FE085C" w:rsidP="00FE085C">
      <w:pPr>
        <w:jc w:val="center"/>
        <w:rPr>
          <w:b/>
          <w:sz w:val="22"/>
          <w:szCs w:val="22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(1) Informácie o nákladoch alebo výnosoch, ktoré majú výnimočný rozsah alebo výskyt: 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Účtovnej jednotke nevznikli žiadne náklady a výnosy, ktoré majú výnimočný rozsah alebo výskyt.</w:t>
      </w:r>
    </w:p>
    <w:p w:rsidR="00FE085C" w:rsidRDefault="00FE085C" w:rsidP="00FE085C">
      <w:pPr>
        <w:jc w:val="both"/>
        <w:rPr>
          <w:sz w:val="20"/>
          <w:szCs w:val="20"/>
        </w:rPr>
      </w:pPr>
    </w:p>
    <w:p w:rsidR="00FE085C" w:rsidRDefault="00FE085C" w:rsidP="00FE085C">
      <w:pPr>
        <w:rPr>
          <w:b/>
          <w:sz w:val="22"/>
          <w:szCs w:val="22"/>
        </w:rPr>
      </w:pPr>
      <w:r>
        <w:rPr>
          <w:b/>
          <w:sz w:val="22"/>
          <w:szCs w:val="22"/>
        </w:rPr>
        <w:t>(2) Informácie o záväzkoch</w:t>
      </w:r>
    </w:p>
    <w:p w:rsidR="00FE085C" w:rsidRDefault="00FE085C" w:rsidP="00FE085C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536"/>
        <w:gridCol w:w="2284"/>
        <w:gridCol w:w="2284"/>
      </w:tblGrid>
      <w:tr w:rsidR="00FE085C" w:rsidTr="00FE085C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085C" w:rsidRDefault="00FE085C">
            <w:pPr>
              <w:pStyle w:val="TopHeader"/>
            </w:pPr>
            <w:r>
              <w:t>Názov položky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085C" w:rsidRDefault="00FE085C">
            <w:pPr>
              <w:pStyle w:val="TopHeader"/>
            </w:pPr>
            <w:r>
              <w:t>Bežné účtovné obdobie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085C" w:rsidRDefault="00FE085C">
            <w:pPr>
              <w:pStyle w:val="TopHeader"/>
            </w:pPr>
            <w:r>
              <w:t>Bezprostredne predchádzajúce účtovné obdobie</w:t>
            </w:r>
          </w:p>
        </w:tc>
      </w:tr>
      <w:tr w:rsidR="00FE085C" w:rsidTr="00FE085C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Cs w:val="22"/>
              </w:rPr>
              <w:t>Záväzky po lehote splatnosti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58731,37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</w:rPr>
              <w:t>38967,99</w:t>
            </w:r>
          </w:p>
        </w:tc>
      </w:tr>
      <w:tr w:rsidR="00FE085C" w:rsidTr="00FE085C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Cs w:val="22"/>
              </w:rPr>
              <w:t>Záväzky so zostatkovou dobou splatnosti do jedného roka vrátane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167659,19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</w:rPr>
              <w:t>111301,18</w:t>
            </w:r>
          </w:p>
        </w:tc>
      </w:tr>
      <w:tr w:rsidR="00FE085C" w:rsidTr="00FE085C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bCs/>
                <w:szCs w:val="22"/>
              </w:rPr>
              <w:t>Krátkodobé záväzky spolu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E65A97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fldChar w:fldCharType="begin"/>
            </w:r>
            <w:r w:rsidR="00FE085C">
              <w:rPr>
                <w:b/>
                <w:sz w:val="22"/>
                <w:szCs w:val="22"/>
                <w:lang w:eastAsia="en-US"/>
              </w:rPr>
              <w:instrText xml:space="preserve"> =SUM(ABOVE) </w:instrText>
            </w:r>
            <w:r>
              <w:rPr>
                <w:b/>
                <w:sz w:val="22"/>
                <w:szCs w:val="22"/>
                <w:lang w:eastAsia="en-US"/>
              </w:rPr>
              <w:fldChar w:fldCharType="separate"/>
            </w:r>
            <w:r w:rsidR="00FE085C">
              <w:rPr>
                <w:b/>
                <w:noProof/>
                <w:sz w:val="22"/>
                <w:szCs w:val="22"/>
                <w:lang w:eastAsia="en-US"/>
              </w:rPr>
              <w:t>226390,56</w:t>
            </w:r>
            <w:r>
              <w:rPr>
                <w:b/>
                <w:sz w:val="22"/>
                <w:szCs w:val="22"/>
                <w:lang w:eastAsia="en-US"/>
              </w:rPr>
              <w:fldChar w:fldCharType="end"/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</w:rPr>
              <w:t>150269,17</w:t>
            </w:r>
          </w:p>
        </w:tc>
      </w:tr>
      <w:tr w:rsidR="00FE085C" w:rsidTr="00FE085C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085C" w:rsidRDefault="00FE085C">
            <w:pPr>
              <w:rPr>
                <w:rFonts w:ascii="Arial Narrow" w:hAnsi="Arial Narrow"/>
                <w:szCs w:val="22"/>
                <w:lang w:eastAsia="en-US"/>
              </w:rPr>
            </w:pPr>
            <w:r>
              <w:rPr>
                <w:rFonts w:ascii="Arial Narrow" w:hAnsi="Arial Narrow"/>
                <w:szCs w:val="22"/>
              </w:rPr>
              <w:t>Záväzky so zostatkovou dobou splat</w:t>
            </w:r>
            <w:bookmarkStart w:id="0" w:name="_GoBack"/>
            <w:bookmarkEnd w:id="0"/>
            <w:r>
              <w:rPr>
                <w:rFonts w:ascii="Arial Narrow" w:hAnsi="Arial Narrow"/>
                <w:szCs w:val="22"/>
              </w:rPr>
              <w:t>nosti jeden rok až päť rokov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</w:p>
          <w:p w:rsidR="00FE085C" w:rsidRDefault="00FE085C">
            <w:pPr>
              <w:tabs>
                <w:tab w:val="right" w:pos="2068"/>
              </w:tabs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24721,27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</w:rPr>
              <w:t>116503,67</w:t>
            </w:r>
          </w:p>
        </w:tc>
      </w:tr>
      <w:tr w:rsidR="00FE085C" w:rsidTr="00FE085C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085C" w:rsidRDefault="00FE085C">
            <w:pPr>
              <w:rPr>
                <w:rFonts w:ascii="Arial Narrow" w:hAnsi="Arial Narrow"/>
                <w:szCs w:val="22"/>
                <w:lang w:eastAsia="en-US"/>
              </w:rPr>
            </w:pPr>
            <w:r>
              <w:rPr>
                <w:rFonts w:ascii="Arial Narrow" w:hAnsi="Arial Narrow"/>
                <w:szCs w:val="22"/>
              </w:rPr>
              <w:t>Záväzky so zostatkovou dobou splatnosti nad päť rokov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ind w:firstLine="708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FE085C" w:rsidTr="00FE085C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E085C" w:rsidRDefault="00FE085C">
            <w:pPr>
              <w:rPr>
                <w:rFonts w:ascii="Arial Narrow" w:hAnsi="Arial Narrow"/>
                <w:b/>
                <w:bCs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bCs/>
                <w:szCs w:val="22"/>
              </w:rPr>
              <w:t>Dlhodobé záväzky spolu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251111,93</w:t>
            </w: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E085C" w:rsidRDefault="00FE085C">
            <w:pPr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</w:rPr>
              <w:t>116503,67</w:t>
            </w:r>
          </w:p>
        </w:tc>
      </w:tr>
    </w:tbl>
    <w:p w:rsidR="00FE085C" w:rsidRDefault="00FE085C" w:rsidP="00FE085C">
      <w:pPr>
        <w:rPr>
          <w:b/>
          <w:sz w:val="22"/>
          <w:szCs w:val="22"/>
          <w:lang w:eastAsia="en-US"/>
        </w:rPr>
      </w:pPr>
    </w:p>
    <w:p w:rsidR="00FE085C" w:rsidRDefault="00FE085C" w:rsidP="00FE085C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(3) Informácia o pohľadávkach:</w:t>
      </w:r>
    </w:p>
    <w:p w:rsidR="00FE085C" w:rsidRDefault="00FE085C" w:rsidP="00FE085C">
      <w:pPr>
        <w:jc w:val="both"/>
        <w:rPr>
          <w:sz w:val="20"/>
          <w:szCs w:val="20"/>
        </w:rPr>
      </w:pPr>
    </w:p>
    <w:tbl>
      <w:tblPr>
        <w:tblW w:w="4942" w:type="pct"/>
        <w:jc w:val="center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520"/>
        <w:gridCol w:w="2330"/>
        <w:gridCol w:w="2330"/>
      </w:tblGrid>
      <w:tr w:rsidR="00FE085C" w:rsidTr="00FE085C">
        <w:trPr>
          <w:trHeight w:val="920"/>
          <w:jc w:val="center"/>
        </w:trPr>
        <w:tc>
          <w:tcPr>
            <w:tcW w:w="246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FE085C" w:rsidRDefault="00FE085C">
            <w:pPr>
              <w:pStyle w:val="TopHeader"/>
            </w:pPr>
            <w:r>
              <w:t>Názov položky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noWrap/>
            <w:vAlign w:val="center"/>
            <w:hideMark/>
          </w:tcPr>
          <w:p w:rsidR="00FE085C" w:rsidRDefault="00FE085C">
            <w:pPr>
              <w:pStyle w:val="TopHeader"/>
            </w:pPr>
            <w:r>
              <w:t>Bežné účtovné obdobie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EECE1"/>
            <w:vAlign w:val="center"/>
            <w:hideMark/>
          </w:tcPr>
          <w:p w:rsidR="00FE085C" w:rsidRDefault="00FE085C">
            <w:pPr>
              <w:pStyle w:val="TopHeader"/>
            </w:pPr>
            <w:r>
              <w:t>Bezprostredne predchádzajúce účtovné obdobie</w:t>
            </w:r>
          </w:p>
        </w:tc>
      </w:tr>
      <w:tr w:rsidR="00FE085C" w:rsidTr="00FE085C">
        <w:trPr>
          <w:trHeight w:val="330"/>
          <w:jc w:val="center"/>
        </w:trPr>
        <w:tc>
          <w:tcPr>
            <w:tcW w:w="246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Cs w:val="22"/>
              </w:rPr>
              <w:t>Pohľadávky  po lehote splatnosti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rPr>
                <w:sz w:val="20"/>
                <w:szCs w:val="20"/>
              </w:rPr>
            </w:pP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rPr>
                <w:sz w:val="20"/>
                <w:szCs w:val="20"/>
              </w:rPr>
            </w:pPr>
          </w:p>
        </w:tc>
      </w:tr>
      <w:tr w:rsidR="00FE085C" w:rsidTr="00FE085C">
        <w:trPr>
          <w:trHeight w:val="690"/>
          <w:jc w:val="center"/>
        </w:trPr>
        <w:tc>
          <w:tcPr>
            <w:tcW w:w="246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Cs w:val="22"/>
              </w:rPr>
              <w:t>Pohľadávky  so zostatkovou dobou splatnosti do jedného roka vrátane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jc w:val="both"/>
              <w:rPr>
                <w:rFonts w:ascii="Arial Narrow" w:hAnsi="Arial Narrow"/>
                <w:b/>
                <w:bCs/>
                <w:color w:val="FFFFFF" w:themeColor="background1"/>
                <w:lang w:eastAsia="en-US"/>
              </w:rPr>
            </w:pPr>
            <w:r>
              <w:rPr>
                <w:rFonts w:ascii="Arial Narrow" w:hAnsi="Arial Narrow"/>
                <w:b/>
                <w:bCs/>
                <w:color w:val="FFFFFF" w:themeColor="background1"/>
                <w:szCs w:val="22"/>
              </w:rPr>
              <w:t>8478,12</w:t>
            </w:r>
            <w:r>
              <w:rPr>
                <w:rFonts w:ascii="Arial Narrow" w:hAnsi="Arial Narrow"/>
                <w:szCs w:val="22"/>
              </w:rPr>
              <w:t>19816,50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jc w:val="center"/>
              <w:rPr>
                <w:rFonts w:ascii="Arial Narrow" w:hAnsi="Arial Narrow"/>
                <w:bCs/>
                <w:lang w:eastAsia="en-US"/>
              </w:rPr>
            </w:pPr>
            <w:r>
              <w:rPr>
                <w:rFonts w:ascii="Arial Narrow" w:hAnsi="Arial Narrow"/>
                <w:bCs/>
                <w:szCs w:val="22"/>
                <w:lang w:eastAsia="en-US"/>
              </w:rPr>
              <w:t>2908,73</w:t>
            </w:r>
          </w:p>
        </w:tc>
      </w:tr>
      <w:tr w:rsidR="00FE085C" w:rsidTr="00FE085C">
        <w:trPr>
          <w:trHeight w:val="330"/>
          <w:jc w:val="center"/>
        </w:trPr>
        <w:tc>
          <w:tcPr>
            <w:tcW w:w="246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Cs w:val="22"/>
              </w:rPr>
              <w:t>Krátkodobé pohľadávky spolu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r>
              <w:t xml:space="preserve">            19816,50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r>
              <w:t xml:space="preserve">           2908,73</w:t>
            </w:r>
          </w:p>
        </w:tc>
      </w:tr>
      <w:tr w:rsidR="00FE085C" w:rsidTr="00FE085C">
        <w:trPr>
          <w:trHeight w:val="660"/>
          <w:jc w:val="center"/>
        </w:trPr>
        <w:tc>
          <w:tcPr>
            <w:tcW w:w="246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Cs w:val="22"/>
              </w:rPr>
              <w:t>Pohľadávky so zostatkovou dobou splatnosti jeden rok až päť rokov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rPr>
                <w:sz w:val="20"/>
                <w:szCs w:val="20"/>
              </w:rPr>
            </w:pP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rPr>
                <w:sz w:val="20"/>
                <w:szCs w:val="20"/>
              </w:rPr>
            </w:pPr>
          </w:p>
        </w:tc>
      </w:tr>
      <w:tr w:rsidR="00FE085C" w:rsidTr="00FE085C">
        <w:trPr>
          <w:trHeight w:val="660"/>
          <w:jc w:val="center"/>
        </w:trPr>
        <w:tc>
          <w:tcPr>
            <w:tcW w:w="246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:rsidR="00FE085C" w:rsidRDefault="00FE085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Cs w:val="22"/>
              </w:rPr>
              <w:t>Pohľadávky  so zostatkovou dobou splatnosti nad päť rokov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rPr>
                <w:sz w:val="20"/>
                <w:szCs w:val="20"/>
              </w:rPr>
            </w:pP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rPr>
                <w:sz w:val="20"/>
                <w:szCs w:val="20"/>
              </w:rPr>
            </w:pPr>
          </w:p>
        </w:tc>
      </w:tr>
      <w:tr w:rsidR="00FE085C" w:rsidTr="00FE085C">
        <w:trPr>
          <w:trHeight w:val="345"/>
          <w:jc w:val="center"/>
        </w:trPr>
        <w:tc>
          <w:tcPr>
            <w:tcW w:w="2462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Cs w:val="22"/>
              </w:rPr>
              <w:t>Dlhodobé pohľadávky spolu</w:t>
            </w: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rPr>
                <w:sz w:val="20"/>
                <w:szCs w:val="20"/>
              </w:rPr>
            </w:pPr>
          </w:p>
        </w:tc>
        <w:tc>
          <w:tcPr>
            <w:tcW w:w="126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noWrap/>
            <w:vAlign w:val="center"/>
            <w:hideMark/>
          </w:tcPr>
          <w:p w:rsidR="00FE085C" w:rsidRDefault="00FE085C">
            <w:pPr>
              <w:rPr>
                <w:sz w:val="20"/>
                <w:szCs w:val="20"/>
              </w:rPr>
            </w:pPr>
          </w:p>
        </w:tc>
      </w:tr>
    </w:tbl>
    <w:p w:rsidR="00FE085C" w:rsidRDefault="00FE085C" w:rsidP="00FE085C">
      <w:pPr>
        <w:pStyle w:val="Odsekzoznamu"/>
        <w:jc w:val="righ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Strana 8</w:t>
      </w:r>
    </w:p>
    <w:p w:rsidR="00FE085C" w:rsidRDefault="00FE085C" w:rsidP="00FE085C">
      <w:pPr>
        <w:jc w:val="right"/>
        <w:rPr>
          <w:sz w:val="20"/>
          <w:szCs w:val="20"/>
        </w:rPr>
      </w:pPr>
    </w:p>
    <w:p w:rsidR="00FE085C" w:rsidRDefault="00FE085C" w:rsidP="00FE085C">
      <w:pPr>
        <w:jc w:val="right"/>
      </w:pPr>
    </w:p>
    <w:p w:rsidR="00FE085C" w:rsidRDefault="00FE085C" w:rsidP="00FE085C">
      <w:pPr>
        <w:rPr>
          <w:b/>
          <w:sz w:val="22"/>
          <w:szCs w:val="22"/>
        </w:rPr>
      </w:pPr>
      <w:r>
        <w:rPr>
          <w:b/>
          <w:sz w:val="22"/>
          <w:szCs w:val="22"/>
        </w:rPr>
        <w:t>( 4) Informácie o povinnostiach účtovnej jednotky</w:t>
      </w:r>
    </w:p>
    <w:p w:rsidR="00FE085C" w:rsidRDefault="00FE085C" w:rsidP="00FE085C">
      <w:pPr>
        <w:jc w:val="both"/>
        <w:rPr>
          <w:sz w:val="22"/>
          <w:szCs w:val="22"/>
        </w:rPr>
      </w:pPr>
      <w:r>
        <w:t xml:space="preserve">        </w:t>
      </w:r>
      <w:r>
        <w:rPr>
          <w:sz w:val="22"/>
          <w:szCs w:val="22"/>
        </w:rPr>
        <w:t>a) Informácie o celkovej sume finančných povinností, ktoré sa nevykazujú v súvahe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Účtovná jednotka  do dňa zostavenia účtovnej závierky uzatvorila s S Slovenkom, spol. s.r.o. 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zmluvu o úvere na obstaranie dlhodobého hmotného majetku. Na obstaraný hmotný majetok je 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zriadené záložné právo.  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b) Opis významných finančných povinností podmienených záväzkoch: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Účtovná jednotka má podmienený záväzok vo výške 51 794, na ktorý je zriadené záložné  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právo.</w:t>
      </w:r>
    </w:p>
    <w:p w:rsidR="00FE085C" w:rsidRDefault="00FE085C" w:rsidP="00FE085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      Účtovná jednotka neeviduje mimoriadne povinnosti. Spoločnosť nemá povinnosť poskytovať   </w:t>
      </w:r>
    </w:p>
    <w:p w:rsidR="00FE085C" w:rsidRDefault="00FE085C" w:rsidP="00FE085C">
      <w:pPr>
        <w:rPr>
          <w:sz w:val="22"/>
          <w:szCs w:val="22"/>
        </w:rPr>
      </w:pPr>
      <w:r>
        <w:rPr>
          <w:sz w:val="22"/>
          <w:szCs w:val="22"/>
        </w:rPr>
        <w:t xml:space="preserve">            služby vo verejnom záujme.</w:t>
      </w:r>
    </w:p>
    <w:p w:rsidR="00FE085C" w:rsidRDefault="00FE085C" w:rsidP="00FE085C">
      <w:pPr>
        <w:jc w:val="both"/>
        <w:rPr>
          <w:sz w:val="20"/>
          <w:szCs w:val="20"/>
        </w:rPr>
      </w:pPr>
    </w:p>
    <w:p w:rsidR="00FE085C" w:rsidRDefault="00FE085C" w:rsidP="00FE085C">
      <w:pPr>
        <w:jc w:val="right"/>
      </w:pPr>
    </w:p>
    <w:p w:rsidR="00FE085C" w:rsidRDefault="00FE085C" w:rsidP="00FE085C">
      <w:pPr>
        <w:jc w:val="right"/>
      </w:pPr>
    </w:p>
    <w:p w:rsidR="00FE085C" w:rsidRDefault="00FE085C" w:rsidP="00FE085C">
      <w:pPr>
        <w:jc w:val="right"/>
      </w:pPr>
    </w:p>
    <w:p w:rsidR="00FE085C" w:rsidRDefault="00FE085C" w:rsidP="00FE085C">
      <w:pPr>
        <w:jc w:val="right"/>
      </w:pPr>
    </w:p>
    <w:p w:rsidR="00FE085C" w:rsidRDefault="00FE085C" w:rsidP="00FE085C">
      <w:pPr>
        <w:jc w:val="right"/>
      </w:pPr>
    </w:p>
    <w:p w:rsidR="00FE085C" w:rsidRDefault="00FE085C" w:rsidP="00FE085C"/>
    <w:p w:rsidR="005F35C2" w:rsidRDefault="005F35C2"/>
    <w:sectPr w:rsidR="005F35C2" w:rsidSect="005F35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F0119"/>
    <w:multiLevelType w:val="hybridMultilevel"/>
    <w:tmpl w:val="1A6E72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E085C"/>
    <w:rsid w:val="00054DA6"/>
    <w:rsid w:val="00187775"/>
    <w:rsid w:val="002A4410"/>
    <w:rsid w:val="002C741F"/>
    <w:rsid w:val="00316608"/>
    <w:rsid w:val="00464D33"/>
    <w:rsid w:val="004A7329"/>
    <w:rsid w:val="005F35C2"/>
    <w:rsid w:val="009B023C"/>
    <w:rsid w:val="00DE43AA"/>
    <w:rsid w:val="00E65A97"/>
    <w:rsid w:val="00E909A8"/>
    <w:rsid w:val="00FE0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pacing w:val="-20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85C"/>
    <w:rPr>
      <w:rFonts w:ascii="Times New Roman" w:hAnsi="Times New Roman" w:cs="Times New Roman"/>
      <w:spacing w:val="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E085C"/>
    <w:pPr>
      <w:keepNext/>
      <w:numPr>
        <w:numId w:val="1"/>
      </w:numPr>
      <w:spacing w:before="120" w:after="60"/>
      <w:outlineLvl w:val="0"/>
    </w:pPr>
    <w:rPr>
      <w:b/>
      <w:caps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E085C"/>
    <w:rPr>
      <w:rFonts w:ascii="Times New Roman" w:hAnsi="Times New Roman" w:cs="Times New Roman"/>
      <w:b/>
      <w:caps/>
      <w:spacing w:val="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FE085C"/>
    <w:pPr>
      <w:ind w:left="720"/>
      <w:contextualSpacing/>
    </w:pPr>
    <w:rPr>
      <w:sz w:val="20"/>
      <w:szCs w:val="20"/>
      <w:lang w:eastAsia="en-US"/>
    </w:rPr>
  </w:style>
  <w:style w:type="paragraph" w:customStyle="1" w:styleId="TopHeader">
    <w:name w:val="Top Header"/>
    <w:basedOn w:val="Normlny"/>
    <w:qFormat/>
    <w:rsid w:val="00FE085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table" w:styleId="Mriekatabuky">
    <w:name w:val="Table Grid"/>
    <w:basedOn w:val="Normlnatabuka"/>
    <w:uiPriority w:val="59"/>
    <w:rsid w:val="00FE085C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421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1211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8104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User</cp:lastModifiedBy>
  <cp:revision>4</cp:revision>
  <dcterms:created xsi:type="dcterms:W3CDTF">2020-02-03T07:57:00Z</dcterms:created>
  <dcterms:modified xsi:type="dcterms:W3CDTF">2020-06-28T13:40:00Z</dcterms:modified>
</cp:coreProperties>
</file>